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EVIDENTIARY MATRIX: FINANCIAL ABANDONMENT &amp; PRESERVATION CREDITS</w:t>
      </w:r>
    </w:p>
    <w:p>
      <w:pPr>
        <w:pStyle w:val="Heading2"/>
      </w:pPr>
      <w:r>
        <w:t>PROPERTY DETAILS</w:t>
      </w:r>
    </w:p>
    <w:p>
      <w:r>
        <w:t>Address: 246 N. 3rd St, Unit #4CD, Philadelphia, PA</w:t>
      </w:r>
    </w:p>
    <w:p>
      <w:r>
        <w:t>Type: 1,400 sqft, 2BR/2BA Condominium, Old City Philadelphia</w:t>
      </w:r>
    </w:p>
    <w:p>
      <w:r>
        <w:t>Acquisition Date: April 15, 2022 (Joint Marital Property)</w:t>
      </w:r>
    </w:p>
    <w:p>
      <w:r>
        <w:t>Current Value: $389,900 (Listed April 10, 2025)</w:t>
      </w:r>
    </w:p>
    <w:p>
      <w:r>
        <w:t>Monthly Expenses: $3,300+ (Mortgage, HOA, Taxes, Insurance, Utilities)</w:t>
      </w:r>
    </w:p>
    <w:p>
      <w:pPr>
        <w:pStyle w:val="Heading2"/>
      </w:pPr>
      <w:r>
        <w:t>FINANCIAL CONTRIBUTION TIMELINE</w:t>
      </w:r>
    </w:p>
    <w:p>
      <w:r>
        <w:t>Date Range                     | Stephen's Contribution | Melissa's Contribution | Stephen's % | Melissa's % | Notes</w:t>
        <w:br/>
        <w:t>-------------------------------------------------------------------------------------------------------------</w:t>
        <w:br/>
        <w:t>HVAC Replacement (Jul 2023)   | $12,000                | $0                     | 100%        | 0%          | Emergency repair paid solely by Stephen</w:t>
        <w:br/>
        <w:t>Oct 2023 - Sep 2024           | $8,400                 | $7,000                 | 54.5%       | 45.5%       | Rental period net loss after income</w:t>
        <w:br/>
        <w:t>Oct 2024 - Apr 2025           | $23,100                | $0                     | 100%        | 0%          | 7 months × $3,300 = $23,100</w:t>
        <w:br/>
        <w:t>Bridge Loan (Jan 3, 2025)     | $12,500                | $0                     | 100%        | 0%          | Loan exhausted Mar 16, 2025</w:t>
        <w:br/>
        <w:t>Standing HVAC Credit          | $12,000                | $0                     | 100%        | 0%          | Major capital improvement</w:t>
        <w:br/>
        <w:t>TOTAL CONTRIBUTIONS           | $55,900                | $7,000                 | 88.9%       | 11.1%       |</w:t>
        <w:br/>
      </w:r>
    </w:p>
    <w:p>
      <w:pPr>
        <w:pStyle w:val="Heading2"/>
      </w:pPr>
      <w:r>
        <w:t>PRESERVATION CREDIT ANALYSIS</w:t>
      </w:r>
    </w:p>
    <w:p>
      <w:r>
        <w:t>Stephen's Preservation Actions:</w:t>
        <w:br/>
        <w:t>- Financial Contributions: $55,900 total (88.9% of all expenses)</w:t>
        <w:br/>
        <w:t>- Bridge Loan: Personally obtained $12,500 loan to prevent early foreclosure</w:t>
        <w:br/>
        <w:t>- Property Management: Managed tenant, repairs, and vacancy transition</w:t>
        <w:br/>
        <w:t>- Sale Efforts: Coordinated listing, showings, and price reductions</w:t>
        <w:br/>
        <w:t>- Foreclosure Prevention: Active efforts to prevent loss of marital asset</w:t>
        <w:br/>
        <w:br/>
        <w:t>Melissa's Abandonment Actions:</w:t>
        <w:br/>
        <w:t>- Zero Contributions: No financial support since October 2024 despite employment</w:t>
        <w:br/>
        <w:t>- Insurance Termination: Cut Stephen's health insurance during active PTSD treatment</w:t>
        <w:br/>
        <w:t>- Communication Refusal: No response to financial emergency communications</w:t>
        <w:br/>
        <w:t>- Sale Obstruction: [Document any actions hindering property sale]</w:t>
        <w:br/>
        <w:t>- Financial Capacity: Employed full-time as nurse with regular income since December 2024</w:t>
      </w:r>
    </w:p>
    <w:p>
      <w:pPr>
        <w:pStyle w:val="Heading2"/>
      </w:pPr>
      <w:r>
        <w:t>LEGAL PRECEDENT ANALYSIS</w:t>
      </w:r>
    </w:p>
    <w:p>
      <w:r>
        <w:t>Preservation Credit Precedents:</w:t>
        <w:br/>
        <w:t>- Biese v. Biese, 979 A.2d 892 (Pa. Super. 2009)</w:t>
        <w:br/>
        <w:t xml:space="preserve">  &gt; Holding: Spouse who pays to maintain marital property post-separation entitled to credit</w:t>
        <w:br/>
        <w:t xml:space="preserve">  &gt; Application: Stephen's 88.9% financial contribution entitles him to preservation credits</w:t>
        <w:br/>
        <w:br/>
        <w:t>- Martin v. Martin, 900 A.2d 360 (Pa. 2006)</w:t>
        <w:br/>
        <w:t xml:space="preserve">  &gt; Holding: Disproportionate contribution to preserve marital assets should be credited</w:t>
        <w:br/>
        <w:t xml:space="preserve">  &gt; Application: Stephen's sole funding of property expenses deserves credit beyond 50%</w:t>
        <w:br/>
        <w:br/>
        <w:t>- Middleton v. Middleton, 812 A.2d 1241 (Pa. Super. 2002)</w:t>
        <w:br/>
        <w:t xml:space="preserve">  &gt; Holding: Court may award credits for necessary payments that preserve marital assets</w:t>
        <w:br/>
        <w:t xml:space="preserve">  &gt; Application: Stephen's bridge loan and ongoing payments prevented asset loss</w:t>
        <w:br/>
        <w:br/>
        <w:t>Financial Abandonment Doctrine:</w:t>
        <w:br/>
        <w:t>- Johnston v. Johnston, 864 A.2d 1272 (Pa. Super. 2004)</w:t>
        <w:br/>
        <w:t xml:space="preserve">  &gt; Holding: Failure to contribute to preservation of marital assets considered in distribution</w:t>
        <w:br/>
        <w:t xml:space="preserve">  &gt; Application: Melissa's 0% contribution since October 2024 constitutes abandonment</w:t>
        <w:br/>
        <w:br/>
        <w:t>- 23 Pa.C.S. § 3502(a)(7)</w:t>
        <w:br/>
        <w:t xml:space="preserve">  &gt; Statute: Courts must consider "contribution or dissipation of each party" to marital property</w:t>
        <w:br/>
        <w:t xml:space="preserve">  &gt; Application: 88.9% vs. 11.1% contribution disparity requires adjustment</w:t>
      </w:r>
    </w:p>
    <w:p>
      <w:pPr>
        <w:pStyle w:val="Heading2"/>
      </w:pPr>
      <w:r>
        <w:t>FINANCIAL CALCULATIONS</w:t>
      </w:r>
    </w:p>
    <w:p>
      <w:r>
        <w:t>Basic Preservation Credit Calculation:</w:t>
        <w:br/>
        <w:t>- Total Property Expenses: $62,900</w:t>
        <w:br/>
        <w:t>- Stephen's Contribution: $55,900 (88.9%)</w:t>
        <w:br/>
        <w:t>- Melissa's Contribution: $7,000 (11.1%)</w:t>
        <w:br/>
        <w:t>- Contribution Difference: 77.8%</w:t>
        <w:br/>
        <w:br/>
        <w:t>Advanced Credit Calculations:</w:t>
        <w:br/>
        <w:t>- Standard 50/50 Split Adjustment:</w:t>
        <w:br/>
        <w:t xml:space="preserve">  &gt; Stephen overpaid by: $24,450</w:t>
        <w:br/>
        <w:t xml:space="preserve">  &gt; Melissa underpaid by: $24,450</w:t>
        <w:br/>
        <w:br/>
        <w:t>- With Interest (3% Simple):</w:t>
        <w:br/>
        <w:t xml:space="preserve">  &gt; Stephen's credit with interest: $25,183.50</w:t>
        <w:br/>
        <w:br/>
        <w:t>- Ongoing Monthly Inequity:</w:t>
        <w:br/>
        <w:t xml:space="preserve">  &gt; Monthly property costs: $3,300</w:t>
        <w:br/>
        <w:t xml:space="preserve">  &gt; Stephen's burden: $3,300</w:t>
        <w:br/>
        <w:t xml:space="preserve">  &gt; Melissa's fair share: $1,650</w:t>
        <w:br/>
        <w:t xml:space="preserve">  &gt; Monthly inequity: $1,650</w:t>
      </w:r>
    </w:p>
    <w:p>
      <w:pPr>
        <w:pStyle w:val="Heading2"/>
      </w:pPr>
      <w:r>
        <w:t>TRIPLE NECESSITY FRAMEWORK</w:t>
      </w:r>
    </w:p>
    <w:p>
      <w:r>
        <w:t>1. Disability Emergency:</w:t>
        <w:br/>
        <w:t>- Diagnosis: PTSD/ADHD (documented March 26, 2024)</w:t>
        <w:br/>
        <w:t>- Treatment Status: Ongoing, interrupted by insurance termination</w:t>
        <w:br/>
        <w:t>- Income: None due to disability</w:t>
        <w:br/>
        <w:t>- Insurance: Terminated August 2024</w:t>
        <w:br/>
        <w:br/>
        <w:t>2. Financial Emergency:</w:t>
        <w:br/>
        <w:t>- Bridge Loan: $12,500 obtained January 3, 2025</w:t>
        <w:br/>
        <w:t>- Exhausted: March 16, 2025</w:t>
        <w:br/>
        <w:t>- No income or reserves; monthly deficit $3,300+</w:t>
        <w:br/>
        <w:br/>
        <w:t>3. Legal Emergency:</w:t>
        <w:br/>
        <w:t>- Foreclosure Risk: Begins April 16, 2025</w:t>
        <w:br/>
        <w:t>- Property Value at Risk: $389,900</w:t>
        <w:br/>
        <w:t>- Equity at Risk: [Insert calculation]</w:t>
        <w:br/>
        <w:t>- Time Sensitivity: Immediate intervention required</w:t>
      </w:r>
    </w:p>
    <w:p>
      <w:pPr>
        <w:pStyle w:val="Heading2"/>
      </w:pPr>
      <w:r>
        <w:t>EQUITABLE DISTRIBUTION IMPACT ANALYSIS</w:t>
      </w:r>
    </w:p>
    <w:p>
      <w:r>
        <w:t>Standard Distribution Scenario:</w:t>
        <w:br/>
        <w:t>- Property Value: $389,900</w:t>
        <w:br/>
        <w:t>- Equal Split: $194,950 each</w:t>
        <w:br/>
        <w:br/>
        <w:t>Preservation-Adjusted Distribution:</w:t>
        <w:br/>
        <w:t>- Stephen: $219,400 (56.3%)</w:t>
        <w:br/>
        <w:t>- Melissa: $170,500 (43.7%)</w:t>
        <w:br/>
        <w:br/>
        <w:t>Foreclosure Scenario (No Intervention):</w:t>
        <w:br/>
        <w:t>- Lost Equity: [Insert current equity]</w:t>
        <w:br/>
        <w:t>- Stephen's Loss: $55,900</w:t>
        <w:br/>
        <w:t>- Melissa's Loss: $7,000</w:t>
        <w:br/>
        <w:t>- Additional: Foreclosure costs, credit impact</w:t>
      </w:r>
    </w:p>
    <w:p>
      <w:pPr>
        <w:pStyle w:val="Heading2"/>
      </w:pPr>
      <w:r>
        <w:t>HEALTH INSURANCE TERMINATION IMPACT</w:t>
      </w:r>
    </w:p>
    <w:p>
      <w:r>
        <w:t>Financial Impact:</w:t>
        <w:br/>
        <w:t>- Premium Costs: [Insert COBRA/Marketplace costs]</w:t>
        <w:br/>
        <w:t>- Treatment Interruptions: [Insert documentation]</w:t>
        <w:br/>
        <w:t>- Medication Costs: [Insert receipts]</w:t>
        <w:br/>
        <w:br/>
        <w:t>Medical Impact:</w:t>
        <w:br/>
        <w:t>- PTSD Treatment: Interrupted</w:t>
        <w:br/>
        <w:t>- Condition Management: Deteriorated</w:t>
        <w:br/>
        <w:t>- Recovery Timeline: Extended</w:t>
      </w:r>
    </w:p>
    <w:p>
      <w:pPr>
        <w:pStyle w:val="Heading2"/>
      </w:pPr>
      <w:r>
        <w:t>SETTLEMENT POSITION ANALYSIS</w:t>
      </w:r>
    </w:p>
    <w:p>
      <w:r>
        <w:t>Minimum Settlement Terms:</w:t>
        <w:br/>
        <w:t>- 50/50 expense sharing forward</w:t>
        <w:br/>
        <w:t>- $24,450 reimbursement</w:t>
        <w:br/>
        <w:t>- Health insurance reinstated</w:t>
        <w:br/>
        <w:t>- $12,000 HVAC credit recognized</w:t>
        <w:br/>
        <w:br/>
        <w:t>Ideal Settlement Terms:</w:t>
        <w:br/>
        <w:t>- 50/50 sharing forward</w:t>
        <w:br/>
        <w:t>- $24,450 + interest reimbursement</w:t>
        <w:br/>
        <w:t>- Insurance + damages</w:t>
        <w:br/>
        <w:t>- $12,000 + interest HVAC credit</w:t>
        <w:br/>
        <w:t>- Bridge loan compensation</w:t>
        <w:br/>
        <w:t>- Higher equity share</w:t>
      </w:r>
    </w:p>
    <w:p>
      <w:pPr>
        <w:pStyle w:val="Heading2"/>
      </w:pPr>
      <w:r>
        <w:t>VISUAL TIMELINE: FINANCIAL ABANDONMENT PATTERN</w:t>
      </w:r>
    </w:p>
    <w:p>
      <w:r>
        <w:t>[This section includes timeline highlights:]</w:t>
        <w:br/>
        <w:t>- Apr 2022: Property acquisition</w:t>
        <w:br/>
        <w:t>- Jul 2023: HVAC replacement</w:t>
        <w:br/>
        <w:t>- Oct 2023 – Sep 2024: Rental period</w:t>
        <w:br/>
        <w:t>- Mar 2024: Home invasion/disability</w:t>
        <w:br/>
        <w:t>- Aug 2024: Insurance termination</w:t>
        <w:br/>
        <w:t>- Oct 2024 – Present: Vacancy with Stephen’s sole contributions</w:t>
        <w:br/>
        <w:t>- Jan–Mar 2025: Bridge loan period</w:t>
        <w:br/>
        <w:t>- Apr 16, 2025: Foreclosure risk begins</w:t>
      </w:r>
    </w:p>
    <w:p>
      <w:pPr>
        <w:pStyle w:val="Heading2"/>
      </w:pPr>
      <w:r>
        <w:t>DOCUMENTATION INVENTORY</w:t>
      </w:r>
    </w:p>
    <w:p>
      <w:r>
        <w:t>Financial:</w:t>
        <w:br/>
        <w:t>- Deed, mortgage, HOA, HVAC invoice, bridge loan, tax, insurance, rent docs</w:t>
        <w:br/>
        <w:br/>
        <w:t>Medical:</w:t>
        <w:br/>
        <w:t>- PTSD/ADHD diagnosis, treatment records, insurance termination, COBRA docs</w:t>
        <w:br/>
        <w:br/>
        <w:t>Communication:</w:t>
        <w:br/>
        <w:t>- Emails, texts, agent emails, foreclosure notices, resolution attempts</w:t>
      </w:r>
    </w:p>
    <w:p>
      <w:pPr>
        <w:pStyle w:val="Heading2"/>
      </w:pPr>
      <w:r>
        <w:t>STRATEGIC RECOMMENDATIONS</w:t>
      </w:r>
    </w:p>
    <w:p>
      <w:r>
        <w:t>- Emergency Motion: Secure interim sharing order</w:t>
        <w:br/>
        <w:t>- Documentation Protocol: Log and receipt every expense</w:t>
        <w:br/>
        <w:t>- Communication: Centralize and document all exchanges</w:t>
        <w:br/>
        <w:t>- Health Insurance Claim: Isolate for separate demand</w:t>
        <w:br/>
        <w:t>- Expert: Use financial expert to validate claims</w:t>
        <w:br/>
        <w:t>- Settlement Range: Define minimum/ideal outcomes</w:t>
        <w:br/>
        <w:t>- Trial Prep: Structure matrix for evidentiary foundation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