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48"/>
        </w:rPr>
        <w:t>Comprehensive Forecasting and Statistical</w:t>
      </w:r>
    </w:p>
    <w:p>
      <w:pPr>
        <w:autoSpaceDN w:val="0"/>
        <w:autoSpaceDE w:val="0"/>
        <w:widowControl/>
        <w:spacing w:line="480" w:lineRule="exact" w:before="78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48"/>
        </w:rPr>
        <w:t>Analysis of Indian Oil Sector and Crude</w:t>
      </w:r>
    </w:p>
    <w:p>
      <w:pPr>
        <w:autoSpaceDN w:val="0"/>
        <w:autoSpaceDE w:val="0"/>
        <w:widowControl/>
        <w:spacing w:line="478" w:lineRule="exact" w:before="78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48"/>
        </w:rPr>
        <w:t>Benchmarks</w:t>
      </w:r>
    </w:p>
    <w:p>
      <w:pPr>
        <w:autoSpaceDN w:val="0"/>
        <w:autoSpaceDE w:val="0"/>
        <w:widowControl/>
        <w:spacing w:line="248" w:lineRule="exact" w:before="32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2"/>
        </w:rPr>
        <w:t>Stephen Baraik</w:t>
      </w:r>
      <w:r>
        <w:rPr>
          <w:w w:val="102.28266398111978"/>
          <w:rFonts w:ascii="NimbusRomNo9L" w:hAnsi="NimbusRomNo9L" w:eastAsia="NimbusRomNo9L"/>
          <w:b w:val="0"/>
          <w:i w:val="0"/>
          <w:color w:val="000000"/>
          <w:sz w:val="15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Tanisha Ghosh</w:t>
      </w:r>
      <w:r>
        <w:rPr>
          <w:w w:val="102.28266398111978"/>
          <w:rFonts w:ascii="NimbusRomNo9L" w:hAnsi="NimbusRomNo9L" w:eastAsia="NimbusRomNo9L"/>
          <w:b w:val="0"/>
          <w:i w:val="0"/>
          <w:color w:val="000000"/>
          <w:sz w:val="15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Sneha Das</w:t>
      </w:r>
      <w:r>
        <w:rPr>
          <w:w w:val="102.28266398111978"/>
          <w:rFonts w:ascii="NimbusRomNo9L" w:hAnsi="NimbusRomNo9L" w:eastAsia="NimbusRomNo9L"/>
          <w:b w:val="0"/>
          <w:i w:val="0"/>
          <w:color w:val="000000"/>
          <w:sz w:val="15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2"/>
        </w:rPr>
        <w:t>, Dr. Suresh Pathare</w:t>
      </w:r>
      <w:r>
        <w:rPr>
          <w:w w:val="102.28266398111978"/>
          <w:rFonts w:ascii="NimbusRomNo9L" w:hAnsi="NimbusRomNo9L" w:eastAsia="NimbusRomNo9L"/>
          <w:b w:val="0"/>
          <w:i w:val="0"/>
          <w:color w:val="000000"/>
          <w:sz w:val="15"/>
        </w:rPr>
        <w:t>4</w:t>
      </w:r>
    </w:p>
    <w:p>
      <w:pPr>
        <w:autoSpaceDN w:val="0"/>
        <w:autoSpaceDE w:val="0"/>
        <w:widowControl/>
        <w:spacing w:line="200" w:lineRule="exact" w:before="4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School of Mathematics, Applied Statistics and Analytics,</w:t>
      </w:r>
    </w:p>
    <w:p>
      <w:pPr>
        <w:autoSpaceDN w:val="0"/>
        <w:tabs>
          <w:tab w:pos="3960" w:val="left"/>
          <w:tab w:pos="4002" w:val="left"/>
          <w:tab w:pos="4040" w:val="left"/>
          <w:tab w:pos="4042" w:val="left"/>
        </w:tabs>
        <w:autoSpaceDE w:val="0"/>
        <w:widowControl/>
        <w:spacing w:line="246" w:lineRule="exact" w:before="0" w:after="642"/>
        <w:ind w:left="2826" w:right="288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NMIMS Deemed to be University, Navi Mumbai, India </w:t>
      </w:r>
      <w:r>
        <w:br/>
      </w:r>
      <w:r>
        <w:tab/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stephenbaraik@gmail.com, </w:t>
      </w:r>
      <w:r>
        <w:br/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ghoshtanisha@gmail.com, 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snehadas1593@gmail.com,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suresh.pathare@nmims.edu</w:t>
      </w:r>
    </w:p>
    <w:p>
      <w:pPr>
        <w:sectPr>
          <w:pgSz w:w="12240" w:h="15840"/>
          <w:pgMar w:top="530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120" w:firstLine="198"/>
        <w:jc w:val="both"/>
      </w:pPr>
      <w:r>
        <w:rPr>
          <w:rFonts w:ascii="NimbusRomNo9L" w:hAnsi="NimbusRomNo9L" w:eastAsia="NimbusRomNo9L"/>
          <w:b/>
          <w:i/>
          <w:color w:val="000000"/>
          <w:sz w:val="18"/>
        </w:rPr>
        <w:t>Abstract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—This research presents a comprehensive, data-driven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forecasting framework for the Indian crude oil sector, integrat-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ing econometric and deep learning methodologies to analyze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interdependencies between global crude benchmarks and the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performance of India’s leading public sector oil enterprises —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BPCL, IOCL, HPCL, ONGC, OIL, and GAIL. Using a decade of</w:t>
      </w:r>
    </w:p>
    <w:p>
      <w:pPr>
        <w:sectPr>
          <w:type w:val="continuous"/>
          <w:pgSz w:w="12240" w:h="15840"/>
          <w:pgMar w:top="53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4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Limited (BPCL), Indian Oil Corporation Limited (IOCL),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Hindustan Petroleum Corporation Limited (HPCL), Oil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Natural Gas Corporation (ONGC), Oil India Limited (OIL),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Gas Authority of India Limited (GAIL), collectively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 the structural foundation of the country’s oil and</w:t>
      </w:r>
    </w:p>
    <w:p>
      <w:pPr>
        <w:sectPr>
          <w:type w:val="nextColumn"/>
          <w:pgSz w:w="12240" w:h="15840"/>
          <w:pgMar w:top="53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historical data (2014–2024) on stock prices, Indian Crude Basket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gas ecosystem.</w:t>
      </w:r>
    </w:p>
    <w:p>
      <w:pPr>
        <w:autoSpaceDN w:val="0"/>
        <w:autoSpaceDE w:val="0"/>
        <w:widowControl/>
        <w:spacing w:line="178" w:lineRule="exact" w:before="14" w:after="2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>(ICB) values in USD and INR, and volatility indices (VIX),</w:t>
      </w:r>
    </w:p>
    <w:p>
      <w:pPr>
        <w:sectPr>
          <w:type w:val="continuous"/>
          <w:pgSz w:w="12240" w:h="15840"/>
          <w:pgMar w:top="530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this study conducts extensive exploratory data analysis (EDA)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followed by comparative modeling using ARIMA, Prophet, and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Long Short-Term Memory (LSTM) networks.</w:t>
      </w:r>
    </w:p>
    <w:p>
      <w:pPr>
        <w:autoSpaceDN w:val="0"/>
        <w:autoSpaceDE w:val="0"/>
        <w:widowControl/>
        <w:spacing w:line="200" w:lineRule="exact" w:before="2" w:after="0"/>
        <w:ind w:left="0" w:right="120" w:firstLine="198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The empirical results demonstrate strong sectoral correlations,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particularly between ONGC and ICB (r = 0.82) and BPCL–IOCL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(r = 0.78), confirming the structural interlinkages between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upstream and downstream entities. Volatility analysis reveals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distinct market regimes corresponding to the 2015–2016 oil price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collapse and the 2020–2021 pandemic period, followed by post-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recovery stabilization. Among the forecasting models, the LSTM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network achieved the lowest prediction error (RMSE 1.5 USD),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outperforming Prophet (2.0 USD) and ARIMA (2.1 USD).</w:t>
      </w:r>
    </w:p>
    <w:p>
      <w:pPr>
        <w:autoSpaceDN w:val="0"/>
        <w:autoSpaceDE w:val="0"/>
        <w:widowControl/>
        <w:spacing w:line="200" w:lineRule="exact" w:before="0" w:after="0"/>
        <w:ind w:left="0" w:right="0" w:firstLine="198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Long-term projections indicate that the Indian Crude Basket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is likely to stabilize within the range of USD 85–95 per barrel by</w:t>
      </w:r>
    </w:p>
    <w:p>
      <w:pPr>
        <w:sectPr>
          <w:type w:val="continuous"/>
          <w:pgSz w:w="12240" w:h="15840"/>
          <w:pgMar w:top="53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2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volatility of crude oil prices remains one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23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most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significant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external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factors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affecting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India’s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fiscal</w:t>
            </w:r>
          </w:p>
        </w:tc>
      </w:tr>
    </w:tbl>
    <w:p>
      <w:pPr>
        <w:autoSpaceDN w:val="0"/>
        <w:autoSpaceDE w:val="0"/>
        <w:widowControl/>
        <w:spacing w:line="236" w:lineRule="exact" w:before="0" w:after="138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health, trade balance, and inflationary trends. Over the past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decade (2014–2024), the sector has experienced pronounced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fluctuations driven by events such as the 2015–2016 global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oil price collapse, the 2020–2021 COVID-19 pandemic,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the post-pandemic recovery cycle. These shocks have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altered consumption patterns, refining margins, and upstream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investment flows, underlining the need for robust data-driven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forecasting models capable of capturing nonlinear, volatile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market behavior.</w:t>
      </w:r>
    </w:p>
    <w:p>
      <w:pPr>
        <w:sectPr>
          <w:type w:val="nextColumn"/>
          <w:pgSz w:w="12240" w:h="15840"/>
          <w:pgMar w:top="53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188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2035, with upstream firms such as ONGC and OIL exhibiting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Previous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studies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[1]–[3]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have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extensively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explored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70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8"/>
              </w:rPr>
              <w:t>steady revenue growth (4% CAGR). The study demonstrates</w:t>
            </w:r>
          </w:p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  <w:tc>
          <w:tcPr>
            <w:tcW w:type="dxa" w:w="12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530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that hybrid econometric–AI frameworks substantially improve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the accuracy and interpretability of energy market forecasting,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offering valuable insights for policymakers, investors, and energy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strategists in managing price volatility and planning future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capacity expansion.</w:t>
      </w:r>
    </w:p>
    <w:p>
      <w:pPr>
        <w:autoSpaceDN w:val="0"/>
        <w:autoSpaceDE w:val="0"/>
        <w:widowControl/>
        <w:spacing w:line="200" w:lineRule="exact" w:before="0" w:after="0"/>
        <w:ind w:left="0" w:right="0" w:firstLine="198"/>
        <w:jc w:val="left"/>
      </w:pPr>
      <w:r>
        <w:rPr>
          <w:rFonts w:ascii="NimbusRomNo9L" w:hAnsi="NimbusRomNo9L" w:eastAsia="NimbusRomNo9L"/>
          <w:b/>
          <w:i/>
          <w:color w:val="000000"/>
          <w:sz w:val="18"/>
        </w:rPr>
        <w:t>Index Terms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—Crude Oil, Forecasting, Indian oil companies, </w:t>
      </w:r>
      <w:r>
        <w:rPr>
          <w:rFonts w:ascii="NimbusRomNo9L" w:hAnsi="NimbusRomNo9L" w:eastAsia="NimbusRomNo9L"/>
          <w:b/>
          <w:i w:val="0"/>
          <w:color w:val="000000"/>
          <w:sz w:val="18"/>
        </w:rPr>
        <w:t>ARIMA, LSTM, Time Series Analysis, Energy Economics, Quan-</w:t>
      </w:r>
    </w:p>
    <w:p>
      <w:pPr>
        <w:sectPr>
          <w:type w:val="continuous"/>
          <w:pgSz w:w="12240" w:h="15840"/>
          <w:pgMar w:top="53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relationship between oil price shocks and macroeconomic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outcomes, yet much of the literature focuses on either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global markets or isolated firm-level analyses. Few studies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28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have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provided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integrated,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multi-company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framework</w:t>
            </w:r>
          </w:p>
        </w:tc>
      </w:tr>
    </w:tbl>
    <w:p>
      <w:pPr>
        <w:autoSpaceDN w:val="0"/>
        <w:autoSpaceDE w:val="0"/>
        <w:widowControl/>
        <w:spacing w:line="228" w:lineRule="exact" w:before="0" w:after="18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that simultaneously models both upstream and downstream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interactions within the Indian context. Moreover, traditional</w:t>
      </w:r>
    </w:p>
    <w:p>
      <w:pPr>
        <w:sectPr>
          <w:type w:val="nextColumn"/>
          <w:pgSz w:w="12240" w:h="15840"/>
          <w:pgMar w:top="53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80" w:lineRule="exact" w:before="0" w:after="206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18"/>
        </w:rPr>
        <w:t xml:space="preserve">titative Modeling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econometric models, such as ARIMA and GARCH, although</w:t>
      </w:r>
    </w:p>
    <w:p>
      <w:pPr>
        <w:sectPr>
          <w:type w:val="continuous"/>
          <w:pgSz w:w="12240" w:h="15840"/>
          <w:pgMar w:top="530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181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I</w:t>
      </w:r>
      <w:r>
        <w:rPr>
          <w:rFonts w:ascii="NimbusRomNo9L" w:hAnsi="NimbusRomNo9L" w:eastAsia="NimbusRomNo9L"/>
          <w:b/>
          <w:i w:val="0"/>
          <w:color w:val="000000"/>
          <w:sz w:val="16"/>
        </w:rPr>
        <w:t>NTRODUCTION</w:t>
      </w:r>
    </w:p>
    <w:p>
      <w:pPr>
        <w:autoSpaceDN w:val="0"/>
        <w:autoSpaceDE w:val="0"/>
        <w:widowControl/>
        <w:spacing w:line="238" w:lineRule="exact" w:before="72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India’s petroleum sector forms the backbone of the nation’s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energy infrastructure, supplying over 30% of its total primary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energy demand and fueling critical sectors such as transport,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manufacturing, and power generation. As one of the world’s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largest importers of crude oil, India’s economic stability 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strongly influenced by global energy price dynamics, exchange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rate fluctuations, and domestic regulatory intervention. The</w:t>
      </w:r>
    </w:p>
    <w:p>
      <w:pPr>
        <w:sectPr>
          <w:type w:val="continuous"/>
          <w:pgSz w:w="12240" w:h="15840"/>
          <w:pgMar w:top="53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22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statistically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interpretable,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often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struggle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capture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nonlinear dependencies and structural breaks inherent 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modern financial time series.</w:t>
      </w:r>
    </w:p>
    <w:p>
      <w:pPr>
        <w:autoSpaceDN w:val="0"/>
        <w:autoSpaceDE w:val="0"/>
        <w:widowControl/>
        <w:spacing w:line="238" w:lineRule="exact" w:before="238" w:after="4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research bridges these methodological and empirical gaps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integrating classical time-series econometrics with modern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deep learning architectures to provide a comprehensive,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long-horizon forecasting framework for India’s crude oil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ecosystem. Leveraging a decade of empirical data, this</w:t>
      </w:r>
    </w:p>
    <w:p>
      <w:pPr>
        <w:sectPr>
          <w:type w:val="nextColumn"/>
          <w:pgSz w:w="12240" w:h="15840"/>
          <w:pgMar w:top="53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18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operational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financial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public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sector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study employs Exploratory Data Analysis (EDA) to identify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30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undertakings (PSUs), including Bharat Petroleum Corporation</w:t>
      </w:r>
    </w:p>
    <w:p>
      <w:pPr>
        <w:sectPr>
          <w:type w:val="continuous"/>
          <w:pgSz w:w="12240" w:h="15840"/>
          <w:pgMar w:top="53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sectoral dependencies and volatility regimes, followed by</w:t>
      </w:r>
    </w:p>
    <w:p>
      <w:pPr>
        <w:sectPr>
          <w:type w:val="nextColumn"/>
          <w:pgSz w:w="12240" w:h="15840"/>
          <w:pgMar w:top="530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hybrid forecasting models — ARIMA, Prophet, and LSTM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improvements in forecast accuracy and adaptability. [7]</w:t>
      </w:r>
    </w:p>
    <w:p>
      <w:pPr>
        <w:autoSpaceDN w:val="0"/>
        <w:tabs>
          <w:tab w:pos="5260" w:val="left"/>
          <w:tab w:pos="6288" w:val="left"/>
          <w:tab w:pos="6984" w:val="left"/>
          <w:tab w:pos="7538" w:val="left"/>
          <w:tab w:pos="8366" w:val="left"/>
          <w:tab w:pos="9120" w:val="left"/>
          <w:tab w:pos="9594" w:val="left"/>
        </w:tabs>
        <w:autoSpaceDE w:val="0"/>
        <w:widowControl/>
        <w:spacing w:line="200" w:lineRule="exact" w:before="4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— to predict price trajectories and corporate performance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introduced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hybrid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deep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learning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combine</w:t>
      </w:r>
    </w:p>
    <w:p>
      <w:pPr>
        <w:autoSpaceDN w:val="0"/>
        <w:tabs>
          <w:tab w:pos="5260" w:val="left"/>
        </w:tabs>
        <w:autoSpaceDE w:val="0"/>
        <w:widowControl/>
        <w:spacing w:line="198" w:lineRule="exact" w:before="4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indicators.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 decomposition techniques with Long Short-Term</w:t>
      </w:r>
    </w:p>
    <w:p>
      <w:pPr>
        <w:autoSpaceDN w:val="0"/>
        <w:tabs>
          <w:tab w:pos="6108" w:val="left"/>
          <w:tab w:pos="6934" w:val="left"/>
          <w:tab w:pos="8114" w:val="left"/>
          <w:tab w:pos="8430" w:val="left"/>
          <w:tab w:pos="9144" w:val="left"/>
          <w:tab w:pos="9992" w:val="left"/>
        </w:tabs>
        <w:autoSpaceDE w:val="0"/>
        <w:widowControl/>
        <w:spacing w:line="200" w:lineRule="exact" w:before="40" w:after="38"/>
        <w:ind w:left="52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Memory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(LSTM)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architectures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</w:t>
      </w:r>
    </w:p>
    <w:p>
      <w:pPr>
        <w:sectPr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combining interpretability and predictive accuracy, 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study contributes to three major objectives:</w:t>
      </w:r>
    </w:p>
    <w:p>
      <w:pPr>
        <w:autoSpaceDN w:val="0"/>
        <w:tabs>
          <w:tab w:pos="484" w:val="left"/>
        </w:tabs>
        <w:autoSpaceDE w:val="0"/>
        <w:widowControl/>
        <w:spacing w:line="238" w:lineRule="exact" w:before="34" w:after="0"/>
        <w:ind w:left="1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1) Quantifying the statistical interdependence between In-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dian oil PSUs and the Indian Crude Basket (ICB).</w:t>
      </w:r>
    </w:p>
    <w:p>
      <w:pPr>
        <w:autoSpaceDN w:val="0"/>
        <w:autoSpaceDE w:val="0"/>
        <w:widowControl/>
        <w:spacing w:line="238" w:lineRule="exact" w:before="2" w:after="0"/>
        <w:ind w:left="484" w:right="0" w:hanging="28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2) Comparing the performance of traditional econometric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deep learning models in capturing temporal and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4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energy market trends. [8] extended this work by integrating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Prophet–LSTM hybrid frameworks, demonstrating superior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performance in highly volatile environments by blending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time-series decomposition with nonlinear learning capability.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Similarly, [9] applied convolutional neural networks (CNNs)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along with LSTM units to forecast Brent crude prices,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202"/>
        </w:trPr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nonlinear dynamics.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achieving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higher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than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conventional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ARIMA</w:t>
            </w:r>
          </w:p>
        </w:tc>
      </w:tr>
      <w:tr>
        <w:trPr>
          <w:trHeight w:hRule="exact" w:val="48"/>
        </w:trPr>
        <w:tc>
          <w:tcPr>
            <w:tcW w:type="dxa" w:w="1471"/>
            <w:vMerge/>
            <w:tcBorders/>
          </w:tcPr>
          <w:p/>
        </w:tc>
        <w:tc>
          <w:tcPr>
            <w:tcW w:type="dxa" w:w="1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benchmarks.</w:t>
            </w:r>
          </w:p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3) Providing actionable insights for policymakers and in-</w:t>
            </w:r>
          </w:p>
        </w:tc>
        <w:tc>
          <w:tcPr>
            <w:tcW w:type="dxa" w:w="2942"/>
            <w:gridSpan w:val="2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40"/>
        <w:ind w:left="48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vestors on volatility management, fiscal planning, and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48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long-term energy strategy.</w:t>
      </w:r>
    </w:p>
    <w:p>
      <w:pPr>
        <w:autoSpaceDN w:val="0"/>
        <w:autoSpaceDE w:val="0"/>
        <w:widowControl/>
        <w:spacing w:line="240" w:lineRule="exact" w:before="32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doing so, this paper advances the field of energy economics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forecasting by demonstrating that hybrid analytical ap-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proaches can serve as reliable decision-support tools in an era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4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Despite these advances, significant research gaps persist in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Indian petroleum context. Most prior studies either examine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individual firms in isolation or rely solely on econometric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or machine learning paradigms, neglecting the synergistic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hRule="exact" w:val="196"/>
        </w:trPr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 unprecedented market uncertainty and energy transition.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benefits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hybrid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models.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6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Moreover,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limited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research</w:t>
            </w:r>
          </w:p>
        </w:tc>
      </w:tr>
      <w:tr>
        <w:trPr>
          <w:trHeight w:hRule="exact" w:val="114"/>
        </w:trPr>
        <w:tc>
          <w:tcPr>
            <w:tcW w:type="dxa" w:w="792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7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has</w:t>
            </w:r>
          </w:p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focused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on</w:t>
            </w:r>
          </w:p>
        </w:tc>
        <w:tc>
          <w:tcPr>
            <w:tcW w:type="dxa" w:w="14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8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multi-company,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sector-wide</w:t>
            </w:r>
          </w:p>
        </w:tc>
        <w:tc>
          <w:tcPr>
            <w:tcW w:type="dxa" w:w="1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9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forecasting</w:t>
            </w:r>
          </w:p>
        </w:tc>
      </w:tr>
      <w:tr>
        <w:trPr>
          <w:trHeight w:hRule="exact" w:val="146"/>
        </w:trPr>
        <w:tc>
          <w:tcPr>
            <w:tcW w:type="dxa" w:w="5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II.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 xml:space="preserve"> L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ITERATURE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 xml:space="preserve"> R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EVIEW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1584"/>
            <w:gridSpan w:val="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2376"/>
            <w:gridSpan w:val="3"/>
            <w:vMerge/>
            <w:tcBorders/>
          </w:tcPr>
          <w:p/>
        </w:tc>
        <w:tc>
          <w:tcPr>
            <w:tcW w:type="dxa" w:w="1584"/>
            <w:gridSpan w:val="2"/>
            <w:vMerge/>
            <w:tcBorders/>
          </w:tcPr>
          <w:p/>
        </w:tc>
        <w:tc>
          <w:tcPr>
            <w:tcW w:type="dxa" w:w="2376"/>
            <w:gridSpan w:val="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792"/>
            <w:vMerge/>
            <w:tcBorders/>
          </w:tcPr>
          <w:p/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frameworks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that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integrate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both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upstream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(ONGC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relationship between crude oil price dynamics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macroeconomic performance has been extensively studied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across global and regional contexts. Early research by [1]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established a causal linkage between oil price shocks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macroeconomic recessions in the United States, laying the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14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OIL) and downstream (BPCL, IOCL, and HPCL) entities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under unified modeling conditions. Additionally, technical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indicators such as Moving Averages, RSI, MACD,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volatility indices (VIX), which capture investor sentiment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market momentum, remain underutilized in Indian oil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foundation for subsequent analyses in energy economics.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forecasting studies.</w:t>
      </w:r>
    </w:p>
    <w:p>
      <w:pPr>
        <w:autoSpaceDN w:val="0"/>
        <w:autoSpaceDE w:val="0"/>
        <w:widowControl/>
        <w:spacing w:line="200" w:lineRule="exact" w:before="14" w:after="4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Building upon this, [4] and [5] explore the asymmetric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effects of oil price increases and decreases on output growth,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underscoring the structural role of oil price volatility 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economic fluctuations.</w:t>
      </w:r>
    </w:p>
    <w:p>
      <w:pPr>
        <w:autoSpaceDN w:val="0"/>
        <w:autoSpaceDE w:val="0"/>
        <w:widowControl/>
        <w:spacing w:line="240" w:lineRule="exact" w:before="236" w:after="2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the Indian context, [2] investigated the long-run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short-run relationships between oil prices and stock market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240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indices,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identifying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significant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cointegration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effects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bidirectional causality between energy prices and equity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performance. Similarly, [3] analyzed the sectoral sensitivity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Indian stock markets to crude price movements, revealing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that energy-intensive industries and petroleum PSUs exhibit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heightened vulnerability to global oil price shocks. These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studies collectively emphasize the systemic transmission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oil price volatility across both macroeconomic and corporate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dimensions.</w:t>
      </w:r>
    </w:p>
    <w:p>
      <w:pPr>
        <w:autoSpaceDN w:val="0"/>
        <w:autoSpaceDE w:val="0"/>
        <w:widowControl/>
        <w:spacing w:line="238" w:lineRule="exact" w:before="236" w:after="2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From a methodological standpoint, traditional econometric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 such as ARIMA, VAR, and GARCH have been widely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employed to capture linear dependencies and conditional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24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heteroskedasticity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oil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price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data.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example,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[6]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demonstrate the utility of GARCH-type models in modeling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volatility clustering and risk transmission across global energy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markets. However, these models inherently assume linearity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stationarity, limiting their effectiveness in capturing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abrupt structural shifts and nonlinear feedback loops that are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typical of energy time series.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research builds upon and extends the existing literature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by:</w:t>
      </w:r>
    </w:p>
    <w:p>
      <w:pPr>
        <w:autoSpaceDN w:val="0"/>
        <w:autoSpaceDE w:val="0"/>
        <w:widowControl/>
        <w:spacing w:line="238" w:lineRule="exact" w:before="112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1) Developing a hybrid econometric–AI framework 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integrates ARIMA, Prophet, and LSTM models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comprehensive crude price and corporate performance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forecasting.</w:t>
      </w:r>
    </w:p>
    <w:p>
      <w:pPr>
        <w:autoSpaceDN w:val="0"/>
        <w:autoSpaceDE w:val="0"/>
        <w:widowControl/>
        <w:spacing w:line="238" w:lineRule="exact" w:before="2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2) Conducting a multi-company, correlation-driven analysis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Indian PSUs and the Indian Crude Basket (ICB)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across a decade-long dataset (2014–2024).</w:t>
      </w:r>
    </w:p>
    <w:p>
      <w:pPr>
        <w:autoSpaceDN w:val="0"/>
        <w:autoSpaceDE w:val="0"/>
        <w:widowControl/>
        <w:spacing w:line="238" w:lineRule="exact" w:before="0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3) Incorporating advanced technical and volatility indica-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tors to enhance predictive feature richness and inter-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pretability.</w:t>
      </w:r>
    </w:p>
    <w:p>
      <w:pPr>
        <w:autoSpaceDN w:val="0"/>
        <w:autoSpaceDE w:val="0"/>
        <w:widowControl/>
        <w:spacing w:line="240" w:lineRule="exact" w:before="11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synthesizing traditional statistical interpretability 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modern deep learning flexibility, this study contributes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unified methodological framework to the field of energy fore-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casting and quantitative policy analysis, specifically tailored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to the Indian petroleum economy.</w:t>
      </w:r>
    </w:p>
    <w:p>
      <w:pPr>
        <w:autoSpaceDN w:val="0"/>
        <w:autoSpaceDE w:val="0"/>
        <w:widowControl/>
        <w:spacing w:line="202" w:lineRule="exact" w:before="450" w:after="0"/>
        <w:ind w:left="0" w:right="162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III.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/>
          <w:i w:val="0"/>
          <w:color w:val="000000"/>
          <w:sz w:val="16"/>
        </w:rPr>
        <w:t>ESEARCH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G</w:t>
      </w:r>
      <w:r>
        <w:rPr>
          <w:rFonts w:ascii="NimbusRomNo9L" w:hAnsi="NimbusRomNo9L" w:eastAsia="NimbusRomNo9L"/>
          <w:b/>
          <w:i w:val="0"/>
          <w:color w:val="000000"/>
          <w:sz w:val="16"/>
        </w:rPr>
        <w:t>AP</w:t>
      </w:r>
    </w:p>
    <w:p>
      <w:pPr>
        <w:autoSpaceDN w:val="0"/>
        <w:autoSpaceDE w:val="0"/>
        <w:widowControl/>
        <w:spacing w:line="238" w:lineRule="exact" w:before="258" w:after="4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Although extensive research has been conducted on global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crude oil price dynamics, volatility modeling, and macroeco-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nomic linkages, several important gaps persist in the context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 the Indian petroleum sector, particularly regarding inte-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grated, data-driven forecasting frameworks. A synthesis of the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02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contrast,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modern</w:t>
            </w:r>
          </w:p>
        </w:tc>
        <w:tc>
          <w:tcPr>
            <w:tcW w:type="dxa" w:w="10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approaches</w:t>
            </w:r>
          </w:p>
        </w:tc>
        <w:tc>
          <w:tcPr>
            <w:tcW w:type="dxa" w:w="1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incorporating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machine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reviewed literature highlights the following critical research</w:t>
            </w:r>
          </w:p>
        </w:tc>
      </w:tr>
      <w:tr>
        <w:trPr>
          <w:trHeight w:hRule="exact" w:val="218"/>
        </w:trPr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learning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3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deep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9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learning</w:t>
            </w:r>
          </w:p>
        </w:tc>
        <w:tc>
          <w:tcPr>
            <w:tcW w:type="dxa" w:w="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have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shown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promising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deficiencies.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A. Lack of Integrated Multi-Company Analysis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investment decision-making tool for India’s evolving energy</w:t>
      </w:r>
    </w:p>
    <w:p>
      <w:pPr>
        <w:autoSpaceDN w:val="0"/>
        <w:tabs>
          <w:tab w:pos="5260" w:val="left"/>
        </w:tabs>
        <w:autoSpaceDE w:val="0"/>
        <w:widowControl/>
        <w:spacing w:line="240" w:lineRule="exact" w:before="0" w:after="4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Most prior studies have focused on individual firm-level analy-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landscape.</w:t>
      </w:r>
    </w:p>
    <w:p>
      <w:pPr>
        <w:sectPr>
          <w:pgSz w:w="12240" w:h="15840"/>
          <w:pgMar w:top="512" w:right="960" w:bottom="69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ses—examining ONGC, IOCL, or BPCL in isolation—without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accounting for systemic interdependencies within India’s oil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ecosystem. Given the structural coupling between upstream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producers (ONGC and OIL) and downstream refiners (BPCL,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IOCL, and HPCL), a unified analytical framework is essential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capture sectoral co-movements, volatility spillovers,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policy-sensitive dependencies.</w:t>
      </w:r>
    </w:p>
    <w:p>
      <w:pPr>
        <w:autoSpaceDN w:val="0"/>
        <w:autoSpaceDE w:val="0"/>
        <w:widowControl/>
        <w:spacing w:line="200" w:lineRule="exact" w:before="188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 Absence of Hybrid Econometric–Deep Learning Frame-</w:t>
      </w:r>
    </w:p>
    <w:p>
      <w:pPr>
        <w:sectPr>
          <w:type w:val="continuous"/>
          <w:pgSz w:w="12240" w:h="15840"/>
          <w:pgMar w:top="512" w:right="960" w:bottom="69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162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IV.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P</w:t>
      </w:r>
      <w:r>
        <w:rPr>
          <w:rFonts w:ascii="NimbusRomNo9L" w:hAnsi="NimbusRomNo9L" w:eastAsia="NimbusRomNo9L"/>
          <w:b/>
          <w:i w:val="0"/>
          <w:color w:val="000000"/>
          <w:sz w:val="16"/>
        </w:rPr>
        <w:t>RELIMINARIES</w:t>
      </w:r>
    </w:p>
    <w:p>
      <w:pPr>
        <w:autoSpaceDN w:val="0"/>
        <w:autoSpaceDE w:val="0"/>
        <w:widowControl/>
        <w:spacing w:line="240" w:lineRule="exact" w:before="84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 section presents the foundational analytical setup, fo-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cusing on correlation modeling and forecasting frameworks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adopted in the study.</w:t>
      </w:r>
    </w:p>
    <w:p>
      <w:pPr>
        <w:autoSpaceDN w:val="0"/>
        <w:autoSpaceDE w:val="0"/>
        <w:widowControl/>
        <w:spacing w:line="200" w:lineRule="exact" w:before="20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 Correlation and Dependence Modeling</w:t>
      </w:r>
    </w:p>
    <w:p>
      <w:pPr>
        <w:autoSpaceDN w:val="0"/>
        <w:autoSpaceDE w:val="0"/>
        <w:widowControl/>
        <w:spacing w:line="238" w:lineRule="exact" w:before="80" w:after="1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correlation analysis quantifies both linear and monotonic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relationships among key petroleum sector variables. The fol-</w:t>
      </w:r>
    </w:p>
    <w:p>
      <w:pPr>
        <w:sectPr>
          <w:type w:val="nextColumn"/>
          <w:pgSz w:w="12240" w:h="15840"/>
          <w:pgMar w:top="512" w:right="960" w:bottom="69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82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works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lowing conclusions were drawn.</w:t>
      </w:r>
    </w:p>
    <w:p>
      <w:pPr>
        <w:sectPr>
          <w:type w:val="continuous"/>
          <w:pgSz w:w="12240" w:h="15840"/>
          <w:pgMar w:top="512" w:right="960" w:bottom="69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21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Traditional econometric models such as ARIMA and GARCH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provide valuable statistical interpretability but are constrained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assumptions of linearity and stationarity. Conversely, deep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learning models such as LSTM and GRU capture nonlinear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patterns but often lack transparency and parameter explainabil-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ity. Existing studies have rarely integrated these paradigms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leverage their complementary strengths—statistical rigor 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adaptive learning capacity.</w:t>
      </w:r>
    </w:p>
    <w:p>
      <w:pPr>
        <w:sectPr>
          <w:type w:val="continuous"/>
          <w:pgSz w:w="12240" w:h="15840"/>
          <w:pgMar w:top="512" w:right="960" w:bottom="696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422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The correlation matrix revealed strong inter-firm depen-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dencies, particularly between ONGC–ICB 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BPCL–IOCL 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), highlighting the sector’s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structural interlinkages and cascading effects of global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crude price shifts on domestic performance.</w:t>
      </w:r>
    </w:p>
    <w:p>
      <w:pPr>
        <w:autoSpaceDN w:val="0"/>
        <w:autoSpaceDE w:val="0"/>
        <w:widowControl/>
        <w:spacing w:line="240" w:lineRule="exact" w:before="0" w:after="40"/>
        <w:ind w:left="422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Rolling correlation analysis using a 30-day window was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conducted to capture temporal shifts in interdependence,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providing insights into dynamic volatility transmission</w:t>
      </w:r>
    </w:p>
    <w:p>
      <w:pPr>
        <w:sectPr>
          <w:type w:val="nextColumn"/>
          <w:pgSz w:w="12240" w:h="15840"/>
          <w:pgMar w:top="512" w:right="960" w:bottom="696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50"/>
        <w:gridCol w:w="5150"/>
      </w:tblGrid>
      <w:tr>
        <w:trPr>
          <w:trHeight w:hRule="exact" w:val="322"/>
        </w:trPr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C. Underrepresentation of Technical and Volatility Indicators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across entities.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4"/>
        <w:ind w:left="0" w:right="0"/>
      </w:pPr>
    </w:p>
    <w:p>
      <w:pPr>
        <w:sectPr>
          <w:type w:val="continuous"/>
          <w:pgSz w:w="12240" w:h="15840"/>
          <w:pgMar w:top="512" w:right="960" w:bottom="69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Indian studies on crude oil and PSU stock forecasting often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rely solely on price and volume data, omitting technical indica-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tors such as Moving Averages (MA), Relative Strength Index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(RSI), MACD, and Bollinger Bands. Additionally, volatility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indices (VIX), which reflect market sentiment and risk percep-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tion, are seldom incorporated despite their predictive potential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energy market modeling.</w:t>
      </w:r>
    </w:p>
    <w:p>
      <w:pPr>
        <w:autoSpaceDN w:val="0"/>
        <w:autoSpaceDE w:val="0"/>
        <w:widowControl/>
        <w:spacing w:line="200" w:lineRule="exact" w:before="18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 Limited Long-Term Forecasting Horizons</w:t>
      </w:r>
    </w:p>
    <w:p>
      <w:pPr>
        <w:autoSpaceDN w:val="0"/>
        <w:autoSpaceDE w:val="0"/>
        <w:widowControl/>
        <w:spacing w:line="240" w:lineRule="exact" w:before="72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Most existing analyses adopt short-term forecasting windows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(typically 6–12 months), providing limited insights into struc-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tural market transitions, post-pandemic recovery trends,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 implications. A decade-long analytical horizon (2014–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2024) offers richer temporal granularity for examining cyclical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secular trends in India’s oil markets.</w:t>
      </w:r>
    </w:p>
    <w:p>
      <w:pPr>
        <w:sectPr>
          <w:type w:val="continuous"/>
          <w:pgSz w:w="12240" w:h="15840"/>
          <w:pgMar w:top="512" w:right="960" w:bottom="69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 Forecasting Models and Theoretical Foundation</w:t>
      </w:r>
    </w:p>
    <w:p>
      <w:pPr>
        <w:autoSpaceDN w:val="0"/>
        <w:autoSpaceDE w:val="0"/>
        <w:widowControl/>
        <w:spacing w:line="238" w:lineRule="exact" w:before="80" w:after="42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predictive framework integrates three primary forecasting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models—ARIMA, Prophet, and LSTM—each designed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capture distinct characteristics of financial time series 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575"/>
        <w:gridCol w:w="2575"/>
        <w:gridCol w:w="2575"/>
        <w:gridCol w:w="2575"/>
      </w:tblGrid>
      <w:tr>
        <w:trPr>
          <w:trHeight w:hRule="exact" w:val="262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1)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 xml:space="preserve"> Autoregressive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Integrated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Moving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19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Average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60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(ARIMA):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Classical econometric model that captures linear tempo-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ral dependencies. Its general form is given by</w:t>
      </w:r>
    </w:p>
    <w:p>
      <w:pPr>
        <w:autoSpaceDN w:val="0"/>
        <w:autoSpaceDE w:val="0"/>
        <w:widowControl/>
        <w:spacing w:line="264" w:lineRule="exact" w:before="150" w:after="0"/>
        <w:ind w:left="0" w:right="1182" w:firstLine="0"/>
        <w:jc w:val="right"/>
      </w:pP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)(1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10" w:hAnsi="CMMI10" w:eastAsia="CMMI10"/>
          <w:b w:val="0"/>
          <w:i/>
          <w:color w:val="000000"/>
          <w:sz w:val="20"/>
        </w:rPr>
        <w:t>P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ε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</w:p>
    <w:p>
      <w:pPr>
        <w:autoSpaceDN w:val="0"/>
        <w:autoSpaceDE w:val="0"/>
        <w:widowControl/>
        <w:spacing w:line="238" w:lineRule="exact" w:before="126" w:after="38"/>
        <w:ind w:left="604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is the backshift operator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represent autoregressive and moving average polyno-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mials, respectively. Optimal parameters (</w:t>
      </w:r>
      <w:r>
        <w:rPr>
          <w:rFonts w:ascii="CMMI10" w:hAnsi="CMMI10" w:eastAsia="CMMI10"/>
          <w:b w:val="0"/>
          <w:i/>
          <w:color w:val="000000"/>
          <w:sz w:val="20"/>
        </w:rPr>
        <w:t>p, d, q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 were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selected based on the Akaike Information Criterion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(AIC) minimization.</w:t>
      </w:r>
    </w:p>
    <w:p>
      <w:pPr>
        <w:sectPr>
          <w:type w:val="nextColumn"/>
          <w:pgSz w:w="12240" w:h="15840"/>
          <w:pgMar w:top="512" w:right="960" w:bottom="696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458" w:val="left"/>
        </w:tabs>
        <w:autoSpaceDE w:val="0"/>
        <w:widowControl/>
        <w:spacing w:line="200" w:lineRule="exact" w:before="0" w:after="112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E. Weak Policy and Strategic Integration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2)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Prophet Model:</w:t>
      </w:r>
    </w:p>
    <w:p>
      <w:pPr>
        <w:sectPr>
          <w:type w:val="continuous"/>
          <w:pgSz w:w="12240" w:h="15840"/>
          <w:pgMar w:top="512" w:right="960" w:bottom="69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20"/>
        <w:ind w:left="0" w:right="21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Despite the crucial fiscal implications of crude price volatility,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very few models translate forecasting outcomes into policy-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relevant insights—such as fiscal planning, strategic petroleum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reserve management, and subsidy optimization. The absence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24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interpretable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decision-support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frameworks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limits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practical applicability of prior research for government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industry stakeholders.</w:t>
      </w:r>
    </w:p>
    <w:p>
      <w:pPr>
        <w:autoSpaceDN w:val="0"/>
        <w:autoSpaceDE w:val="0"/>
        <w:widowControl/>
        <w:spacing w:line="240" w:lineRule="exact" w:before="240" w:after="0"/>
        <w:ind w:left="0" w:right="21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bridge these gaps, the present study develops a six-phase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hybrid forecasting framework that synthesizes econometric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deep learning methodologies to analyze and predict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 of India’s public sector oil companies along-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side the Indian Crude Basket (ICB) in both USD and INR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terms. By combining Exploratory Data Analysis (EDA) 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advanced predictive modeling (ARIMA, Prophet, and LSTM),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 research not only improves forecast accuracy but also en-</w:t>
      </w:r>
    </w:p>
    <w:p>
      <w:pPr>
        <w:sectPr>
          <w:type w:val="continuous"/>
          <w:pgSz w:w="12240" w:h="15840"/>
          <w:pgMar w:top="512" w:right="960" w:bottom="696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506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Developed by Facebook, Prophet decomposes a time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series into trend, seasonality, and holiday effects 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follows:</w:t>
      </w:r>
    </w:p>
    <w:p>
      <w:pPr>
        <w:autoSpaceDN w:val="0"/>
        <w:autoSpaceDE w:val="0"/>
        <w:widowControl/>
        <w:spacing w:line="216" w:lineRule="exact" w:before="186" w:after="0"/>
        <w:ind w:left="0" w:right="1056" w:firstLine="0"/>
        <w:jc w:val="right"/>
      </w:pP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ε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</w:p>
    <w:p>
      <w:pPr>
        <w:autoSpaceDN w:val="0"/>
        <w:autoSpaceDE w:val="0"/>
        <w:widowControl/>
        <w:spacing w:line="238" w:lineRule="exact" w:before="140" w:after="0"/>
        <w:ind w:left="506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It is robust to missing data and outliers, making it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suitable for long-horizon energy data with irregular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seasonality.</w:t>
      </w:r>
    </w:p>
    <w:p>
      <w:pPr>
        <w:autoSpaceDN w:val="0"/>
        <w:autoSpaceDE w:val="0"/>
        <w:widowControl/>
        <w:spacing w:line="238" w:lineRule="exact" w:before="0" w:after="0"/>
        <w:ind w:left="506" w:right="0" w:hanging="286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3)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Long Short-Term Memory (LSTM) Network: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recurrent neural network (RNN) architecture capable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 learning nonlinear and long-term temporal dependen-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cies through memory cells and gating mechanisms:</w:t>
      </w:r>
    </w:p>
    <w:p>
      <w:pPr>
        <w:autoSpaceDN w:val="0"/>
        <w:autoSpaceDE w:val="0"/>
        <w:widowControl/>
        <w:spacing w:line="230" w:lineRule="exact" w:before="156" w:after="0"/>
        <w:ind w:left="96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f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]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28" w:lineRule="exact" w:before="70" w:after="0"/>
        <w:ind w:left="99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]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32" w:lineRule="exact" w:before="68" w:after="26"/>
        <w:ind w:left="97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f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tanh(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[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]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sectPr>
          <w:type w:val="nextColumn"/>
          <w:pgSz w:w="12240" w:h="15840"/>
          <w:pgMar w:top="512" w:right="960" w:bottom="696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tabs>
          <w:tab w:pos="6186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hances interpretability, enabling its use as a policy-support and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tanh(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sectPr>
          <w:type w:val="continuous"/>
          <w:pgSz w:w="12240" w:h="15840"/>
          <w:pgMar w:top="512" w:right="960" w:bottom="696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4" w:right="960" w:bottom="8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484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implemented model utilized two stacked LSTM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layers (64 units each), followed by dense layers 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dropout regularization to prevent overfitting.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 Evaluation Metrics</w:t>
      </w:r>
    </w:p>
    <w:p>
      <w:pPr>
        <w:autoSpaceDN w:val="0"/>
        <w:autoSpaceDE w:val="0"/>
        <w:widowControl/>
        <w:spacing w:line="240" w:lineRule="exact" w:before="64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forecasting performance was evaluated using two standard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error metrics that measure prediction accuracy across different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models.</w:t>
      </w:r>
    </w:p>
    <w:p>
      <w:pPr>
        <w:autoSpaceDN w:val="0"/>
        <w:autoSpaceDE w:val="0"/>
        <w:widowControl/>
        <w:spacing w:line="200" w:lineRule="exact" w:before="72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Root Mean Squared Error (RMSE):</w:t>
      </w:r>
    </w:p>
    <w:p>
      <w:pPr>
        <w:sectPr>
          <w:type w:val="continuous"/>
          <w:pgSz w:w="12240" w:h="15840"/>
          <w:pgMar w:top="514" w:right="960" w:bottom="85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4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Conventional econometric techniques, such as ARIMA, VAR,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GARCH, are statistically sound but inherently constrained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their linear assumptions and inability to adapt to structural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breaks, regime shifts, and nonlinear dependencies common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energy markets. Conversely, while machine learning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deep learning models (e.g., LSTM and GRU) demonstrate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high predictive capability, they often lack interpretability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economic contextualization, making them less suitable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 applications. This dichotomy between accuracy and</w:t>
      </w:r>
    </w:p>
    <w:p>
      <w:pPr>
        <w:sectPr>
          <w:type w:val="nextColumn"/>
          <w:pgSz w:w="12240" w:h="15840"/>
          <w:pgMar w:top="514" w:right="960" w:bottom="85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575"/>
        <w:gridCol w:w="2575"/>
        <w:gridCol w:w="2575"/>
        <w:gridCol w:w="2575"/>
      </w:tblGrid>
      <w:tr>
        <w:trPr>
          <w:trHeight w:hRule="exact" w:val="256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8" w:after="0"/>
              <w:ind w:left="0" w:right="1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RMSE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4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�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2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6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interpretability remains a critical bottleneck in modern energy</w:t>
            </w:r>
          </w:p>
        </w:tc>
      </w:tr>
      <w:tr>
        <w:trPr>
          <w:trHeight w:hRule="exact" w:val="324"/>
        </w:trPr>
        <w:tc>
          <w:tcPr>
            <w:tcW w:type="dxa" w:w="2575"/>
            <w:vMerge/>
            <w:tcBorders/>
          </w:tcPr>
          <w:p/>
        </w:tc>
        <w:tc>
          <w:tcPr>
            <w:tcW w:type="dxa" w:w="2575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�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forecasting research.</w:t>
            </w:r>
          </w:p>
        </w:tc>
      </w:tr>
      <w:tr>
        <w:trPr>
          <w:trHeight w:hRule="exact" w:val="282"/>
        </w:trPr>
        <w:tc>
          <w:tcPr>
            <w:tcW w:type="dxa" w:w="2575"/>
            <w:vMerge/>
            <w:tcBorders/>
          </w:tcPr>
          <w:p/>
        </w:tc>
        <w:tc>
          <w:tcPr>
            <w:tcW w:type="dxa" w:w="2575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46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A. Central Research Problem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2240" w:h="15840"/>
          <w:pgMar w:top="514" w:right="960" w:bottom="8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40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RMSE quantifies the average magnitude of forecast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errors, giving a higher weight to larger deviations. 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lower RMSE indicates higher predictive precision.</w:t>
      </w:r>
    </w:p>
    <w:p>
      <w:pPr>
        <w:autoSpaceDN w:val="0"/>
        <w:autoSpaceDE w:val="0"/>
        <w:widowControl/>
        <w:spacing w:line="200" w:lineRule="exact" w:before="38" w:after="54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Mean Absolute Percentage Error (MAPE):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192"/>
        </w:trPr>
        <w:tc>
          <w:tcPr>
            <w:tcW w:type="dxa" w:w="204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8" w:after="0"/>
              <w:ind w:left="0" w:right="1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MAPE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0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��</w:t>
            </w:r>
          </w:p>
        </w:tc>
        <w:tc>
          <w:tcPr>
            <w:tcW w:type="dxa" w:w="648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7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684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2" w:after="0"/>
              <w:ind w:left="2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��</w:t>
            </w:r>
          </w:p>
        </w:tc>
      </w:tr>
      <w:tr>
        <w:trPr>
          <w:trHeight w:hRule="exact" w:val="174"/>
        </w:trPr>
        <w:tc>
          <w:tcPr>
            <w:tcW w:type="dxa" w:w="206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�</w:t>
            </w:r>
          </w:p>
        </w:tc>
        <w:tc>
          <w:tcPr>
            <w:tcW w:type="dxa" w:w="206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06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2060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106"/>
        </w:trPr>
        <w:tc>
          <w:tcPr>
            <w:tcW w:type="dxa" w:w="20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0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���</w:t>
            </w:r>
          </w:p>
        </w:tc>
        <w:tc>
          <w:tcPr>
            <w:tcW w:type="dxa" w:w="648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</w:p>
        </w:tc>
        <w:tc>
          <w:tcPr>
            <w:tcW w:type="dxa" w:w="68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2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���</w:t>
            </w:r>
          </w:p>
        </w:tc>
      </w:tr>
      <w:tr>
        <w:trPr>
          <w:trHeight w:hRule="exact" w:val="284"/>
        </w:trPr>
        <w:tc>
          <w:tcPr>
            <w:tcW w:type="dxa" w:w="206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06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06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060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4" w:lineRule="exact" w:before="0" w:after="0"/>
        <w:ind w:left="40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MAPE expresses the forecast accuracy as a percentage,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providing an interpretable measure of the relative error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magnitude.</w:t>
      </w:r>
    </w:p>
    <w:p>
      <w:pPr>
        <w:autoSpaceDN w:val="0"/>
        <w:autoSpaceDE w:val="0"/>
        <w:widowControl/>
        <w:spacing w:line="238" w:lineRule="exact" w:before="34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Both metrics enable quantitative comparison of predictive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accuracy across the ARIMA, Prophet, and LSTM models.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results from the EDA-driven implementation show that LSTM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achieved the lowest RMSE (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USD), outperforming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Prophet (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USD) and ARIMA (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14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USD). 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confirms the superior performance of deep learning approaches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modeling nonlinear, volatile financial time-series data.</w:t>
      </w:r>
    </w:p>
    <w:p>
      <w:pPr>
        <w:autoSpaceDN w:val="0"/>
        <w:autoSpaceDE w:val="0"/>
        <w:widowControl/>
        <w:spacing w:line="200" w:lineRule="exact" w:before="164" w:after="0"/>
        <w:ind w:left="0" w:right="147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P</w:t>
      </w:r>
      <w:r>
        <w:rPr>
          <w:rFonts w:ascii="NimbusRomNo9L" w:hAnsi="NimbusRomNo9L" w:eastAsia="NimbusRomNo9L"/>
          <w:b/>
          <w:i w:val="0"/>
          <w:color w:val="000000"/>
          <w:sz w:val="16"/>
        </w:rPr>
        <w:t>ROBLEM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S</w:t>
      </w:r>
      <w:r>
        <w:rPr>
          <w:rFonts w:ascii="NimbusRomNo9L" w:hAnsi="NimbusRomNo9L" w:eastAsia="NimbusRomNo9L"/>
          <w:b/>
          <w:i w:val="0"/>
          <w:color w:val="000000"/>
          <w:sz w:val="16"/>
        </w:rPr>
        <w:t>TATEMENT</w:t>
      </w:r>
    </w:p>
    <w:p>
      <w:pPr>
        <w:autoSpaceDN w:val="0"/>
        <w:autoSpaceDE w:val="0"/>
        <w:widowControl/>
        <w:spacing w:line="240" w:lineRule="exact" w:before="64" w:after="2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India’s petroleum sector operates within a complex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volatile global energy landscape characterized by fluctuating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crude oil prices, currency movements, and evolving domestic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regulatory structures. As one of the largest crude oil importers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worldwide, India’s fiscal health and industrial output 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23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deeply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intertwined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with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behavior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international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energy markets. The country’s public sector undertakings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(PSUs), including Bharat Petroleum Corporation Limited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(BPCL), Indian Oil Corporation Limited (IOCL), Hindustan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Petroleum Corporation Limited (HPCL), Oil and Natural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Gas Corporation (ONGC), Oil India Limited (OIL), and Gas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Authority of India Limited (GAIL), collectively form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backbone of India’s exploration, refining, and distribution</w:t>
      </w:r>
    </w:p>
    <w:p>
      <w:pPr>
        <w:sectPr>
          <w:type w:val="continuous"/>
          <w:pgSz w:w="12240" w:h="15840"/>
          <w:pgMar w:top="514" w:right="960" w:bottom="85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primary research problem addressed in this study is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absence of an integrated, data-driven framework that simulta-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neously captures:</w:t>
      </w:r>
    </w:p>
    <w:p>
      <w:pPr>
        <w:autoSpaceDN w:val="0"/>
        <w:autoSpaceDE w:val="0"/>
        <w:widowControl/>
        <w:spacing w:line="240" w:lineRule="exact" w:before="58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1) The dynamic interactions between global crude bench-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marks (Indian Crude Basket — USD and INR) and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financial performance of India’s major oil PSUs.</w:t>
      </w:r>
    </w:p>
    <w:p>
      <w:pPr>
        <w:autoSpaceDN w:val="0"/>
        <w:autoSpaceDE w:val="0"/>
        <w:widowControl/>
        <w:spacing w:line="240" w:lineRule="exact" w:before="0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2) The volatility transmission mechanisms linking crude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price fluctuations, macroeconomic indicators, and firm-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level stock returns.</w:t>
      </w:r>
    </w:p>
    <w:p>
      <w:pPr>
        <w:autoSpaceDN w:val="0"/>
        <w:autoSpaceDE w:val="0"/>
        <w:widowControl/>
        <w:spacing w:line="238" w:lineRule="exact" w:before="0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3) The long-term predictive behavior of India’s petroleum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market under hybrid modeling conditions that combine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statistical interpretability with deep learning adaptability.</w:t>
      </w:r>
    </w:p>
    <w:p>
      <w:pPr>
        <w:autoSpaceDN w:val="0"/>
        <w:autoSpaceDE w:val="0"/>
        <w:widowControl/>
        <w:spacing w:line="198" w:lineRule="exact" w:before="24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 Challenges Identified</w:t>
      </w:r>
    </w:p>
    <w:p>
      <w:pPr>
        <w:autoSpaceDN w:val="0"/>
        <w:autoSpaceDE w:val="0"/>
        <w:widowControl/>
        <w:spacing w:line="240" w:lineRule="exact" w:before="88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Fragmented Forecasting Approaches: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Most Indian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studies rely on single-model frameworks, limiting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ability to identify cross-sectoral dependencies or long-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 systemic patterns.</w:t>
      </w:r>
    </w:p>
    <w:p>
      <w:pPr>
        <w:autoSpaceDN w:val="0"/>
        <w:autoSpaceDE w:val="0"/>
        <w:widowControl/>
        <w:spacing w:line="240" w:lineRule="exact" w:before="0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Underrepresentation of Volatility and Sentiment Fac-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tors: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Few analyses incorporate technical and volatility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indicators such as RSI, Bollinger Bands, or VIX, which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play a significant role in financial market sentiment.</w:t>
      </w:r>
    </w:p>
    <w:p>
      <w:pPr>
        <w:autoSpaceDN w:val="0"/>
        <w:autoSpaceDE w:val="0"/>
        <w:widowControl/>
        <w:spacing w:line="240" w:lineRule="exact" w:before="0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Data and Temporal Limitations: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Existing forecasting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studies often restrict analysis to short-term windows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(6–12 months), ignoring decade-long structural transi-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tions, post-pandemic recovery effects, and exchange rate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pass-through dynamics.</w:t>
      </w:r>
    </w:p>
    <w:p>
      <w:pPr>
        <w:autoSpaceDN w:val="0"/>
        <w:autoSpaceDE w:val="0"/>
        <w:widowControl/>
        <w:spacing w:line="240" w:lineRule="exact" w:before="0" w:after="104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Lack of Policy Integration: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Quantitative models sel-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dom translate into actionable insights for fiscal planning,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strategic petroleum reserve management, or energy sub-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sidy optimization.</w:t>
      </w:r>
    </w:p>
    <w:p>
      <w:pPr>
        <w:sectPr>
          <w:type w:val="nextColumn"/>
          <w:pgSz w:w="12240" w:h="15840"/>
          <w:pgMar w:top="514" w:right="960" w:bottom="85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692"/>
        </w:trPr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networks.</w:t>
            </w:r>
          </w:p>
          <w:p>
            <w:pPr>
              <w:autoSpaceDN w:val="0"/>
              <w:autoSpaceDE w:val="0"/>
              <w:widowControl/>
              <w:spacing w:line="240" w:lineRule="exact" w:before="23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However, the financial performance and operational resilience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of these firms are significantly influenced by crude price</w:t>
            </w:r>
          </w:p>
        </w:tc>
        <w:tc>
          <w:tcPr>
            <w:tcW w:type="dxa" w:w="5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 xml:space="preserve">C. Study Response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 address these challenges, this research proposes a hybrid</w:t>
            </w:r>
          </w:p>
        </w:tc>
      </w:tr>
      <w:tr>
        <w:trPr>
          <w:trHeight w:hRule="exact" w:val="204"/>
        </w:trPr>
        <w:tc>
          <w:tcPr>
            <w:tcW w:type="dxa" w:w="1717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six-phase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analytical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integrating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econometric,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14" w:right="960" w:bottom="8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volatility, exchange rate fluctuations, and macroeconomic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cycles. Despite this interdependence, the existing research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forecasting mechanisms in India’s oil sector remain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fragmented, often focusing on short-term horizons, isolated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firms, or linear econometric models that fail to capture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full complexity of the system.</w:t>
      </w:r>
    </w:p>
    <w:p>
      <w:pPr>
        <w:sectPr>
          <w:type w:val="continuous"/>
          <w:pgSz w:w="12240" w:h="15840"/>
          <w:pgMar w:top="514" w:right="960" w:bottom="85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statistical, and deep learning models — specifically ARIMA,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Prophet, and LSTM — supported by an extensive Exploratory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Data Analysis (EDA) foundation. The framework enables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comprehensive modeling of both firm- and benchmark-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level behavior across a ten-year period (2014–2024), 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forecasting projections extended to 2035.</w:t>
      </w:r>
    </w:p>
    <w:p>
      <w:pPr>
        <w:sectPr>
          <w:type w:val="nextColumn"/>
          <w:pgSz w:w="12240" w:h="15840"/>
          <w:pgMar w:top="514" w:right="960" w:bottom="85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This approach bridges the methodological gap between tra-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ditional econometric interpretability and AI-driven predictive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power, offering a unified structure that enhances both forecast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accuracy and policy relevance. The framework also provides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stakeholders, including policymakers, investors, and corporate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strategists, with an empirically grounded decision-support tool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managing volatility and planning energy security strategies.</w:t>
      </w:r>
    </w:p>
    <w:p>
      <w:pPr>
        <w:autoSpaceDN w:val="0"/>
        <w:autoSpaceDE w:val="0"/>
        <w:widowControl/>
        <w:spacing w:line="200" w:lineRule="exact" w:before="244" w:after="0"/>
        <w:ind w:left="122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/>
          <w:i w:val="0"/>
          <w:color w:val="000000"/>
          <w:sz w:val="16"/>
        </w:rPr>
        <w:t>ESEARCH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O</w:t>
      </w:r>
      <w:r>
        <w:rPr>
          <w:rFonts w:ascii="NimbusRomNo9L" w:hAnsi="NimbusRomNo9L" w:eastAsia="NimbusRomNo9L"/>
          <w:b/>
          <w:i w:val="0"/>
          <w:color w:val="000000"/>
          <w:sz w:val="16"/>
        </w:rPr>
        <w:t>BJECTIVES</w:t>
      </w:r>
    </w:p>
    <w:p>
      <w:pPr>
        <w:autoSpaceDN w:val="0"/>
        <w:autoSpaceDE w:val="0"/>
        <w:widowControl/>
        <w:spacing w:line="200" w:lineRule="exact" w:before="152" w:after="2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overarching goal of this research is to develop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23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comprehensive,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data-driven,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interpretable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forecasting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framework that integrates traditional econometric models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with advanced deep learning architectures to analyze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predict the financial and operational dynamics of India’s public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sector oil companies in relation to global crude price behavior.</w:t>
      </w:r>
    </w:p>
    <w:p>
      <w:pPr>
        <w:autoSpaceDN w:val="0"/>
        <w:autoSpaceDE w:val="0"/>
        <w:widowControl/>
        <w:spacing w:line="240" w:lineRule="exact" w:before="248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objective is pursued through the formulation of specific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sub-objectives that collectively bridge the methodological,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empirical, and policy gaps identified in the preceding sections.</w:t>
      </w:r>
    </w:p>
    <w:p>
      <w:pPr>
        <w:autoSpaceDN w:val="0"/>
        <w:autoSpaceDE w:val="0"/>
        <w:widowControl/>
        <w:spacing w:line="200" w:lineRule="exact" w:before="24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 Primary Objective</w:t>
      </w:r>
    </w:p>
    <w:p>
      <w:pPr>
        <w:autoSpaceDN w:val="0"/>
        <w:autoSpaceDE w:val="0"/>
        <w:widowControl/>
        <w:spacing w:line="240" w:lineRule="exact" w:before="94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construct a hybrid forecasting framework that integrates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econometric (ARIMA, Prophet) and machine learning (LSTM)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 for the long-term prediction of crude oil prices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financial performance of major Indian oil PSUs, while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ensuring interpretability, robustness, and policy relevance.</w:t>
      </w:r>
    </w:p>
    <w:p>
      <w:pPr>
        <w:autoSpaceDN w:val="0"/>
        <w:autoSpaceDE w:val="0"/>
        <w:widowControl/>
        <w:spacing w:line="200" w:lineRule="exact" w:before="24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 Specific Objectives</w:t>
      </w:r>
    </w:p>
    <w:p>
      <w:pPr>
        <w:autoSpaceDN w:val="0"/>
        <w:autoSpaceDE w:val="0"/>
        <w:widowControl/>
        <w:spacing w:line="238" w:lineRule="exact" w:before="88" w:after="0"/>
        <w:ind w:left="484" w:right="1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1) To integrate multi-source datasets — including Indian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Crude Basket (ICB) prices (in USD and INR), stock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prices of major public sector oil companies (BPCL,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IOCL, HPCL, ONGC, OIL, GAIL), and macroeconomic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indicators (e.g., exchange rate, VIX, GDP index) — into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unified analytical framework suitable for temporal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cross-sectional analysis.</w:t>
      </w:r>
    </w:p>
    <w:p>
      <w:pPr>
        <w:autoSpaceDN w:val="0"/>
        <w:autoSpaceDE w:val="0"/>
        <w:widowControl/>
        <w:spacing w:line="240" w:lineRule="exact" w:before="0" w:after="0"/>
        <w:ind w:left="484" w:right="1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2) To perform extensive Exploratory Data Analysis (EDA)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to identify statistical characteristics, volatility clusters,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co-movement patterns across upstream and down-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stream entities, thereby capturing both sectoral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benchmark interdependencies.</w:t>
      </w:r>
    </w:p>
    <w:p>
      <w:pPr>
        <w:autoSpaceDN w:val="0"/>
        <w:autoSpaceDE w:val="0"/>
        <w:widowControl/>
        <w:spacing w:line="240" w:lineRule="exact" w:before="0" w:after="0"/>
        <w:ind w:left="484" w:right="1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3) To conduct feature engineering and technical indicator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generation, including Moving Averages (MA), Relative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Strength Index (RSI), MACD, Bollinger Bands,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rolling volatility measures, enhancing the predictive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power and interpretability of time-series models.</w:t>
      </w:r>
    </w:p>
    <w:p>
      <w:pPr>
        <w:autoSpaceDN w:val="0"/>
        <w:autoSpaceDE w:val="0"/>
        <w:widowControl/>
        <w:spacing w:line="238" w:lineRule="exact" w:before="0" w:after="0"/>
        <w:ind w:left="484" w:right="1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4) To quantify the relationships between crude price fluc-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tuations and firm-level financial metrics through cor-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relation and regression modeling, focusing on the in-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terdependence between upstream (ONGC, OIL)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downstream (BPCL, IOCL, HPCL) companies.</w:t>
      </w:r>
    </w:p>
    <w:p>
      <w:pPr>
        <w:autoSpaceDN w:val="0"/>
        <w:tabs>
          <w:tab w:pos="484" w:val="left"/>
        </w:tabs>
        <w:autoSpaceDE w:val="0"/>
        <w:widowControl/>
        <w:spacing w:line="238" w:lineRule="exact" w:before="2" w:after="0"/>
        <w:ind w:left="1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5) To construct, calibrate, and compare predictive models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—</w:t>
      </w:r>
    </w:p>
    <w:p>
      <w:pPr>
        <w:autoSpaceDN w:val="0"/>
        <w:autoSpaceDE w:val="0"/>
        <w:widowControl/>
        <w:spacing w:line="240" w:lineRule="exact" w:before="48" w:after="0"/>
        <w:ind w:left="634" w:right="144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ARIMA for linear temporal forecasting,</w:t>
      </w:r>
      <w:r>
        <w:br/>
      </w: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Prophet for trend–seasonality decomposition, and</w:t>
      </w: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LSTM for nonlinear pattern recognition —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60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using a ten-year training window (2014–2024) and fore-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cast horizons extending to 2035.</w:t>
      </w:r>
    </w:p>
    <w:p>
      <w:pPr>
        <w:autoSpaceDN w:val="0"/>
        <w:autoSpaceDE w:val="0"/>
        <w:widowControl/>
        <w:spacing w:line="238" w:lineRule="exact" w:before="0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6) To evaluate model performance using quantitative error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metrics such as Root Mean Squared Error (RMSE)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Mean Absolute Percentage Error (MAPE), thereby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identifying the optimal forecasting method for the Indian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crude oil and energy sector.</w:t>
      </w:r>
    </w:p>
    <w:p>
      <w:pPr>
        <w:autoSpaceDN w:val="0"/>
        <w:autoSpaceDE w:val="0"/>
        <w:widowControl/>
        <w:spacing w:line="240" w:lineRule="exact" w:before="0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7) To interpret empirical findings in the context of macroe-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conomic stability and energy policy, translating model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results into actionable insights for fiscal planning,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petroleum reserve strategy, and risk management.</w:t>
      </w:r>
    </w:p>
    <w:p>
      <w:pPr>
        <w:autoSpaceDN w:val="0"/>
        <w:autoSpaceDE w:val="0"/>
        <w:widowControl/>
        <w:spacing w:line="200" w:lineRule="exact" w:before="322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 Research Hypotheses</w:t>
      </w:r>
    </w:p>
    <w:p>
      <w:pPr>
        <w:autoSpaceDN w:val="0"/>
        <w:autoSpaceDE w:val="0"/>
        <w:widowControl/>
        <w:spacing w:line="238" w:lineRule="exact" w:before="13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Based on preliminary statistical analysis and theoretical in-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sights, the following hypotheses guide the study:</w:t>
      </w:r>
    </w:p>
    <w:p>
      <w:pPr>
        <w:autoSpaceDN w:val="0"/>
        <w:autoSpaceDE w:val="0"/>
        <w:widowControl/>
        <w:spacing w:line="240" w:lineRule="exact" w:before="76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H1: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There exists a statistically significant correlation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between the Indian Crude Basket (ICB) and the financial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performance of India’s public sector oil companies.</w:t>
      </w:r>
    </w:p>
    <w:p>
      <w:pPr>
        <w:autoSpaceDN w:val="0"/>
        <w:autoSpaceDE w:val="0"/>
        <w:widowControl/>
        <w:spacing w:line="238" w:lineRule="exact" w:before="0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H2: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Deep learning models (e.g., LSTM) outperform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traditional econometric models (ARIMA, Prophet) in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forecasting crude oil price movements under conditions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of high volatility.</w:t>
      </w:r>
    </w:p>
    <w:p>
      <w:pPr>
        <w:autoSpaceDN w:val="0"/>
        <w:autoSpaceDE w:val="0"/>
        <w:widowControl/>
        <w:spacing w:line="238" w:lineRule="exact" w:before="0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H3: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Incorporating technical and volatility indicators sig-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nificantly improves the predictive accuracy and robust-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ness of long-term crude oil forecasting models.</w:t>
      </w:r>
    </w:p>
    <w:p>
      <w:pPr>
        <w:autoSpaceDN w:val="0"/>
        <w:autoSpaceDE w:val="0"/>
        <w:widowControl/>
        <w:spacing w:line="240" w:lineRule="exact" w:before="0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H4: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Forecasted stabilization in ICB prices and firm rev-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enues reflects structural maturity and resilience in India’s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post-pandemic petroleum sector.</w:t>
      </w:r>
    </w:p>
    <w:p>
      <w:pPr>
        <w:autoSpaceDN w:val="0"/>
        <w:autoSpaceDE w:val="0"/>
        <w:widowControl/>
        <w:spacing w:line="200" w:lineRule="exact" w:before="322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 Expected Outcomes</w:t>
      </w:r>
    </w:p>
    <w:p>
      <w:pPr>
        <w:autoSpaceDN w:val="0"/>
        <w:autoSpaceDE w:val="0"/>
        <w:widowControl/>
        <w:spacing w:line="200" w:lineRule="exact" w:before="16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study anticipates the following outcomes:</w:t>
      </w:r>
    </w:p>
    <w:p>
      <w:pPr>
        <w:autoSpaceDN w:val="0"/>
        <w:tabs>
          <w:tab w:pos="604" w:val="left"/>
        </w:tabs>
        <w:autoSpaceDE w:val="0"/>
        <w:widowControl/>
        <w:spacing w:line="240" w:lineRule="exact" w:before="76" w:after="0"/>
        <w:ind w:left="31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1) Development of a replicable hybrid forecasting pipeline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combining interpretability and predictive strength.</w:t>
      </w:r>
    </w:p>
    <w:p>
      <w:pPr>
        <w:autoSpaceDN w:val="0"/>
        <w:autoSpaceDE w:val="0"/>
        <w:widowControl/>
        <w:spacing w:line="240" w:lineRule="exact" w:before="0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2) Identification of strong inter-firm and benchmark cor-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relations, particularly between ONGC–ICB 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≈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BPCL–IOCL 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≈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38" w:lineRule="exact" w:before="0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3) Demonstration that LSTM models achieve superior fore-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cast accuracy,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RMSE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≈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USD compared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Prophet (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USD) and ARIMA (</w:t>
      </w:r>
      <w:r>
        <w:rPr>
          <w:rFonts w:ascii="CMSY10" w:hAnsi="CMSY10" w:eastAsia="CMSY10"/>
          <w:b w:val="0"/>
          <w:i/>
          <w:color w:val="000000"/>
          <w:sz w:val="20"/>
        </w:rPr>
        <w:t>≈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USD).</w:t>
      </w:r>
    </w:p>
    <w:p>
      <w:pPr>
        <w:autoSpaceDN w:val="0"/>
        <w:autoSpaceDE w:val="0"/>
        <w:widowControl/>
        <w:spacing w:line="238" w:lineRule="exact" w:before="2" w:after="0"/>
        <w:ind w:left="604" w:right="20" w:hanging="286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4) Projection of long-term ICB price stabilization between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USD 85–95 per barrel by 2035, with steady revenue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growth (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CMR10" w:hAnsi="CMR10" w:eastAsia="CMR10"/>
          <w:b w:val="0"/>
          <w:i w:val="0"/>
          <w:color w:val="000000"/>
          <w:sz w:val="20"/>
        </w:rPr>
        <w:t>4%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CAGR) for upstream firms.</w:t>
      </w:r>
    </w:p>
    <w:p>
      <w:pPr>
        <w:autoSpaceDN w:val="0"/>
        <w:autoSpaceDE w:val="0"/>
        <w:widowControl/>
        <w:spacing w:line="202" w:lineRule="exact" w:before="324" w:after="0"/>
        <w:ind w:left="0" w:right="156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VII.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M</w:t>
      </w:r>
      <w:r>
        <w:rPr>
          <w:rFonts w:ascii="NimbusRomNo9L" w:hAnsi="NimbusRomNo9L" w:eastAsia="NimbusRomNo9L"/>
          <w:b/>
          <w:i w:val="0"/>
          <w:color w:val="000000"/>
          <w:sz w:val="16"/>
        </w:rPr>
        <w:t>ETHODOLOGY</w:t>
      </w:r>
    </w:p>
    <w:p>
      <w:pPr>
        <w:autoSpaceDN w:val="0"/>
        <w:autoSpaceDE w:val="0"/>
        <w:widowControl/>
        <w:spacing w:line="240" w:lineRule="exact" w:before="168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study employs a six-phase analytical framework 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integrates statistical rigor with machine learning adaptability.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methodology combines data preprocessing, feature engi-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neering, exploratory data analysis (EDA), correlation model-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ing, and forecasting using a hybrid set of models: ARIMA,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Prophet, and LSTM. All computations and visualization tasks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were conducted in Python (v3.11) using the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 xml:space="preserve"> Pandas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 xml:space="preserve"> NumPy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Matplotlib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 xml:space="preserve"> Statsmodels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,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 xml:space="preserve"> TensorFlow/Keras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, and </w:t>
      </w:r>
      <w:r>
        <w:rPr>
          <w:rFonts w:ascii="NimbusMonL" w:hAnsi="NimbusMonL" w:eastAsia="NimbusMonL"/>
          <w:b w:val="0"/>
          <w:i w:val="0"/>
          <w:color w:val="000000"/>
          <w:sz w:val="20"/>
        </w:rPr>
        <w:t>Facebook Prophet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libraries.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sectPr>
          <w:pgSz w:w="12240" w:h="15840"/>
          <w:pgMar w:top="512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 Data Collection and Integration</w:t>
      </w:r>
    </w:p>
    <w:p>
      <w:pPr>
        <w:autoSpaceDN w:val="0"/>
        <w:autoSpaceDE w:val="0"/>
        <w:widowControl/>
        <w:spacing w:line="240" w:lineRule="exact" w:before="8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dataset spans a ten-year period (2014–2024) and integrates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multiple data sources to ensure a holistic representation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India’s petroleum sector. The major components include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400" w:val="left"/>
        </w:tabs>
        <w:autoSpaceDE w:val="0"/>
        <w:widowControl/>
        <w:spacing w:line="238" w:lineRule="exact" w:before="5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Stock price data of six PSUs: BPCL, IOCL, HPCL,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ONGC, OIL, and GAIL.</w:t>
      </w:r>
    </w:p>
    <w:p>
      <w:pPr>
        <w:sectPr>
          <w:type w:val="continuous"/>
          <w:pgSz w:w="12240" w:h="15840"/>
          <w:pgMar w:top="512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D. Statistical Inference and Correlation Modeling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Both Pearson and Spearman correlation coefficients were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computed to assess dependencies (Table II).</w:t>
      </w:r>
    </w:p>
    <w:p>
      <w:pPr>
        <w:autoSpaceDN w:val="0"/>
        <w:autoSpaceDE w:val="0"/>
        <w:widowControl/>
        <w:spacing w:line="180" w:lineRule="exact" w:before="192" w:after="172"/>
        <w:ind w:left="720" w:right="57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TABLE II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ORRELATION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C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OEFFICIENTS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A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MONG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K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EY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V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5150"/>
        <w:gridCol w:w="5150"/>
      </w:tblGrid>
      <w:tr>
        <w:trPr>
          <w:trHeight w:hRule="exact" w:val="266"/>
        </w:trPr>
        <w:tc>
          <w:tcPr>
            <w:tcW w:type="dxa" w:w="14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Relationship</w:t>
            </w:r>
          </w:p>
        </w:tc>
        <w:tc>
          <w:tcPr>
            <w:tcW w:type="dxa" w:w="8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23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"/>
        <w:ind w:left="0" w:right="0"/>
      </w:pPr>
    </w:p>
    <w:p>
      <w:pPr>
        <w:sectPr>
          <w:type w:val="nextColumn"/>
          <w:pgSz w:w="12240" w:h="15840"/>
          <w:pgMar w:top="512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433"/>
        <w:gridCol w:w="3433"/>
        <w:gridCol w:w="3433"/>
      </w:tblGrid>
      <w:tr>
        <w:trPr>
          <w:trHeight w:hRule="exact" w:val="180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Indian Crude Basket (ICB) prices, recorded in both USD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23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ONGC–ICB (USD)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25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12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4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INR, derived as a weighted average of Dubai (75%)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Brent (25%) benchmarks.</w:t>
      </w:r>
    </w:p>
    <w:p>
      <w:pPr>
        <w:autoSpaceDN w:val="0"/>
        <w:tabs>
          <w:tab w:pos="400" w:val="left"/>
        </w:tabs>
        <w:autoSpaceDE w:val="0"/>
        <w:widowControl/>
        <w:spacing w:line="240" w:lineRule="exact" w:before="0" w:after="0"/>
        <w:ind w:left="19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Macroeconomic indicators: USD/INR exchange rate,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GDP index, and Volatility Index (VIX).</w:t>
      </w:r>
    </w:p>
    <w:p>
      <w:pPr>
        <w:autoSpaceDN w:val="0"/>
        <w:autoSpaceDE w:val="0"/>
        <w:widowControl/>
        <w:spacing w:line="240" w:lineRule="exact" w:before="5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All datasets were synchronized into a unified time-indexed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structure. Missing values were imputed using forward-fill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interpolation, and outliers were treated using the Interquartile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Range (IQR) method. The final dataset was standardized for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analysis.</w:t>
      </w:r>
    </w:p>
    <w:p>
      <w:pPr>
        <w:sectPr>
          <w:type w:val="continuous"/>
          <w:pgSz w:w="12240" w:h="15840"/>
          <w:pgMar w:top="512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5150"/>
        <w:gridCol w:w="5150"/>
      </w:tblGrid>
      <w:tr>
        <w:trPr>
          <w:trHeight w:hRule="exact" w:val="576"/>
        </w:trPr>
        <w:tc>
          <w:tcPr>
            <w:tcW w:type="dxa" w:w="17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BPCL–IOCL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OIL–ONGC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ICB (USD)–ICB (INR)</w:t>
            </w:r>
          </w:p>
        </w:tc>
        <w:tc>
          <w:tcPr>
            <w:tcW w:type="dxa" w:w="5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134" w:right="126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0.78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0.80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0.95</w:t>
            </w:r>
          </w:p>
        </w:tc>
      </w:tr>
    </w:tbl>
    <w:p>
      <w:pPr>
        <w:autoSpaceDN w:val="0"/>
        <w:autoSpaceDE w:val="0"/>
        <w:widowControl/>
        <w:spacing w:line="240" w:lineRule="exact" w:before="112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OLS regression confirmed that upstream firms (ONGC, OIL)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are more sensitive to crude fluctuations than refiners (BPCL,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IOCL, HPCL).</w:t>
      </w:r>
    </w:p>
    <w:p>
      <w:pPr>
        <w:autoSpaceDN w:val="0"/>
        <w:autoSpaceDE w:val="0"/>
        <w:widowControl/>
        <w:spacing w:line="198" w:lineRule="exact" w:before="17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E. Predictive Modeling and Forecasting</w:t>
      </w:r>
    </w:p>
    <w:p>
      <w:pPr>
        <w:autoSpaceDN w:val="0"/>
        <w:autoSpaceDE w:val="0"/>
        <w:widowControl/>
        <w:spacing w:line="240" w:lineRule="exact" w:before="68" w:after="276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Three forecasting models were compared based on accuracy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interpretability.</w:t>
      </w:r>
    </w:p>
    <w:p>
      <w:pPr>
        <w:sectPr>
          <w:type w:val="nextColumn"/>
          <w:pgSz w:w="12240" w:h="15840"/>
          <w:pgMar w:top="512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433"/>
        <w:gridCol w:w="3433"/>
        <w:gridCol w:w="3433"/>
      </w:tblGrid>
      <w:tr>
        <w:trPr>
          <w:trHeight w:hRule="exact" w:val="218"/>
        </w:trPr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2" w:after="0"/>
              <w:ind w:left="26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ICB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USD,t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75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Dubai,t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25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Brent,t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(1)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1) ARIMA: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Parameters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p, d,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were optimized using the</w:t>
            </w:r>
          </w:p>
        </w:tc>
      </w:tr>
      <w:tr>
        <w:trPr>
          <w:trHeight w:hRule="exact" w:val="240"/>
        </w:trPr>
        <w:tc>
          <w:tcPr>
            <w:tcW w:type="dxa" w:w="3433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(2)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Akaike Information Criterion (AIC). Residual diagnostics</w:t>
            </w:r>
          </w:p>
        </w:tc>
      </w:tr>
      <w:tr>
        <w:trPr>
          <w:trHeight w:hRule="exact" w:val="240"/>
        </w:trPr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08" w:after="0"/>
              <w:ind w:left="50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ICB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INR,t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ICB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USD,t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USD/INR,t</w:t>
            </w:r>
          </w:p>
        </w:tc>
        <w:tc>
          <w:tcPr>
            <w:tcW w:type="dxa" w:w="3433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confirmed the adequacy of the model.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 xml:space="preserve"> RMSE (USD):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2.14,</w:t>
            </w:r>
          </w:p>
        </w:tc>
      </w:tr>
      <w:tr>
        <w:trPr>
          <w:trHeight w:hRule="exact" w:val="202"/>
        </w:trPr>
        <w:tc>
          <w:tcPr>
            <w:tcW w:type="dxa" w:w="3433"/>
            <w:vMerge/>
            <w:tcBorders/>
          </w:tcPr>
          <w:p/>
        </w:tc>
        <w:tc>
          <w:tcPr>
            <w:tcW w:type="dxa" w:w="3433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Forecast Horizon: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12 months.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4"/>
        <w:ind w:left="0" w:right="0"/>
      </w:pPr>
    </w:p>
    <w:p>
      <w:pPr>
        <w:sectPr>
          <w:type w:val="continuous"/>
          <w:pgSz w:w="12240" w:h="15840"/>
          <w:pgMar w:top="512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B. Feature Engineering</w:t>
      </w:r>
    </w:p>
    <w:p>
      <w:pPr>
        <w:autoSpaceDN w:val="0"/>
        <w:autoSpaceDE w:val="0"/>
        <w:widowControl/>
        <w:spacing w:line="238" w:lineRule="exact" w:before="82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Feature engineering enhanced predictive richness by incorpo-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rating derived variables that capture trend, momentum,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volatility. The key features are summarized in Table I.</w:t>
      </w:r>
    </w:p>
    <w:p>
      <w:pPr>
        <w:autoSpaceDN w:val="0"/>
        <w:autoSpaceDE w:val="0"/>
        <w:widowControl/>
        <w:spacing w:line="180" w:lineRule="exact" w:before="192" w:after="172"/>
        <w:ind w:left="1152" w:right="129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TABLE I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UMMARY OF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NGINEERED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F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EATURES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433"/>
        <w:gridCol w:w="3433"/>
        <w:gridCol w:w="3433"/>
      </w:tblGrid>
      <w:tr>
        <w:trPr>
          <w:trHeight w:hRule="exact" w:val="266"/>
        </w:trPr>
        <w:tc>
          <w:tcPr>
            <w:tcW w:type="dxa" w:w="117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Category</w:t>
            </w:r>
          </w:p>
        </w:tc>
        <w:tc>
          <w:tcPr>
            <w:tcW w:type="dxa" w:w="13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Feature</w:t>
            </w:r>
          </w:p>
        </w:tc>
        <w:tc>
          <w:tcPr>
            <w:tcW w:type="dxa" w:w="237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43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Description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12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318" w:val="left"/>
          <w:tab w:pos="1450" w:val="left"/>
        </w:tabs>
        <w:autoSpaceDE w:val="0"/>
        <w:widowControl/>
        <w:spacing w:line="22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2) Prophet: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Decomposes series into trend, seasonality,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and holidays; robust against outliers.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RMSE (USD):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1.98, 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>Forecast Horizon: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12 months.</w:t>
      </w:r>
    </w:p>
    <w:p>
      <w:pPr>
        <w:autoSpaceDN w:val="0"/>
        <w:autoSpaceDE w:val="0"/>
        <w:widowControl/>
        <w:spacing w:line="240" w:lineRule="exact" w:before="238" w:after="278"/>
        <w:ind w:left="120" w:right="20" w:firstLine="198"/>
        <w:jc w:val="both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3) LSTM: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Configured with two hidden layers (64 and 32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units), dropout = 0.2, and Adam optimiser.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RMSE (USD):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1.52,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RMSE (INR):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138.9,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Forecast Horizon: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12 months.</w:t>
      </w:r>
    </w:p>
    <w:p>
      <w:pPr>
        <w:sectPr>
          <w:type w:val="nextColumn"/>
          <w:pgSz w:w="12240" w:h="15840"/>
          <w:pgMar w:top="512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18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Trend Indicators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SMA(30),</w:t>
            </w:r>
          </w:p>
        </w:tc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Short- and long-term mov-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LSTM achieved the lowest RMSE and MAPE, capturing</w:t>
            </w:r>
          </w:p>
        </w:tc>
      </w:tr>
      <w:tr>
        <w:trPr>
          <w:trHeight w:hRule="exact" w:val="198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Momentum Indica-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SMA(90)</w:t>
            </w:r>
          </w:p>
        </w:tc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ing averages</w:t>
            </w:r>
          </w:p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nonlinear temporal dependencies and volatility-driven price</w:t>
            </w:r>
          </w:p>
        </w:tc>
      </w:tr>
      <w:tr>
        <w:trPr>
          <w:trHeight w:hRule="exact" w:val="62"/>
        </w:trPr>
        <w:tc>
          <w:tcPr>
            <w:tcW w:type="dxa" w:w="2060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RSI(14), MACD</w:t>
            </w:r>
          </w:p>
        </w:tc>
        <w:tc>
          <w:tcPr>
            <w:tcW w:type="dxa" w:w="2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Relative strength, trend re-</w:t>
            </w:r>
          </w:p>
        </w:tc>
        <w:tc>
          <w:tcPr>
            <w:tcW w:type="dxa" w:w="2060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4120"/>
            <w:gridSpan w:val="2"/>
            <w:vMerge/>
            <w:tcBorders/>
          </w:tcPr>
          <w:p/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behavior.</w:t>
            </w:r>
          </w:p>
        </w:tc>
      </w:tr>
      <w:tr>
        <w:trPr>
          <w:trHeight w:hRule="exact" w:val="1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tors</w:t>
            </w:r>
          </w:p>
        </w:tc>
        <w:tc>
          <w:tcPr>
            <w:tcW w:type="dxa" w:w="2060"/>
            <w:vMerge/>
            <w:tcBorders/>
          </w:tcPr>
          <w:p/>
        </w:tc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versals</w:t>
            </w:r>
          </w:p>
        </w:tc>
        <w:tc>
          <w:tcPr>
            <w:tcW w:type="dxa" w:w="2060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Volatility Metrics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Rolling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σ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(30)</w:t>
            </w:r>
          </w:p>
        </w:tc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30-day standard deviation</w:t>
            </w:r>
          </w:p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F. Forecast Interpretation and Policy Implications</w:t>
            </w:r>
          </w:p>
        </w:tc>
      </w:tr>
      <w:tr>
        <w:trPr>
          <w:trHeight w:hRule="exact" w:val="162"/>
        </w:trPr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of returns</w:t>
            </w:r>
          </w:p>
        </w:tc>
        <w:tc>
          <w:tcPr>
            <w:tcW w:type="dxa" w:w="2060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Price Ratios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Price Spreads</w:t>
            </w:r>
          </w:p>
        </w:tc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Relative valuation between</w:t>
            </w:r>
          </w:p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2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Forecasts (2025–2035) suggest:</w:t>
            </w:r>
          </w:p>
        </w:tc>
      </w:tr>
      <w:tr>
        <w:trPr>
          <w:trHeight w:hRule="exact" w:val="164"/>
        </w:trPr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1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PSUs and ICB</w:t>
            </w:r>
          </w:p>
        </w:tc>
        <w:tc>
          <w:tcPr>
            <w:tcW w:type="dxa" w:w="2060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Correlation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Rolling Corr(30)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Dynamic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co-movement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41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ICB stabilizes between USD 85–95 per barrel.</w:t>
            </w:r>
          </w:p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continuous"/>
          <w:pgSz w:w="12240" w:h="15840"/>
          <w:pgMar w:top="512" w:right="960" w:bottom="730" w:left="98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5150"/>
        <w:gridCol w:w="5150"/>
      </w:tblGrid>
      <w:tr>
        <w:trPr>
          <w:trHeight w:hRule="exact" w:val="218"/>
        </w:trPr>
        <w:tc>
          <w:tcPr>
            <w:tcW w:type="dxa" w:w="181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Features</w:t>
            </w:r>
          </w:p>
        </w:tc>
        <w:tc>
          <w:tcPr>
            <w:tcW w:type="dxa" w:w="311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4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tracking</w:t>
            </w:r>
          </w:p>
        </w:tc>
      </w:tr>
    </w:tbl>
    <w:p>
      <w:pPr>
        <w:autoSpaceDN w:val="0"/>
        <w:autoSpaceDE w:val="0"/>
        <w:widowControl/>
        <w:spacing w:line="240" w:lineRule="exact" w:before="112" w:after="0"/>
        <w:ind w:left="0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All features were normalized using z-score scaling before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 training to ensure comparability.</w:t>
      </w:r>
    </w:p>
    <w:p>
      <w:pPr>
        <w:sectPr>
          <w:type w:val="continuous"/>
          <w:pgSz w:w="12240" w:h="15840"/>
          <w:pgMar w:top="512" w:right="960" w:bottom="730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tabs>
          <w:tab w:pos="422" w:val="left"/>
        </w:tabs>
        <w:autoSpaceDE w:val="0"/>
        <w:widowControl/>
        <w:spacing w:line="218" w:lineRule="exact" w:before="0" w:after="0"/>
        <w:ind w:left="220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Upstream firms (ONGC, OIL) show stable revenue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growth of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4% CAGR.</w:t>
      </w:r>
    </w:p>
    <w:p>
      <w:pPr>
        <w:autoSpaceDN w:val="0"/>
        <w:tabs>
          <w:tab w:pos="422" w:val="left"/>
        </w:tabs>
        <w:autoSpaceDE w:val="0"/>
        <w:widowControl/>
        <w:spacing w:line="238" w:lineRule="exact" w:before="2" w:after="64"/>
        <w:ind w:left="220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Refiners (BPCL, IOCL) display cyclical margin variations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tied to refining spreads.</w:t>
      </w:r>
    </w:p>
    <w:p>
      <w:pPr>
        <w:sectPr>
          <w:type w:val="nextColumn"/>
          <w:pgSz w:w="12240" w:h="15840"/>
          <w:pgMar w:top="512" w:right="960" w:bottom="730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198"/>
        </w:trPr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C. Exploratory Data Analysis (EDA)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These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projections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can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fiscal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planning,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strategic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type w:val="continuous"/>
          <w:pgSz w:w="12240" w:h="15840"/>
          <w:pgMar w:top="512" w:right="960" w:bottom="730" w:left="980" w:header="720" w:footer="720" w:gutter="0"/>
          <w:cols/>
          <w:docGrid w:linePitch="360"/>
        </w:sectPr>
      </w:pPr>
    </w:p>
    <w:p>
      <w:pPr>
        <w:autoSpaceDN w:val="0"/>
        <w:tabs>
          <w:tab w:pos="198" w:val="left"/>
          <w:tab w:pos="400" w:val="left"/>
        </w:tabs>
        <w:autoSpaceDE w:val="0"/>
        <w:widowControl/>
        <w:spacing w:line="242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EDA revealed key structural and temporal insights:</w:t>
      </w: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Trends: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Crude prices and PSU stocks exhibit cyclical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behavior, with shocks in 2015–2016 and 2020–2021 cor-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responding to global oil price collapses and the COVID-</w:t>
      </w:r>
    </w:p>
    <w:p>
      <w:pPr>
        <w:sectPr>
          <w:type w:val="continuous"/>
          <w:pgSz w:w="12240" w:h="15840"/>
          <w:pgMar w:top="512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petroleum reserve policy, and investment risk management.</w:t>
      </w:r>
    </w:p>
    <w:p>
      <w:pPr>
        <w:autoSpaceDN w:val="0"/>
        <w:tabs>
          <w:tab w:pos="318" w:val="left"/>
        </w:tabs>
        <w:autoSpaceDE w:val="0"/>
        <w:widowControl/>
        <w:spacing w:line="308" w:lineRule="exact" w:before="68" w:after="186"/>
        <w:ind w:left="120" w:right="432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 xml:space="preserve">G. Evaluation Summary </w:t>
      </w:r>
      <w:r>
        <w:br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Table III summarizes the model performance metrics.</w:t>
      </w:r>
    </w:p>
    <w:p>
      <w:pPr>
        <w:sectPr>
          <w:type w:val="nextColumn"/>
          <w:pgSz w:w="12240" w:h="15840"/>
          <w:pgMar w:top="512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7414" w:val="left"/>
        </w:tabs>
        <w:autoSpaceDE w:val="0"/>
        <w:widowControl/>
        <w:spacing w:line="198" w:lineRule="exact" w:before="0" w:after="38"/>
        <w:ind w:left="40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19 pandemic.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TABLE III</w:t>
      </w:r>
    </w:p>
    <w:p>
      <w:pPr>
        <w:sectPr>
          <w:type w:val="continuous"/>
          <w:pgSz w:w="12240" w:h="15840"/>
          <w:pgMar w:top="512" w:right="960" w:bottom="730" w:left="980" w:header="720" w:footer="720" w:gutter="0"/>
          <w:cols/>
          <w:docGrid w:linePitch="360"/>
        </w:sectPr>
      </w:pPr>
    </w:p>
    <w:p>
      <w:pPr>
        <w:autoSpaceDN w:val="0"/>
        <w:tabs>
          <w:tab w:pos="400" w:val="left"/>
        </w:tabs>
        <w:autoSpaceDE w:val="0"/>
        <w:widowControl/>
        <w:spacing w:line="220" w:lineRule="exact" w:before="0" w:after="0"/>
        <w:ind w:left="198" w:right="288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Distributions: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Kernel density plots confirmed fat-tailed,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non-normal return distributions.</w:t>
      </w:r>
    </w:p>
    <w:p>
      <w:pPr>
        <w:autoSpaceDN w:val="0"/>
        <w:tabs>
          <w:tab w:pos="400" w:val="left"/>
        </w:tabs>
        <w:autoSpaceDE w:val="0"/>
        <w:widowControl/>
        <w:spacing w:line="238" w:lineRule="exact" w:before="2" w:after="0"/>
        <w:ind w:left="198" w:right="288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Correlations: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ONGC–ICB 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 and BPCL–IOCL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 displayed strong interdependence.</w:t>
      </w:r>
    </w:p>
    <w:p>
      <w:pPr>
        <w:autoSpaceDN w:val="0"/>
        <w:tabs>
          <w:tab w:pos="400" w:val="left"/>
        </w:tabs>
        <w:autoSpaceDE w:val="0"/>
        <w:widowControl/>
        <w:spacing w:line="240" w:lineRule="exact" w:before="0" w:after="0"/>
        <w:ind w:left="198" w:right="288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Volatility Clustering: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High-volatility periods observed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during 2016 and 2020, reverting post-2021.</w:t>
      </w:r>
    </w:p>
    <w:p>
      <w:pPr>
        <w:sectPr>
          <w:type w:val="continuous"/>
          <w:pgSz w:w="12240" w:h="15840"/>
          <w:pgMar w:top="512" w:right="960" w:bottom="730" w:left="980" w:header="720" w:footer="720" w:gutter="0"/>
          <w:cols w:num="2" w:equalWidth="0">
            <w:col w:w="5356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172"/>
        <w:ind w:left="0" w:right="142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M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ODEL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E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VALUATION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 S</w:t>
      </w:r>
      <w:r>
        <w:rPr>
          <w:w w:val="98.09384712806116"/>
          <w:rFonts w:ascii="NimbusRomNo9L" w:hAnsi="NimbusRomNo9L" w:eastAsia="NimbusRomNo9L"/>
          <w:b w:val="0"/>
          <w:i w:val="0"/>
          <w:color w:val="000000"/>
          <w:sz w:val="13"/>
        </w:rPr>
        <w:t>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3.9999999999998" w:type="dxa"/>
      </w:tblPr>
      <w:tblGrid>
        <w:gridCol w:w="2575"/>
        <w:gridCol w:w="2575"/>
        <w:gridCol w:w="2575"/>
        <w:gridCol w:w="2575"/>
      </w:tblGrid>
      <w:tr>
        <w:trPr>
          <w:trHeight w:hRule="exact" w:val="288"/>
        </w:trPr>
        <w:tc>
          <w:tcPr>
            <w:tcW w:type="dxa" w:w="77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Model</w:t>
            </w:r>
          </w:p>
        </w:tc>
        <w:tc>
          <w:tcPr>
            <w:tcW w:type="dxa" w:w="11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RMSE (USD)</w:t>
            </w:r>
          </w:p>
        </w:tc>
        <w:tc>
          <w:tcPr>
            <w:tcW w:type="dxa" w:w="11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RMSE (INR)</w:t>
            </w:r>
          </w:p>
        </w:tc>
        <w:tc>
          <w:tcPr>
            <w:tcW w:type="dxa" w:w="105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MAPE (%)</w:t>
            </w:r>
          </w:p>
        </w:tc>
      </w:tr>
      <w:tr>
        <w:trPr>
          <w:trHeight w:hRule="exact" w:val="222"/>
        </w:trPr>
        <w:tc>
          <w:tcPr>
            <w:tcW w:type="dxa" w:w="77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ARIMA</w:t>
            </w:r>
          </w:p>
        </w:tc>
        <w:tc>
          <w:tcPr>
            <w:tcW w:type="dxa" w:w="11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2.14</w:t>
            </w:r>
          </w:p>
        </w:tc>
        <w:tc>
          <w:tcPr>
            <w:tcW w:type="dxa" w:w="11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175.6</w:t>
            </w:r>
          </w:p>
        </w:tc>
        <w:tc>
          <w:tcPr>
            <w:tcW w:type="dxa" w:w="105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3.8</w:t>
            </w:r>
          </w:p>
        </w:tc>
      </w:tr>
      <w:tr>
        <w:trPr>
          <w:trHeight w:hRule="exact" w:val="180"/>
        </w:trPr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Prophet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1.98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160.3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3.2</w:t>
            </w:r>
          </w:p>
        </w:tc>
      </w:tr>
      <w:tr>
        <w:trPr>
          <w:trHeight w:hRule="exact" w:val="222"/>
        </w:trPr>
        <w:tc>
          <w:tcPr>
            <w:tcW w:type="dxa" w:w="77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LSTM</w:t>
            </w:r>
          </w:p>
        </w:tc>
        <w:tc>
          <w:tcPr>
            <w:tcW w:type="dxa" w:w="11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1.52</w:t>
            </w:r>
          </w:p>
        </w:tc>
        <w:tc>
          <w:tcPr>
            <w:tcW w:type="dxa" w:w="11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138.9</w:t>
            </w:r>
          </w:p>
        </w:tc>
        <w:tc>
          <w:tcPr>
            <w:tcW w:type="dxa" w:w="105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2.6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2240" w:h="15840"/>
          <w:pgMar w:top="512" w:right="960" w:bottom="730" w:left="980" w:header="720" w:footer="720" w:gutter="0"/>
          <w:cols w:num="2" w:equalWidth="0">
            <w:col w:w="5356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2" w:right="960" w:bottom="730" w:left="972" w:header="720" w:footer="720" w:gutter="0"/>
          <w:cols w:num="2" w:equalWidth="0">
            <w:col w:w="5356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189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VIII.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S</w:t>
      </w:r>
      <w:r>
        <w:rPr>
          <w:rFonts w:ascii="NimbusRomNo9L" w:hAnsi="NimbusRomNo9L" w:eastAsia="NimbusRomNo9L"/>
          <w:b/>
          <w:i w:val="0"/>
          <w:color w:val="000000"/>
          <w:sz w:val="16"/>
        </w:rPr>
        <w:t>UMMARY</w:t>
      </w:r>
    </w:p>
    <w:p>
      <w:pPr>
        <w:autoSpaceDN w:val="0"/>
        <w:autoSpaceDE w:val="0"/>
        <w:widowControl/>
        <w:spacing w:line="240" w:lineRule="exact" w:before="96" w:after="0"/>
        <w:ind w:left="8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The six-phase methodological framework effectively com-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bines statistical interpretability and deep learning adaptability,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providing robust forecasting capability for India’s petroleum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sector. The proposed hybrid approach ensures long-term pre-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diction accuracy, interpretability, and policy relevance under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dynamic energy market conditions.</w:t>
      </w:r>
    </w:p>
    <w:p>
      <w:pPr>
        <w:autoSpaceDN w:val="0"/>
        <w:autoSpaceDE w:val="0"/>
        <w:widowControl/>
        <w:spacing w:line="202" w:lineRule="exact" w:before="220" w:after="0"/>
        <w:ind w:left="0" w:right="203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IX.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R</w:t>
      </w:r>
      <w:r>
        <w:rPr>
          <w:rFonts w:ascii="NimbusRomNo9L" w:hAnsi="NimbusRomNo9L" w:eastAsia="NimbusRomNo9L"/>
          <w:b/>
          <w:i w:val="0"/>
          <w:color w:val="000000"/>
          <w:sz w:val="16"/>
        </w:rPr>
        <w:t>ESULTS</w:t>
      </w:r>
    </w:p>
    <w:p>
      <w:pPr>
        <w:autoSpaceDN w:val="0"/>
        <w:autoSpaceDE w:val="0"/>
        <w:widowControl/>
        <w:spacing w:line="240" w:lineRule="exact" w:before="96" w:after="0"/>
        <w:ind w:left="8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section presents and interprets the empirical findings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of the study, encompassing statistical correlation analysis,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model comparison results, and long-term forecasting out-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comes derived from the hybrid econometric–machine learning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framework. Each model—ARIMA, Prophet, and LSTM—was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evaluated for predictive performance using the Root Mean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Squared Error (RMSE) and Mean Absolute Percentage Error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(MAPE). The comparative outcomes validate the superiority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deep learning techniques in modeling nonlinear, volatile time-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series data, such as crude oil prices and PSU stock trends.</w:t>
      </w:r>
    </w:p>
    <w:p>
      <w:pPr>
        <w:autoSpaceDN w:val="0"/>
        <w:autoSpaceDE w:val="0"/>
        <w:widowControl/>
        <w:spacing w:line="198" w:lineRule="exact" w:before="220" w:after="0"/>
        <w:ind w:left="8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 Correlation and Interdependence Analysis</w:t>
      </w:r>
    </w:p>
    <w:p>
      <w:pPr>
        <w:autoSpaceDN w:val="0"/>
        <w:autoSpaceDE w:val="0"/>
        <w:widowControl/>
        <w:spacing w:line="238" w:lineRule="exact" w:before="88" w:after="0"/>
        <w:ind w:left="8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correlation analysis provides crucial insights into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interconnected behavior of the Indian petroleum ecosystem.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Table IV summarizes the linear associations between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Indian Crude Basket (ICB) and the stock performance of</w:t>
      </w:r>
    </w:p>
    <w:p>
      <w:pPr>
        <w:sectPr>
          <w:type w:val="continuous"/>
          <w:pgSz w:w="12240" w:h="15840"/>
          <w:pgMar w:top="512" w:right="960" w:bottom="730" w:left="972" w:header="720" w:footer="720" w:gutter="0"/>
          <w:cols w:num="2" w:equalWidth="0">
            <w:col w:w="5148" w:space="0"/>
            <w:col w:w="5160" w:space="0"/>
          </w:cols>
          <w:docGrid w:linePitch="360"/>
        </w:sectPr>
      </w:pP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31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Volatility Regimes: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Two major volatility spikes were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recorded—during 2015–2016 and 2020–2021.</w:t>
      </w:r>
    </w:p>
    <w:p>
      <w:pPr>
        <w:autoSpaceDN w:val="0"/>
        <w:autoSpaceDE w:val="0"/>
        <w:widowControl/>
        <w:spacing w:line="238" w:lineRule="exact" w:before="0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Post-2021 Stabilization: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Both ICB and PSU stock prices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exhibited mean-reverting behavior with moderate volatil-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ity, indicating market maturity.</w:t>
      </w:r>
    </w:p>
    <w:p>
      <w:pPr>
        <w:autoSpaceDN w:val="0"/>
        <w:autoSpaceDE w:val="0"/>
        <w:widowControl/>
        <w:spacing w:line="240" w:lineRule="exact" w:before="0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Distributional Properties: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Fat-tailed return distributions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justify the use of LSTM models capable of capturing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nonlinear, heavy-tailed processes.</w:t>
      </w:r>
    </w:p>
    <w:p>
      <w:pPr>
        <w:autoSpaceDN w:val="0"/>
        <w:autoSpaceDE w:val="0"/>
        <w:widowControl/>
        <w:spacing w:line="240" w:lineRule="auto" w:before="220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87700" cy="1974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974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476" w:after="268"/>
        <w:ind w:left="69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 1. Oil Company Stock Prices vs Indian Crude Basket</w:t>
      </w:r>
    </w:p>
    <w:p>
      <w:pPr>
        <w:sectPr>
          <w:type w:val="nextColumn"/>
          <w:pgSz w:w="12240" w:h="15840"/>
          <w:pgMar w:top="512" w:right="960" w:bottom="730" w:left="972" w:header="720" w:footer="720" w:gutter="0"/>
          <w:cols w:num="2" w:equalWidth="0">
            <w:col w:w="5148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5"/>
        <w:gridCol w:w="1145"/>
        <w:gridCol w:w="1145"/>
        <w:gridCol w:w="1145"/>
        <w:gridCol w:w="1145"/>
        <w:gridCol w:w="1145"/>
        <w:gridCol w:w="1145"/>
        <w:gridCol w:w="1145"/>
        <w:gridCol w:w="1145"/>
      </w:tblGrid>
      <w:tr>
        <w:trPr>
          <w:trHeight w:hRule="exact" w:val="966"/>
        </w:trPr>
        <w:tc>
          <w:tcPr>
            <w:tcW w:type="dxa" w:w="5248"/>
            <w:gridSpan w:val="8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public sector oil companies.</w:t>
            </w:r>
          </w:p>
          <w:p>
            <w:pPr>
              <w:autoSpaceDN w:val="0"/>
              <w:autoSpaceDE w:val="0"/>
              <w:widowControl/>
              <w:spacing w:line="180" w:lineRule="exact" w:before="192" w:after="0"/>
              <w:ind w:left="288" w:right="432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TABLE IV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ORRELATION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B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ETWEEN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ICB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 xml:space="preserve"> 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PSU S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TOCK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P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ERFORMANCE</w:t>
            </w:r>
          </w:p>
        </w:tc>
        <w:tc>
          <w:tcPr>
            <w:tcW w:type="dxa" w:w="50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87700" cy="22593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0" cy="2259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8"/>
        </w:trPr>
        <w:tc>
          <w:tcPr>
            <w:tcW w:type="dxa" w:w="1808"/>
            <w:gridSpan w:val="3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Relationship</w:t>
            </w:r>
          </w:p>
        </w:tc>
        <w:tc>
          <w:tcPr>
            <w:tcW w:type="dxa" w:w="4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r</w:t>
            </w:r>
          </w:p>
        </w:tc>
        <w:tc>
          <w:tcPr>
            <w:tcW w:type="dxa" w:w="2960"/>
            <w:gridSpan w:val="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94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Interpretation</w:t>
            </w:r>
          </w:p>
        </w:tc>
        <w:tc>
          <w:tcPr>
            <w:tcW w:type="dxa" w:w="50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87700" cy="22593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0" cy="2259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32"/>
        </w:trPr>
        <w:tc>
          <w:tcPr>
            <w:tcW w:type="dxa" w:w="1808"/>
            <w:gridSpan w:val="3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ONGC–ICB (USD)</w:t>
            </w:r>
          </w:p>
        </w:tc>
        <w:tc>
          <w:tcPr>
            <w:tcW w:type="dxa" w:w="4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0.82</w:t>
            </w:r>
          </w:p>
        </w:tc>
        <w:tc>
          <w:tcPr>
            <w:tcW w:type="dxa" w:w="2960"/>
            <w:gridSpan w:val="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34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Strong positive; upstream sensitivity</w:t>
            </w:r>
          </w:p>
        </w:tc>
        <w:tc>
          <w:tcPr>
            <w:tcW w:type="dxa" w:w="5040"/>
            <w:vMerge w:val="restart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87700" cy="22593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0" cy="2259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80"/>
        </w:trPr>
        <w:tc>
          <w:tcPr>
            <w:tcW w:type="dxa" w:w="18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BPCL–IOCL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0.78</w:t>
            </w:r>
          </w:p>
        </w:tc>
        <w:tc>
          <w:tcPr>
            <w:tcW w:type="dxa" w:w="2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High co-movement; downstream alignment</w:t>
            </w:r>
          </w:p>
        </w:tc>
        <w:tc>
          <w:tcPr>
            <w:tcW w:type="dxa" w:w="1145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8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OIL–ONGC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0.80</w:t>
            </w:r>
          </w:p>
        </w:tc>
        <w:tc>
          <w:tcPr>
            <w:tcW w:type="dxa" w:w="2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29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Structural interdependence (upstream)</w:t>
            </w:r>
          </w:p>
        </w:tc>
        <w:tc>
          <w:tcPr>
            <w:tcW w:type="dxa" w:w="1145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1808"/>
            <w:gridSpan w:val="3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ICB (USD)–ICB (INR)</w:t>
            </w:r>
          </w:p>
        </w:tc>
        <w:tc>
          <w:tcPr>
            <w:tcW w:type="dxa" w:w="4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0.95</w:t>
            </w:r>
          </w:p>
        </w:tc>
        <w:tc>
          <w:tcPr>
            <w:tcW w:type="dxa" w:w="2960"/>
            <w:gridSpan w:val="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3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Exchange-rate-driven co-movement</w:t>
            </w:r>
          </w:p>
        </w:tc>
        <w:tc>
          <w:tcPr>
            <w:tcW w:type="dxa" w:w="1145"/>
            <w:vMerge/>
            <w:tcBorders>
              <w:top w:sz="3.9839999675750732" w:val="single" w:color="#000000"/>
              <w:bottom w:sz="6.375999927520752" w:val="single" w:color="#000000"/>
            </w:tcBorders>
          </w:tcPr>
          <w:p/>
        </w:tc>
      </w:tr>
      <w:tr>
        <w:trPr>
          <w:trHeight w:hRule="exact" w:val="1328"/>
        </w:trPr>
        <w:tc>
          <w:tcPr>
            <w:tcW w:type="dxa" w:w="5248"/>
            <w:gridSpan w:val="8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8" w:right="220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The results reveal a high degree of systemic coupling between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firm performance and crude benchmark movements. Upstream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entities (ONGC and OIL) display heightened sensitivity to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global crude price shifts, reflecting exposure to exploration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 extraction margins. Downstream refiners (BPCL, IOCL,</w:t>
            </w:r>
          </w:p>
        </w:tc>
        <w:tc>
          <w:tcPr>
            <w:tcW w:type="dxa" w:w="5040"/>
            <w:vMerge w:val="restart"/>
            <w:tcBorders>
              <w:top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87700" cy="22593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0" cy="2259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38"/>
        </w:trPr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HPCL)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exhibit</w:t>
            </w:r>
          </w:p>
        </w:tc>
        <w:tc>
          <w:tcPr>
            <w:tcW w:type="dxa" w:w="12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synchronized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movements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owing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8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to</w:t>
            </w:r>
          </w:p>
        </w:tc>
        <w:tc>
          <w:tcPr>
            <w:tcW w:type="dxa" w:w="1145"/>
            <w:vMerge/>
            <w:tcBorders>
              <w:top w:sz="6.3759999275207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20" w:after="284"/>
        <w:ind w:left="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regulated pricing structures and shared refining dynamics.</w:t>
      </w:r>
    </w:p>
    <w:p>
      <w:pPr>
        <w:sectPr>
          <w:type w:val="continuous"/>
          <w:pgSz w:w="12240" w:h="15840"/>
          <w:pgMar w:top="512" w:right="960" w:bottom="730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8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Rolling correlation analysis (30-day window) further revealed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temporal variations in interdependence, with correlations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strengthening during high-volatility phases—most notably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2015–2016 oil price collapse and the 2020–2021 pandemic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shock. During such crisis phases, the Indian oil sector operated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as a tightly coupled system, amplifying the market-wide</w:t>
      </w:r>
    </w:p>
    <w:p>
      <w:pPr>
        <w:sectPr>
          <w:type w:val="continuous"/>
          <w:pgSz w:w="12240" w:h="15840"/>
          <w:pgMar w:top="512" w:right="960" w:bottom="730" w:left="972" w:header="720" w:footer="720" w:gutter="0"/>
          <w:cols w:num="2" w:equalWidth="0">
            <w:col w:w="5148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180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 2. Daily Returns</w:t>
      </w:r>
    </w:p>
    <w:p>
      <w:pPr>
        <w:autoSpaceDN w:val="0"/>
        <w:autoSpaceDE w:val="0"/>
        <w:widowControl/>
        <w:spacing w:line="198" w:lineRule="exact" w:before="314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C. Model Comparison and Forecast Accuracy</w:t>
      </w:r>
    </w:p>
    <w:p>
      <w:pPr>
        <w:autoSpaceDN w:val="0"/>
        <w:autoSpaceDE w:val="0"/>
        <w:widowControl/>
        <w:spacing w:line="240" w:lineRule="exact" w:before="106" w:after="52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Forecasting performance across models was quantitatively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assessed using both USD and INR series for the Indian Crude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Basket (ICB). The results are summarized in Table V.</w:t>
      </w:r>
    </w:p>
    <w:p>
      <w:pPr>
        <w:sectPr>
          <w:type w:val="nextColumn"/>
          <w:pgSz w:w="12240" w:h="15840"/>
          <w:pgMar w:top="512" w:right="960" w:bottom="730" w:left="972" w:header="720" w:footer="720" w:gutter="0"/>
          <w:cols w:num="2" w:equalWidth="0">
            <w:col w:w="5148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062"/>
        <w:gridCol w:w="2062"/>
        <w:gridCol w:w="2062"/>
        <w:gridCol w:w="2062"/>
        <w:gridCol w:w="2062"/>
      </w:tblGrid>
      <w:tr>
        <w:trPr>
          <w:trHeight w:hRule="exact" w:val="674"/>
        </w:trPr>
        <w:tc>
          <w:tcPr>
            <w:tcW w:type="dxa" w:w="571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effects of crude price fluctuations.</w:t>
            </w:r>
          </w:p>
          <w:p>
            <w:pPr>
              <w:autoSpaceDN w:val="0"/>
              <w:autoSpaceDE w:val="0"/>
              <w:widowControl/>
              <w:spacing w:line="198" w:lineRule="exact" w:before="22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B. Volatility Dynamics and EDA Insights</w:t>
            </w:r>
          </w:p>
        </w:tc>
        <w:tc>
          <w:tcPr>
            <w:tcW w:type="dxa" w:w="4162"/>
            <w:gridSpan w:val="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144" w:right="144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TABLE V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M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ODEL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C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OMPARISON AND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F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ORECASTING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 xml:space="preserve"> A</w:t>
            </w:r>
            <w:r>
              <w:rPr>
                <w:w w:val="98.09384712806116"/>
                <w:rFonts w:ascii="NimbusRomNo9L" w:hAnsi="NimbusRomNo9L" w:eastAsia="NimbusRomNo9L"/>
                <w:b w:val="0"/>
                <w:i w:val="0"/>
                <w:color w:val="000000"/>
                <w:sz w:val="13"/>
              </w:rPr>
              <w:t>CCURACY</w:t>
            </w:r>
          </w:p>
        </w:tc>
      </w:tr>
      <w:tr>
        <w:trPr>
          <w:trHeight w:hRule="exact" w:val="286"/>
        </w:trPr>
        <w:tc>
          <w:tcPr>
            <w:tcW w:type="dxa" w:w="571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Exploratory Data Analysis (EDA) revealed volatility cluster-</w:t>
            </w:r>
          </w:p>
        </w:tc>
        <w:tc>
          <w:tcPr>
            <w:tcW w:type="dxa" w:w="77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Model</w:t>
            </w:r>
          </w:p>
        </w:tc>
        <w:tc>
          <w:tcPr>
            <w:tcW w:type="dxa" w:w="11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RMSE (USD)</w:t>
            </w:r>
          </w:p>
        </w:tc>
        <w:tc>
          <w:tcPr>
            <w:tcW w:type="dxa" w:w="11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RMSE (INR)</w:t>
            </w:r>
          </w:p>
        </w:tc>
        <w:tc>
          <w:tcPr>
            <w:tcW w:type="dxa" w:w="105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MAPE (%)</w:t>
            </w:r>
          </w:p>
        </w:tc>
      </w:tr>
      <w:tr>
        <w:trPr>
          <w:trHeight w:hRule="exact" w:val="208"/>
        </w:trPr>
        <w:tc>
          <w:tcPr>
            <w:tcW w:type="dxa" w:w="571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ing, non-normal return distributions, and episodic deviations</w:t>
            </w:r>
          </w:p>
        </w:tc>
        <w:tc>
          <w:tcPr>
            <w:tcW w:type="dxa" w:w="77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ARIMA</w:t>
            </w:r>
          </w:p>
        </w:tc>
        <w:tc>
          <w:tcPr>
            <w:tcW w:type="dxa" w:w="11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2.14</w:t>
            </w:r>
          </w:p>
        </w:tc>
        <w:tc>
          <w:tcPr>
            <w:tcW w:type="dxa" w:w="11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175.6</w:t>
            </w:r>
          </w:p>
        </w:tc>
        <w:tc>
          <w:tcPr>
            <w:tcW w:type="dxa" w:w="105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3.8</w:t>
            </w:r>
          </w:p>
        </w:tc>
      </w:tr>
    </w:tbl>
    <w:p>
      <w:pPr>
        <w:autoSpaceDN w:val="0"/>
        <w:autoSpaceDE w:val="0"/>
        <w:widowControl/>
        <w:spacing w:line="14" w:lineRule="exact" w:before="0" w:after="34"/>
        <w:ind w:left="0" w:right="0"/>
      </w:pPr>
    </w:p>
    <w:p>
      <w:pPr>
        <w:sectPr>
          <w:type w:val="continuous"/>
          <w:pgSz w:w="12240" w:h="15840"/>
          <w:pgMar w:top="512" w:right="960" w:bottom="730" w:left="9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8" w:right="288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 mean price levels. Key observations include the follow-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ing:</w:t>
      </w:r>
    </w:p>
    <w:p>
      <w:pPr>
        <w:sectPr>
          <w:type w:val="continuous"/>
          <w:pgSz w:w="12240" w:h="15840"/>
          <w:pgMar w:top="512" w:right="960" w:bottom="730" w:left="972" w:header="720" w:footer="720" w:gutter="0"/>
          <w:cols w:num="2" w:equalWidth="0">
            <w:col w:w="5364" w:space="0"/>
            <w:col w:w="49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3.9999999999998" w:type="dxa"/>
      </w:tblPr>
      <w:tblGrid>
        <w:gridCol w:w="2577"/>
        <w:gridCol w:w="2577"/>
        <w:gridCol w:w="2577"/>
        <w:gridCol w:w="2577"/>
      </w:tblGrid>
      <w:tr>
        <w:trPr>
          <w:trHeight w:hRule="exact" w:val="156"/>
        </w:trPr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Prophet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4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1.98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160.3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3.2</w:t>
            </w:r>
          </w:p>
        </w:tc>
      </w:tr>
      <w:tr>
        <w:trPr>
          <w:trHeight w:hRule="exact" w:val="220"/>
        </w:trPr>
        <w:tc>
          <w:tcPr>
            <w:tcW w:type="dxa" w:w="91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LSTM</w:t>
            </w:r>
          </w:p>
        </w:tc>
        <w:tc>
          <w:tcPr>
            <w:tcW w:type="dxa" w:w="10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4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1.52</w:t>
            </w:r>
          </w:p>
        </w:tc>
        <w:tc>
          <w:tcPr>
            <w:tcW w:type="dxa" w:w="11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138.9</w:t>
            </w:r>
          </w:p>
        </w:tc>
        <w:tc>
          <w:tcPr>
            <w:tcW w:type="dxa" w:w="105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16"/>
              </w:rPr>
              <w:t>2.6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2240" w:h="15840"/>
          <w:pgMar w:top="512" w:right="960" w:bottom="730" w:left="972" w:header="720" w:footer="720" w:gutter="0"/>
          <w:cols w:num="2" w:equalWidth="0">
            <w:col w:w="5364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sectPr>
          <w:pgSz w:w="12240" w:h="15840"/>
          <w:pgMar w:top="512" w:right="960" w:bottom="732" w:left="980" w:header="720" w:footer="720" w:gutter="0"/>
          <w:cols w:num="2" w:equalWidth="0">
            <w:col w:w="5364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LSTM achieved the lowest error rates, outperforming ARIMA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Prophet by approximately 29% in RMSE terms. This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confirms that deep learning models, with their ability to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capture complex temporal dependencies, are more effective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for energy market forecasting under high volatility and long-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horizon conditions.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87700" cy="19913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99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476" w:after="0"/>
        <w:ind w:left="0" w:right="169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 3. Actual VS Predicted</w:t>
      </w:r>
    </w:p>
    <w:p>
      <w:pPr>
        <w:autoSpaceDN w:val="0"/>
        <w:autoSpaceDE w:val="0"/>
        <w:widowControl/>
        <w:spacing w:line="198" w:lineRule="exact" w:before="342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D. Forecast Interpretation and Long-Term Projections</w:t>
      </w:r>
    </w:p>
    <w:p>
      <w:pPr>
        <w:autoSpaceDN w:val="0"/>
        <w:autoSpaceDE w:val="0"/>
        <w:widowControl/>
        <w:spacing w:line="240" w:lineRule="exact" w:before="118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ensemble of forecasts indicates a stabilizing trend in crude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oil prices for 2025–2035. LSTM-based projections suggest 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Indian Crude Basket (ICB-USD) will stabilize between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USD 85 and 95 per barrel, assuming steady demand recovery,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balanced OPEC output, and moderate inflationary pressures.</w:t>
      </w:r>
    </w:p>
    <w:p>
      <w:pPr>
        <w:autoSpaceDN w:val="0"/>
        <w:autoSpaceDE w:val="0"/>
        <w:widowControl/>
        <w:spacing w:line="238" w:lineRule="exact" w:before="72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Upstream Companies (ONGC, OIL):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Maintain steady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growth, averaging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4% CAGR in revenue, supported by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efficient exploration and gas integration.</w:t>
      </w:r>
    </w:p>
    <w:p>
      <w:pPr>
        <w:autoSpaceDN w:val="0"/>
        <w:autoSpaceDE w:val="0"/>
        <w:widowControl/>
        <w:spacing w:line="240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Downstream Companies (BPCL, IOCL, HPCL):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Ex-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hibit cyclical earnings driven by refining margins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domestic demand.</w:t>
      </w:r>
    </w:p>
    <w:p>
      <w:pPr>
        <w:autoSpaceDN w:val="0"/>
        <w:autoSpaceDE w:val="0"/>
        <w:widowControl/>
        <w:spacing w:line="238" w:lineRule="exact" w:before="0" w:after="0"/>
        <w:ind w:left="144" w:right="0" w:firstLine="0"/>
        <w:jc w:val="center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Sectoral Outlook: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Gradual diversification into gas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renewables expected to mitigate crude price exposure.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87700" cy="21043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10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478" w:after="0"/>
        <w:ind w:left="0" w:right="1810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Fig. 4. 10 Year Forecast</w:t>
      </w:r>
    </w:p>
    <w:p>
      <w:pPr>
        <w:sectPr>
          <w:type w:val="continuous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E. Policy and Strategic Implications</w:t>
      </w:r>
    </w:p>
    <w:p>
      <w:pPr>
        <w:autoSpaceDN w:val="0"/>
        <w:autoSpaceDE w:val="0"/>
        <w:widowControl/>
        <w:spacing w:line="238" w:lineRule="exact" w:before="7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results have key implications for energy policy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macroeconomic management:</w:t>
      </w:r>
    </w:p>
    <w:p>
      <w:pPr>
        <w:autoSpaceDN w:val="0"/>
        <w:autoSpaceDE w:val="0"/>
        <w:widowControl/>
        <w:spacing w:line="240" w:lineRule="exact" w:before="44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Volatility Management: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Forecasts can guide timing of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strategic petroleum reserve (SPR) releases and procure-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ment strategies.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31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Fiscal Planning: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Improved crude price forecasts support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fiscal deficit and subsidy management.</w:t>
      </w:r>
    </w:p>
    <w:p>
      <w:pPr>
        <w:autoSpaceDN w:val="0"/>
        <w:tabs>
          <w:tab w:pos="520" w:val="left"/>
        </w:tabs>
        <w:autoSpaceDE w:val="0"/>
        <w:widowControl/>
        <w:spacing w:line="238" w:lineRule="exact" w:before="0" w:after="0"/>
        <w:ind w:left="31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Investment Strategy: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Stabilization trends justify ex-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panded upstream and downstream investment planning.</w:t>
      </w: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Energy Transition Readiness: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Forecasted stability post-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2030 aligns with India’s shift toward renewables and gas-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based diversification.</w:t>
      </w:r>
    </w:p>
    <w:p>
      <w:pPr>
        <w:autoSpaceDN w:val="0"/>
        <w:autoSpaceDE w:val="0"/>
        <w:widowControl/>
        <w:spacing w:line="240" w:lineRule="exact" w:before="48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Thus, the proposed hybrid framework serves as a quantita-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tive decision-support tool integrating predictive analytics with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actionable policy insights.</w:t>
      </w:r>
    </w:p>
    <w:p>
      <w:pPr>
        <w:autoSpaceDN w:val="0"/>
        <w:autoSpaceDE w:val="0"/>
        <w:widowControl/>
        <w:spacing w:line="200" w:lineRule="exact" w:before="192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F. Summary of Key Findings</w:t>
      </w:r>
    </w:p>
    <w:p>
      <w:pPr>
        <w:autoSpaceDN w:val="0"/>
        <w:autoSpaceDE w:val="0"/>
        <w:widowControl/>
        <w:spacing w:line="240" w:lineRule="exact" w:before="74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key empirical findings of this research are summarized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below:</w:t>
      </w:r>
    </w:p>
    <w:p>
      <w:pPr>
        <w:autoSpaceDN w:val="0"/>
        <w:autoSpaceDE w:val="0"/>
        <w:widowControl/>
        <w:spacing w:line="240" w:lineRule="exact" w:before="44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Correlation Analysis: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The results indicate strong sys-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temic interdependence between the Indian Crude Basket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(ICB) and PSU stock performance, with correlation co-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efficients ranging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95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. This reflects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deep structural linkages across the upstream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downstream segments.</w:t>
      </w:r>
    </w:p>
    <w:p>
      <w:pPr>
        <w:autoSpaceDN w:val="0"/>
        <w:autoSpaceDE w:val="0"/>
        <w:widowControl/>
        <w:spacing w:line="238" w:lineRule="exact" w:before="0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Volatility Trends: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Two significant high-volatility regimes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were identified — during the 2015–2016 global oil price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downturn and the 2020–2021 COVID-19 pandemic. Both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were followed by gradual stabilization post-2021.</w:t>
      </w:r>
    </w:p>
    <w:p>
      <w:pPr>
        <w:autoSpaceDN w:val="0"/>
        <w:autoSpaceDE w:val="0"/>
        <w:widowControl/>
        <w:spacing w:line="240" w:lineRule="exact" w:before="0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Model Accuracy: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Among the forecasting models,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Long Short-Term Memory (LSTM) network demon-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strated the highest predictive accuracy, outperforming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ARIMA and Prophet by approximately 29% in RMSE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terms.</w:t>
      </w:r>
    </w:p>
    <w:p>
      <w:pPr>
        <w:autoSpaceDN w:val="0"/>
        <w:autoSpaceDE w:val="0"/>
        <w:widowControl/>
        <w:spacing w:line="240" w:lineRule="exact" w:before="0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Long-Term Outlook: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Forecast projections suggest that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Indian Crude Basket (ICB) will stabilize within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USD 85–95 per barrel range by 2035, reflecting structural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maturity and resilience in the petroleum market.</w:t>
      </w:r>
    </w:p>
    <w:p>
      <w:pPr>
        <w:autoSpaceDN w:val="0"/>
        <w:autoSpaceDE w:val="0"/>
        <w:widowControl/>
        <w:spacing w:line="238" w:lineRule="exact" w:before="0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Policy Implications: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The hybrid modeling framework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provides valuable decision-support for fiscal planning,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strategic petroleum reserve (SPR) management, and en-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ergy diversification policy formulation.</w:t>
      </w:r>
    </w:p>
    <w:p>
      <w:pPr>
        <w:autoSpaceDN w:val="0"/>
        <w:autoSpaceDE w:val="0"/>
        <w:widowControl/>
        <w:spacing w:line="238" w:lineRule="exact" w:before="46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These findings collectively underscore the robustness of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hybrid econometric–AI forecasting framework and its applica-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bility in real-world energy market analysis and policymaking.</w:t>
      </w:r>
    </w:p>
    <w:p>
      <w:pPr>
        <w:autoSpaceDN w:val="0"/>
        <w:autoSpaceDE w:val="0"/>
        <w:widowControl/>
        <w:spacing w:line="200" w:lineRule="exact" w:before="196" w:after="0"/>
        <w:ind w:left="0" w:right="177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X.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C</w:t>
      </w:r>
      <w:r>
        <w:rPr>
          <w:rFonts w:ascii="NimbusRomNo9L" w:hAnsi="NimbusRomNo9L" w:eastAsia="NimbusRomNo9L"/>
          <w:b/>
          <w:i w:val="0"/>
          <w:color w:val="000000"/>
          <w:sz w:val="16"/>
        </w:rPr>
        <w:t>ONCLUSION</w:t>
      </w:r>
    </w:p>
    <w:p>
      <w:pPr>
        <w:autoSpaceDN w:val="0"/>
        <w:autoSpaceDE w:val="0"/>
        <w:widowControl/>
        <w:spacing w:line="240" w:lineRule="exact" w:before="78" w:after="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study developed and implemented a comprehensive,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data-driven framework for analyzing and forecasting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dynamics of India’s petroleum sector, integrating econometric,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statistical, and deep learning methodologies. By leveraging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 decade-long dataset (2014–2024) that encompasses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performance of major Indian public sector oil companies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(BPCL, IOCL, HPCL, ONGC, OIL, and GAIL), Indian</w:t>
      </w:r>
    </w:p>
    <w:p>
      <w:pPr>
        <w:sectPr>
          <w:type w:val="nextColumn"/>
          <w:pgSz w:w="12240" w:h="15840"/>
          <w:pgMar w:top="512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566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Crude Basket (ICB) prices in both USD and INR, and key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tions for transitioning toward cleaner fuels and renewable</w:t>
      </w:r>
    </w:p>
    <w:p>
      <w:pPr>
        <w:autoSpaceDN w:val="0"/>
        <w:tabs>
          <w:tab w:pos="5660" w:val="left"/>
        </w:tabs>
        <w:autoSpaceDE w:val="0"/>
        <w:widowControl/>
        <w:spacing w:line="200" w:lineRule="exact" w:before="40" w:after="4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macroeconomic variables such as the Volatility Index (VIX)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energy integration.</w:t>
      </w:r>
    </w:p>
    <w:p>
      <w:pPr>
        <w:sectPr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252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and USD/INR exchange rate, this research provides a unified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understanding of sectoral interdependence, volatility,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long-term growth trajectories.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28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study’s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hybrid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analytical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framework—comprising</w:t>
            </w:r>
          </w:p>
        </w:tc>
      </w:tr>
    </w:tbl>
    <w:p>
      <w:pPr>
        <w:autoSpaceDN w:val="0"/>
        <w:autoSpaceDE w:val="0"/>
        <w:widowControl/>
        <w:spacing w:line="236" w:lineRule="exact" w:before="0" w:after="2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ARIMA, Prophet, and Long Short-Term Memory (LSTM)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models—demonstrated the efficacy of integrating traditional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econometric interpretability with modern AI-driven predictive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power. The empirical evaluation revealed that the LSTM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 consistently outperformed both ARIMA and Prophet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forecasting accuracy, achieving an RMSE of approximately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1.52 USD, compared to 1.98 USD and 2.14 USD respectively.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19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This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reinforces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view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that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nonlinear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deep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learning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A. Limitations</w:t>
      </w:r>
    </w:p>
    <w:p>
      <w:pPr>
        <w:autoSpaceDN w:val="0"/>
        <w:autoSpaceDE w:val="0"/>
        <w:widowControl/>
        <w:spacing w:line="240" w:lineRule="exact" w:before="62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While the framework effectively integrates econometric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deep learning methods, certain limitations persist:</w:t>
      </w:r>
    </w:p>
    <w:p>
      <w:pPr>
        <w:autoSpaceDN w:val="0"/>
        <w:autoSpaceDE w:val="0"/>
        <w:widowControl/>
        <w:spacing w:line="240" w:lineRule="exact" w:before="30" w:after="0"/>
        <w:ind w:left="520" w:right="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The models rely on publicly available financial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macroeconomic data, which exclude proprietary produc-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tion, demand, and refinery capacity details.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98"/>
        <w:ind w:left="318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The analysis assumes relatively stable geopolitical and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policy conditions, without incorporating scenario-based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shocks (e.g., OPEC decisions, sanctions, or conflicts).</w:t>
      </w: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External factors such as climate policies and renewable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energy adoption rates were not dynamically modeled but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may significantly affect long-term crude dynamics.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34"/>
        </w:trPr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architectures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are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particularly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well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7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suited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modeling</w:t>
            </w:r>
          </w:p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B. Future Work</w:t>
            </w:r>
          </w:p>
        </w:tc>
      </w:tr>
      <w:tr>
        <w:trPr>
          <w:trHeight w:hRule="exact" w:val="76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complex</w:t>
            </w:r>
          </w:p>
        </w:tc>
        <w:tc>
          <w:tcPr>
            <w:tcW w:type="dxa" w:w="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1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temporal</w:t>
            </w:r>
          </w:p>
        </w:tc>
        <w:tc>
          <w:tcPr>
            <w:tcW w:type="dxa" w:w="1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dependencies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11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volatility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patterns</w:t>
            </w:r>
          </w:p>
        </w:tc>
        <w:tc>
          <w:tcPr>
            <w:tcW w:type="dxa" w:w="1030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1030"/>
            <w:vMerge/>
            <w:tcBorders/>
          </w:tcPr>
          <w:p/>
        </w:tc>
        <w:tc>
          <w:tcPr>
            <w:tcW w:type="dxa" w:w="2060"/>
            <w:gridSpan w:val="2"/>
            <w:vMerge/>
            <w:tcBorders/>
          </w:tcPr>
          <w:p/>
        </w:tc>
        <w:tc>
          <w:tcPr>
            <w:tcW w:type="dxa" w:w="2060"/>
            <w:gridSpan w:val="2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2060"/>
            <w:gridSpan w:val="2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Future research can extend this framework by:</w:t>
            </w:r>
          </w:p>
        </w:tc>
      </w:tr>
      <w:tr>
        <w:trPr>
          <w:trHeight w:hRule="exact" w:val="140"/>
        </w:trPr>
        <w:tc>
          <w:tcPr>
            <w:tcW w:type="dxa" w:w="422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inherent in global energy markets.</w:t>
            </w:r>
          </w:p>
        </w:tc>
        <w:tc>
          <w:tcPr>
            <w:tcW w:type="dxa" w:w="1030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8240"/>
            <w:gridSpan w:val="8"/>
            <w:vMerge/>
            <w:tcBorders/>
          </w:tcPr>
          <w:p/>
        </w:tc>
        <w:tc>
          <w:tcPr>
            <w:tcW w:type="dxa" w:w="1030"/>
            <w:vMerge/>
            <w:tcBorders/>
          </w:tcPr>
          <w:p/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1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Incorporating exogenous macroeconomic and policy vari-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8"/>
        <w:ind w:left="0" w:right="0"/>
      </w:pP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21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Correlation and volatility analyses revealed strong sectoral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coupling, with high interdependence between ONGC–ICB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82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) and BPCL–IOCL (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78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), reflecting the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interconnected nature of India’s upstream and downstream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oil operations. The EDA highlighted two distinct volatility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phases—the 2015–2016 oil price collapse and the 2020–2021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pandemic shock—both followed by a gradual stabilization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trend post-2021. Long-term projections suggest that the Indian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Crude Basket (ICB) is likely to stabilize within the USD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42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ables (e.g., interest rates, fiscal deficit, renewable energy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investments).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45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26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 Developing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ensemble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hybrid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models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(e.g.,</w:t>
            </w:r>
          </w:p>
        </w:tc>
      </w:tr>
      <w:tr>
        <w:trPr>
          <w:trHeight w:hRule="exact" w:val="294"/>
        </w:trPr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3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ARIMA–LSTM,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Prophet–XGBoost)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enhanced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42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robustness and interpretability.</w:t>
      </w:r>
    </w:p>
    <w:p>
      <w:pPr>
        <w:autoSpaceDN w:val="0"/>
        <w:tabs>
          <w:tab w:pos="422" w:val="left"/>
        </w:tabs>
        <w:autoSpaceDE w:val="0"/>
        <w:widowControl/>
        <w:spacing w:line="240" w:lineRule="exact" w:before="0" w:after="0"/>
        <w:ind w:left="220" w:right="0" w:firstLine="0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Applying sentiment analysis on financial and policy text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data to integrate qualitative market expectations.</w:t>
      </w:r>
    </w:p>
    <w:p>
      <w:pPr>
        <w:autoSpaceDN w:val="0"/>
        <w:autoSpaceDE w:val="0"/>
        <w:widowControl/>
        <w:spacing w:line="238" w:lineRule="exact" w:before="2" w:after="156"/>
        <w:ind w:left="422" w:right="0" w:hanging="202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Expanding the modeling horizon with scenario-based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simulations under varying policy and climate trajectories.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4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85–95 per barrel range by 2035, underlining the market’s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0"/>
        </w:rPr>
        <w:t>C. Final Remarks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structural maturity and resilience. Upstream firms, such as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ONGC and OIL, are projected to experience steady revenue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growth at approximately 4% CAGR, whereas downstream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firms are expected to maintain moderate margins influenced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by refining spreads and domestic demand cycles.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17"/>
        <w:gridCol w:w="1717"/>
        <w:gridCol w:w="1717"/>
        <w:gridCol w:w="1717"/>
        <w:gridCol w:w="1717"/>
        <w:gridCol w:w="1717"/>
      </w:tblGrid>
      <w:tr>
        <w:trPr>
          <w:trHeight w:hRule="exact" w:val="218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This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study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underscores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that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hybrid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forecasting</w:t>
            </w:r>
          </w:p>
        </w:tc>
      </w:tr>
    </w:tbl>
    <w:p>
      <w:pPr>
        <w:autoSpaceDN w:val="0"/>
        <w:autoSpaceDE w:val="0"/>
        <w:widowControl/>
        <w:spacing w:line="236" w:lineRule="exact" w:before="0" w:after="10"/>
        <w:ind w:left="12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architectures—uniting the statistical rigor of econometric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 with the adaptive intelligence of deep learning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networks—represent the future of energy market analytics.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offering both accuracy and interpretability, the proposed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framework not only strengthens the predictive foundations of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806" w:val="left"/>
          <w:tab w:pos="1880" w:val="left"/>
          <w:tab w:pos="2810" w:val="left"/>
          <w:tab w:pos="3286" w:val="left"/>
          <w:tab w:pos="4138" w:val="left"/>
          <w:tab w:pos="526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Beyond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forecasting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accuracy,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research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contributes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petroleum economics but also contributes to evidence-based</w:t>
      </w:r>
    </w:p>
    <w:p>
      <w:pPr>
        <w:autoSpaceDN w:val="0"/>
        <w:tabs>
          <w:tab w:pos="1752" w:val="left"/>
          <w:tab w:pos="2308" w:val="left"/>
          <w:tab w:pos="3806" w:val="left"/>
          <w:tab w:pos="4502" w:val="left"/>
          <w:tab w:pos="5260" w:val="left"/>
        </w:tabs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methodologically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demonstrating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how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hybrid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policymaking and strategic energy planning.</w:t>
      </w:r>
    </w:p>
    <w:p>
      <w:pPr>
        <w:autoSpaceDN w:val="0"/>
        <w:tabs>
          <w:tab w:pos="1490" w:val="left"/>
          <w:tab w:pos="2260" w:val="left"/>
          <w:tab w:pos="2732" w:val="left"/>
          <w:tab w:pos="3436" w:val="left"/>
          <w:tab w:pos="3874" w:val="left"/>
          <w:tab w:pos="4356" w:val="left"/>
        </w:tabs>
        <w:autoSpaceDE w:val="0"/>
        <w:widowControl/>
        <w:spacing w:line="198" w:lineRule="exact" w:before="10" w:after="4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econometric–AI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models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can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bridge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gap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between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interpretability and adaptability—a longstanding challenge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in energy economics. The proposed six-phase analytical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12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In summary, this research lays the groundwork for a new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generation of predictive energy analytics—one that harmo-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1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(spanning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preprocessing,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engineering,</w:t>
            </w:r>
          </w:p>
        </w:tc>
        <w:tc>
          <w:tcPr>
            <w:tcW w:type="dxa" w:w="5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20" w:right="0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nizes data science, econometrics, and policy relevance to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 xml:space="preserve">enhance resilience in an increasingly uncertain global energy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environment.</w:t>
            </w:r>
          </w:p>
          <w:p>
            <w:pPr>
              <w:autoSpaceDN w:val="0"/>
              <w:autoSpaceDE w:val="0"/>
              <w:widowControl/>
              <w:spacing w:line="198" w:lineRule="exact" w:before="158" w:after="0"/>
              <w:ind w:left="0" w:right="1916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0"/>
              </w:rPr>
              <w:t>R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16"/>
              </w:rPr>
              <w:t>EFERENCES</w:t>
            </w:r>
          </w:p>
        </w:tc>
      </w:tr>
      <w:tr>
        <w:trPr>
          <w:trHeight w:hRule="exact" w:val="240"/>
        </w:trPr>
        <w:tc>
          <w:tcPr>
            <w:tcW w:type="dxa" w:w="51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EDA, correlation modeling, predictive modeling, and policy</w:t>
            </w:r>
          </w:p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interpretation)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is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replicable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scalable,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enabling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its</w:t>
            </w:r>
          </w:p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51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0"/>
              </w:rPr>
              <w:t>application to broader financial and commodity markets.</w:t>
            </w:r>
          </w:p>
        </w:tc>
        <w:tc>
          <w:tcPr>
            <w:tcW w:type="dxa" w:w="9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6"/>
        <w:ind w:left="0" w:right="0"/>
      </w:pP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0"/>
        </w:rPr>
        <w:t>From a strategic perspective, the study offers several policy-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relevant insights:</w:t>
      </w:r>
    </w:p>
    <w:p>
      <w:pPr>
        <w:autoSpaceDN w:val="0"/>
        <w:autoSpaceDE w:val="0"/>
        <w:widowControl/>
        <w:spacing w:line="238" w:lineRule="exact" w:before="11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Fiscal Planning and Subsidy Optimization: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Accurate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crude price forecasts enhance budget predictability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reduce exposure to global price shocks.</w:t>
      </w:r>
    </w:p>
    <w:p>
      <w:pPr>
        <w:autoSpaceDN w:val="0"/>
        <w:autoSpaceDE w:val="0"/>
        <w:widowControl/>
        <w:spacing w:line="238" w:lineRule="exact" w:before="0" w:after="0"/>
        <w:ind w:left="400" w:right="120" w:hanging="202"/>
        <w:jc w:val="both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Strategic Petroleum Reserve (SPR) Management: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Pre-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dictive analytics can guide optimal procurement and 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release timing to stabilize domestic markets.</w:t>
      </w:r>
    </w:p>
    <w:p>
      <w:pPr>
        <w:autoSpaceDN w:val="0"/>
        <w:autoSpaceDE w:val="0"/>
        <w:widowControl/>
        <w:spacing w:line="240" w:lineRule="exact" w:before="0" w:after="0"/>
        <w:ind w:left="400" w:right="0" w:hanging="202"/>
        <w:jc w:val="left"/>
      </w:pPr>
      <w:r>
        <w:rPr>
          <w:rFonts w:ascii="CMSY7" w:hAnsi="CMSY7" w:eastAsia="CMSY7"/>
          <w:b w:val="0"/>
          <w:i/>
          <w:color w:val="000000"/>
          <w:sz w:val="1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0"/>
        </w:rPr>
        <w:t xml:space="preserve"> Investment Strategy and Energy Transition: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 xml:space="preserve"> Fore-</w:t>
      </w:r>
      <w:r>
        <w:rPr>
          <w:rFonts w:ascii="NimbusRomNo9L" w:hAnsi="NimbusRomNo9L" w:eastAsia="NimbusRomNo9L"/>
          <w:b w:val="0"/>
          <w:i w:val="0"/>
          <w:color w:val="000000"/>
          <w:sz w:val="20"/>
        </w:rPr>
        <w:t>casted price stability post-2030 provides favorable condi-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406" w:val="left"/>
        </w:tabs>
        <w:autoSpaceDE w:val="0"/>
        <w:widowControl/>
        <w:spacing w:line="17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[1] J. D. Hamilton, “Oil and the macroeconomy since world war ii,”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Journal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of Political Economy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vol. 91, no. 2, pp. 228–248, 1983.</w:t>
      </w:r>
    </w:p>
    <w:p>
      <w:pPr>
        <w:autoSpaceDN w:val="0"/>
        <w:tabs>
          <w:tab w:pos="406" w:val="left"/>
        </w:tabs>
        <w:autoSpaceDE w:val="0"/>
        <w:widowControl/>
        <w:spacing w:line="18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[2] P. K. Narayan and S. Narayan, “Modelling oil price volatility,”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Energy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Policy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vol. 35, no. 12, pp. 6549–6553, 2007.</w:t>
      </w:r>
    </w:p>
    <w:p>
      <w:pPr>
        <w:autoSpaceDN w:val="0"/>
        <w:tabs>
          <w:tab w:pos="406" w:val="left"/>
        </w:tabs>
        <w:autoSpaceDE w:val="0"/>
        <w:widowControl/>
        <w:spacing w:line="178" w:lineRule="exact" w:before="2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[3] S. K. Mohanty and M. Nandha, “Oil risk exposure: The case of the us oil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and gas sector,”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Energy Economics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vol. 33, no. 5, pp. 967–976, 2011.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[4] K. A. Mork, “Oil and the macroeconomy when prices go up and down: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An extension of hamilton’s results,”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Journal of Political Economy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vol. 97,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no. 3, pp. 740–744, 1989.</w:t>
      </w:r>
    </w:p>
    <w:p>
      <w:pPr>
        <w:autoSpaceDN w:val="0"/>
        <w:tabs>
          <w:tab w:pos="406" w:val="left"/>
        </w:tabs>
        <w:autoSpaceDE w:val="0"/>
        <w:widowControl/>
        <w:spacing w:line="180" w:lineRule="exact" w:before="0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>[5] R. B. Barsky and L. Kilian, “Oil and the macroeconomy since the 1970s,”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16"/>
        </w:rPr>
        <w:t>Journal of Economic Perspectives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, vol. 18, no. 4, pp. 115–134, 2004.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[6] M. E. H. Arouri, J. Jouini, and D. K. Nguyen, “On the impacts of oil price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fluctuations on european equity markets: Volatility spillover and hedging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effectiveness,”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Energy Economics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vol. 34, no. 2, pp. 611–617, 2012.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0" w:right="4752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[7] X. Zhang, J. Wang, and K. Zhang, “Hybrid deep learning models for crude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oil price forecasting,”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Energy Economics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vol. 86, p. 104666, 2020.</w:t>
      </w:r>
    </w:p>
    <w:p>
      <w:pPr>
        <w:autoSpaceDN w:val="0"/>
        <w:tabs>
          <w:tab w:pos="284" w:val="left"/>
        </w:tabs>
        <w:autoSpaceDE w:val="0"/>
        <w:widowControl/>
        <w:spacing w:line="178" w:lineRule="exact" w:before="2" w:after="0"/>
        <w:ind w:left="0" w:right="4752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[8] Y. Fang, X. Li, and L. Zhang, “Prophet–lstm hybrid model for crude oil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price forecasting,”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Applied Energy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vol. 292, p. 116924, 2021.</w:t>
      </w:r>
    </w:p>
    <w:p>
      <w:pPr>
        <w:autoSpaceDN w:val="0"/>
        <w:autoSpaceDE w:val="0"/>
        <w:widowControl/>
        <w:spacing w:line="180" w:lineRule="exact" w:before="0" w:after="0"/>
        <w:ind w:left="0" w:right="4752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16"/>
        </w:rPr>
        <w:t xml:space="preserve">[9] L. Yu, Y. Zhao, and L. Tang, “Deep learning for oil price forecasting: 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Cnn–lstm approach,”</w:t>
      </w:r>
      <w:r>
        <w:rPr>
          <w:rFonts w:ascii="NimbusRomNo9L" w:hAnsi="NimbusRomNo9L" w:eastAsia="NimbusRomNo9L"/>
          <w:b w:val="0"/>
          <w:i/>
          <w:color w:val="000000"/>
          <w:sz w:val="16"/>
        </w:rPr>
        <w:t xml:space="preserve"> Energy Economics</w:t>
      </w:r>
      <w:r>
        <w:rPr>
          <w:rFonts w:ascii="NimbusRomNo9L" w:hAnsi="NimbusRomNo9L" w:eastAsia="NimbusRomNo9L"/>
          <w:b w:val="0"/>
          <w:i w:val="0"/>
          <w:color w:val="000000"/>
          <w:sz w:val="16"/>
        </w:rPr>
        <w:t>, vol. 86, p. 104634, 2019.</w:t>
      </w:r>
    </w:p>
    <w:sectPr w:rsidR="00FC693F" w:rsidRPr="0006063C" w:rsidSect="00034616">
      <w:pgSz w:w="12240" w:h="15840"/>
      <w:pgMar w:top="528" w:right="14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