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49A5A"/>
          <w:sz w:val="22"/>
          <w:szCs w:val="22"/>
        </w:rPr>
        <w:t xml:space="preserve">FLYING TIGER INVESTMENTS</w:t>
      </w:r>
    </w:p>
    <w:p>
      <w:pPr>
        <w:spacing w:after="80" w:before="0"/>
        <w:jc w:val="center"/>
      </w:pPr>
      <w:r>
        <w:rPr>
          <w:rFonts w:ascii="Arial" w:cs="Arial" w:eastAsia="Arial" w:hAnsi="Arial"/>
          <w:b/>
          <w:bCs/>
          <w:color w:val="0E0E0C"/>
          <w:sz w:val="36"/>
          <w:szCs w:val="36"/>
        </w:rPr>
        <w:t xml:space="preserve">Texas RIA Registration &amp; Launch Checklist</w:t>
      </w:r>
    </w:p>
    <w:p>
      <w:pPr>
        <w:spacing w:after="360" w:before="0"/>
        <w:jc w:val="center"/>
      </w:pPr>
      <w:r>
        <w:rPr>
          <w:rFonts w:ascii="Arial" w:cs="Arial" w:eastAsia="Arial" w:hAnsi="Arial"/>
          <w:i/>
          <w:iCs/>
          <w:color w:val="666666"/>
          <w:sz w:val="22"/>
          <w:szCs w:val="22"/>
        </w:rPr>
        <w:t xml:space="preserve">Stephen Brent Jenkins  |  5 client accounts, $10K each</w:t>
      </w:r>
    </w:p>
    <w:p>
      <w:pPr>
        <w:spacing w:after="80" w:before="80"/>
      </w:pPr>
      <w:r>
        <w:rPr>
          <w:rFonts w:ascii="Arial" w:cs="Arial" w:eastAsia="Arial" w:hAnsi="Arial"/>
          <w:b w:val="false"/>
          <w:bCs w:val="false"/>
          <w:i/>
          <w:iCs/>
          <w:color w:val="000000"/>
          <w:sz w:val="20"/>
          <w:szCs w:val="20"/>
        </w:rPr>
        <w:t xml:space="preserve">This checklist takes you from "about to sit for Series 65" to legally managing five client accounts in Texas. Phases must be completed in order — skipping ahead creates legal exposure. Items marked CRITICAL are non-negotiable; items marked OPTIONAL can be deferred.</w:t>
      </w:r>
    </w:p>
    <w:p>
      <w:pPr>
        <w:spacing w:after="80" w:before="80"/>
      </w:pPr>
      <w:r>
        <w:rPr>
          <w:rFonts w:ascii="Arial" w:cs="Arial" w:eastAsia="Arial" w:hAnsi="Arial"/>
          <w:b w:val="false"/>
          <w:bCs w:val="false"/>
          <w:i/>
          <w:iCs/>
          <w:color w:val="000000"/>
          <w:sz w:val="20"/>
          <w:szCs w:val="20"/>
        </w:rPr>
        <w:t xml:space="preserve">Estimated total timeline: 60–120 days from exam pass to first managed trade. Estimated cost: $1,500–$5,000 in setup (exam, filing fees, legal review, E&amp;O insurance) plus ongoing compliance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1: </w:t>
            </w:r>
            <w:r>
              <w:rPr>
                <w:rFonts w:ascii="Arial" w:cs="Arial" w:eastAsia="Arial" w:hAnsi="Arial"/>
                <w:b/>
                <w:bCs/>
                <w:color w:val="FFFFFF"/>
                <w:sz w:val="26"/>
                <w:szCs w:val="26"/>
              </w:rPr>
              <w:t xml:space="preserve">EXAM &amp; PRE-REGISTRATION FOUNDATION</w:t>
            </w:r>
            <w:r>
              <w:rPr>
                <w:rFonts w:ascii="Arial" w:cs="Arial" w:eastAsia="Arial" w:hAnsi="Arial"/>
                <w:color w:val="FFFFFF"/>
                <w:sz w:val="22"/>
                <w:szCs w:val="22"/>
              </w:rPr>
              <w:t xml:space="preserve">   |   Now → Exam date</w:t>
            </w:r>
          </w:p>
        </w:tc>
      </w:tr>
    </w:tbl>
    <w:p>
      <w:pPr>
        <w:pStyle w:val="Heading3"/>
        <w:spacing w:after="120" w:before="220"/>
      </w:pPr>
      <w:r>
        <w:rPr>
          <w:rFonts w:ascii="Arial" w:cs="Arial" w:eastAsia="Arial" w:hAnsi="Arial"/>
          <w:b/>
          <w:bCs/>
          <w:color w:val="0E0E0C"/>
          <w:sz w:val="23"/>
          <w:szCs w:val="23"/>
        </w:rPr>
        <w:t xml:space="preserve">Series 65 exam</w:t>
      </w:r>
    </w:p>
    <w:p>
      <w:pPr>
        <w:pStyle w:val="ListParagraph"/>
        <w:numPr>
          <w:ilvl w:val="0"/>
          <w:numId w:val="2"/>
        </w:numPr>
      </w:pPr>
      <w:r>
        <w:rPr>
          <w:rFonts w:ascii="Arial" w:cs="Arial" w:eastAsia="Arial" w:hAnsi="Arial"/>
          <w:sz w:val="22"/>
          <w:szCs w:val="22"/>
        </w:rPr>
        <w:t xml:space="preserve">Schedule Series 65 at Prometric (if not already done)</w:t>
      </w:r>
    </w:p>
    <w:p>
      <w:pPr>
        <w:pStyle w:val="ListParagraph"/>
        <w:numPr>
          <w:ilvl w:val="0"/>
          <w:numId w:val="2"/>
        </w:numPr>
      </w:pPr>
      <w:r>
        <w:rPr>
          <w:rFonts w:ascii="Arial" w:cs="Arial" w:eastAsia="Arial" w:hAnsi="Arial"/>
          <w:sz w:val="22"/>
          <w:szCs w:val="22"/>
        </w:rPr>
        <w:t xml:space="preserve">Pass Series 65 (passing score: 72%)</w:t>
      </w:r>
    </w:p>
    <w:p>
      <w:pPr>
        <w:pStyle w:val="ListParagraph"/>
        <w:numPr>
          <w:ilvl w:val="0"/>
          <w:numId w:val="2"/>
        </w:numPr>
      </w:pPr>
      <w:r>
        <w:rPr>
          <w:rFonts w:ascii="Arial" w:cs="Arial" w:eastAsia="Arial" w:hAnsi="Arial"/>
          <w:sz w:val="22"/>
          <w:szCs w:val="22"/>
        </w:rPr>
        <w:t xml:space="preserve">Note: exam result is valid for 2 years before registration must be filed</w:t>
      </w:r>
    </w:p>
    <w:p>
      <w:pPr>
        <w:pStyle w:val="Heading3"/>
        <w:spacing w:after="120" w:before="220"/>
      </w:pPr>
      <w:r>
        <w:rPr>
          <w:rFonts w:ascii="Arial" w:cs="Arial" w:eastAsia="Arial" w:hAnsi="Arial"/>
          <w:b/>
          <w:bCs/>
          <w:color w:val="0E0E0C"/>
          <w:sz w:val="23"/>
          <w:szCs w:val="23"/>
        </w:rPr>
        <w:t xml:space="preserve">CRD/IARD account setup</w:t>
      </w:r>
    </w:p>
    <w:p>
      <w:pPr>
        <w:pStyle w:val="ListParagraph"/>
        <w:numPr>
          <w:ilvl w:val="0"/>
          <w:numId w:val="2"/>
        </w:numPr>
      </w:pPr>
      <w:r>
        <w:rPr>
          <w:rFonts w:ascii="Arial" w:cs="Arial" w:eastAsia="Arial" w:hAnsi="Arial"/>
          <w:sz w:val="22"/>
          <w:szCs w:val="22"/>
        </w:rPr>
        <w:t xml:space="preserve">Submit Form U4 fingerprint card (required by Texas State Securities Board)</w:t>
      </w:r>
    </w:p>
    <w:p>
      <w:pPr>
        <w:pStyle w:val="ListParagraph"/>
        <w:numPr>
          <w:ilvl w:val="0"/>
          <w:numId w:val="2"/>
        </w:numPr>
      </w:pPr>
      <w:r>
        <w:rPr>
          <w:rFonts w:ascii="Arial" w:cs="Arial" w:eastAsia="Arial" w:hAnsi="Arial"/>
          <w:sz w:val="22"/>
          <w:szCs w:val="22"/>
        </w:rPr>
        <w:t xml:space="preserve">Establish IARD account with FINRA (the system Texas uses for adviser filings)</w:t>
      </w:r>
    </w:p>
    <w:p>
      <w:pPr>
        <w:pStyle w:val="ListParagraph"/>
        <w:numPr>
          <w:ilvl w:val="0"/>
          <w:numId w:val="2"/>
        </w:numPr>
      </w:pPr>
      <w:r>
        <w:rPr>
          <w:rFonts w:ascii="Arial" w:cs="Arial" w:eastAsia="Arial" w:hAnsi="Arial"/>
          <w:sz w:val="22"/>
          <w:szCs w:val="22"/>
        </w:rPr>
        <w:t xml:space="preserve">Pay initial IARD account fee (currently ~$165)</w:t>
      </w:r>
    </w:p>
    <w:p>
      <w:pPr>
        <w:pStyle w:val="Heading3"/>
        <w:spacing w:after="120" w:before="220"/>
      </w:pPr>
      <w:r>
        <w:rPr>
          <w:rFonts w:ascii="Arial" w:cs="Arial" w:eastAsia="Arial" w:hAnsi="Arial"/>
          <w:b/>
          <w:bCs/>
          <w:color w:val="0E0E0C"/>
          <w:sz w:val="23"/>
          <w:szCs w:val="23"/>
        </w:rPr>
        <w:t xml:space="preserve">Entity decision (talk to your attorney)</w:t>
      </w:r>
    </w:p>
    <w:p>
      <w:pPr>
        <w:pStyle w:val="ListParagraph"/>
        <w:numPr>
          <w:ilvl w:val="0"/>
          <w:numId w:val="2"/>
        </w:numPr>
      </w:pPr>
      <w:r>
        <w:rPr>
          <w:rFonts w:ascii="Arial" w:cs="Arial" w:eastAsia="Arial" w:hAnsi="Arial"/>
          <w:sz w:val="22"/>
          <w:szCs w:val="22"/>
        </w:rPr>
        <w:t xml:space="preserve">Decide registration entity: new RIA LLC, or use Asset Lessons (your existing advisory entity)</w:t>
      </w:r>
    </w:p>
    <w:p>
      <w:pPr>
        <w:pStyle w:val="ListParagraph"/>
        <w:numPr>
          <w:ilvl w:val="0"/>
          <w:numId w:val="2"/>
        </w:numPr>
      </w:pPr>
      <w:r>
        <w:rPr>
          <w:rFonts w:ascii="Arial" w:cs="Arial" w:eastAsia="Arial" w:hAnsi="Arial"/>
          <w:sz w:val="22"/>
          <w:szCs w:val="22"/>
        </w:rPr>
        <w:t xml:space="preserve">Confirm entity name doesn't conflict with FINRA database</w:t>
      </w:r>
    </w:p>
    <w:p>
      <w:pPr>
        <w:pStyle w:val="ListParagraph"/>
        <w:numPr>
          <w:ilvl w:val="0"/>
          <w:numId w:val="2"/>
        </w:numPr>
      </w:pPr>
      <w:r>
        <w:rPr>
          <w:rFonts w:ascii="Arial" w:cs="Arial" w:eastAsia="Arial" w:hAnsi="Arial"/>
          <w:sz w:val="22"/>
          <w:szCs w:val="22"/>
        </w:rPr>
        <w:t xml:space="preserve">If new entity: file Texas Certificate of Formation, get EIN, open business bank account</w:t>
      </w:r>
    </w:p>
    <w:p>
      <w:pPr>
        <w:pStyle w:val="ListParagraph"/>
        <w:numPr>
          <w:ilvl w:val="0"/>
          <w:numId w:val="2"/>
        </w:numPr>
      </w:pPr>
      <w:r>
        <w:rPr>
          <w:rFonts w:ascii="Arial" w:cs="Arial" w:eastAsia="Arial" w:hAnsi="Arial"/>
          <w:sz w:val="22"/>
          <w:szCs w:val="22"/>
        </w:rPr>
        <w:t xml:space="preserve">Decide whether FTI (education) and the RIA are kept legally separate — they should be</w:t>
      </w:r>
    </w:p>
    <w:p>
      <w:pPr>
        <w:spacing w:after="80" w:before="80"/>
      </w:pPr>
      <w:r>
        <w:rPr>
          <w:rFonts w:ascii="Arial" w:cs="Arial" w:eastAsia="Arial" w:hAnsi="Arial"/>
          <w:b w:val="false"/>
          <w:bCs w:val="false"/>
          <w:i/>
          <w:iCs/>
          <w:color w:val="8B0000"/>
          <w:sz w:val="20"/>
          <w:szCs w:val="20"/>
        </w:rPr>
        <w:t xml:space="preserve">KEY DECISION: Education business and advisory business should generally NOT be the same entity. FTI sells courses; the RIA manages money. Mixing them creates liability bleed-through and confuses the regulatory story. Most likely structure: keep FTI as is, register Asset Lessons (or a new entity) as the RIA, with clear written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2: </w:t>
            </w:r>
            <w:r>
              <w:rPr>
                <w:rFonts w:ascii="Arial" w:cs="Arial" w:eastAsia="Arial" w:hAnsi="Arial"/>
                <w:b/>
                <w:bCs/>
                <w:color w:val="FFFFFF"/>
                <w:sz w:val="26"/>
                <w:szCs w:val="26"/>
              </w:rPr>
              <w:t xml:space="preserve">DOCUMENTATION &amp; LEGAL INFRASTRUCTURE</w:t>
            </w:r>
            <w:r>
              <w:rPr>
                <w:rFonts w:ascii="Arial" w:cs="Arial" w:eastAsia="Arial" w:hAnsi="Arial"/>
                <w:color w:val="FFFFFF"/>
                <w:sz w:val="22"/>
                <w:szCs w:val="22"/>
              </w:rPr>
              <w:t xml:space="preserve">   |   Weeks 1–4 after exam pass</w:t>
            </w:r>
          </w:p>
        </w:tc>
      </w:tr>
    </w:tbl>
    <w:p>
      <w:pPr>
        <w:pStyle w:val="Heading3"/>
        <w:spacing w:after="120" w:before="220"/>
      </w:pPr>
      <w:r>
        <w:rPr>
          <w:rFonts w:ascii="Arial" w:cs="Arial" w:eastAsia="Arial" w:hAnsi="Arial"/>
          <w:b/>
          <w:bCs/>
          <w:color w:val="0E0E0C"/>
          <w:sz w:val="23"/>
          <w:szCs w:val="23"/>
        </w:rPr>
        <w:t xml:space="preserve">Required written policies &amp; manuals</w:t>
      </w:r>
    </w:p>
    <w:p>
      <w:pPr>
        <w:pStyle w:val="ListParagraph"/>
        <w:numPr>
          <w:ilvl w:val="0"/>
          <w:numId w:val="2"/>
        </w:numPr>
      </w:pPr>
      <w:r>
        <w:rPr>
          <w:rFonts w:ascii="Arial" w:cs="Arial" w:eastAsia="Arial" w:hAnsi="Arial"/>
          <w:sz w:val="22"/>
          <w:szCs w:val="22"/>
        </w:rPr>
        <w:t xml:space="preserve">Compliance Manual (covers supervision, books and records, advertising, custody, trading)</w:t>
      </w:r>
    </w:p>
    <w:p>
      <w:pPr>
        <w:pStyle w:val="ListParagraph"/>
        <w:numPr>
          <w:ilvl w:val="0"/>
          <w:numId w:val="2"/>
        </w:numPr>
      </w:pPr>
      <w:r>
        <w:rPr>
          <w:rFonts w:ascii="Arial" w:cs="Arial" w:eastAsia="Arial" w:hAnsi="Arial"/>
          <w:sz w:val="22"/>
          <w:szCs w:val="22"/>
        </w:rPr>
        <w:t xml:space="preserve">Code of Ethics (required under Texas rules — covers personal trading, gifts, conflicts)</w:t>
      </w:r>
    </w:p>
    <w:p>
      <w:pPr>
        <w:pStyle w:val="ListParagraph"/>
        <w:numPr>
          <w:ilvl w:val="0"/>
          <w:numId w:val="2"/>
        </w:numPr>
      </w:pPr>
      <w:r>
        <w:rPr>
          <w:rFonts w:ascii="Arial" w:cs="Arial" w:eastAsia="Arial" w:hAnsi="Arial"/>
          <w:sz w:val="22"/>
          <w:szCs w:val="22"/>
        </w:rPr>
        <w:t xml:space="preserve">Privacy Policy / Regulation S-P notice (delivered to clients at onboarding and annually)</w:t>
      </w:r>
    </w:p>
    <w:p>
      <w:pPr>
        <w:pStyle w:val="ListParagraph"/>
        <w:numPr>
          <w:ilvl w:val="0"/>
          <w:numId w:val="2"/>
        </w:numPr>
      </w:pPr>
      <w:r>
        <w:rPr>
          <w:rFonts w:ascii="Arial" w:cs="Arial" w:eastAsia="Arial" w:hAnsi="Arial"/>
          <w:sz w:val="22"/>
          <w:szCs w:val="22"/>
        </w:rPr>
        <w:t xml:space="preserve">Business Continuity Plan (BCP) — what happens if you're incapacitated, system fails, etc.</w:t>
      </w:r>
    </w:p>
    <w:p>
      <w:pPr>
        <w:pStyle w:val="ListParagraph"/>
        <w:numPr>
          <w:ilvl w:val="0"/>
          <w:numId w:val="2"/>
        </w:numPr>
      </w:pPr>
      <w:r>
        <w:rPr>
          <w:rFonts w:ascii="Arial" w:cs="Arial" w:eastAsia="Arial" w:hAnsi="Arial"/>
          <w:sz w:val="22"/>
          <w:szCs w:val="22"/>
        </w:rPr>
        <w:t xml:space="preserve">Cybersecurity policy (data protection, breach response, vendor management)</w:t>
      </w:r>
    </w:p>
    <w:p>
      <w:pPr>
        <w:pStyle w:val="ListParagraph"/>
        <w:numPr>
          <w:ilvl w:val="0"/>
          <w:numId w:val="2"/>
        </w:numPr>
      </w:pPr>
      <w:r>
        <w:rPr>
          <w:rFonts w:ascii="Arial" w:cs="Arial" w:eastAsia="Arial" w:hAnsi="Arial"/>
          <w:sz w:val="22"/>
          <w:szCs w:val="22"/>
        </w:rPr>
        <w:t xml:space="preserve">Books and records retention policy (5 years minimum, first 2 in immediate-access)</w:t>
      </w:r>
    </w:p>
    <w:p>
      <w:pPr>
        <w:pStyle w:val="Heading3"/>
        <w:spacing w:after="120" w:before="220"/>
      </w:pPr>
      <w:r>
        <w:rPr>
          <w:rFonts w:ascii="Arial" w:cs="Arial" w:eastAsia="Arial" w:hAnsi="Arial"/>
          <w:b/>
          <w:bCs/>
          <w:color w:val="0E0E0C"/>
          <w:sz w:val="23"/>
          <w:szCs w:val="23"/>
        </w:rPr>
        <w:t xml:space="preserve">Client-facing documents</w:t>
      </w:r>
    </w:p>
    <w:p>
      <w:pPr>
        <w:pStyle w:val="ListParagraph"/>
        <w:numPr>
          <w:ilvl w:val="0"/>
          <w:numId w:val="2"/>
        </w:numPr>
      </w:pPr>
      <w:r>
        <w:rPr>
          <w:rFonts w:ascii="Arial" w:cs="Arial" w:eastAsia="Arial" w:hAnsi="Arial"/>
          <w:sz w:val="22"/>
          <w:szCs w:val="22"/>
        </w:rPr>
        <w:t xml:space="preserve">Investment Advisory Agreement template (the contract clients sign)</w:t>
      </w:r>
    </w:p>
    <w:p>
      <w:pPr>
        <w:pStyle w:val="ListParagraph"/>
        <w:numPr>
          <w:ilvl w:val="0"/>
          <w:numId w:val="2"/>
        </w:numPr>
      </w:pPr>
      <w:r>
        <w:rPr>
          <w:rFonts w:ascii="Arial" w:cs="Arial" w:eastAsia="Arial" w:hAnsi="Arial"/>
          <w:sz w:val="22"/>
          <w:szCs w:val="22"/>
        </w:rPr>
        <w:t xml:space="preserve">Investment Policy Statement (IPS) template — customized per client</w:t>
      </w:r>
    </w:p>
    <w:p>
      <w:pPr>
        <w:pStyle w:val="ListParagraph"/>
        <w:numPr>
          <w:ilvl w:val="0"/>
          <w:numId w:val="2"/>
        </w:numPr>
      </w:pPr>
      <w:r>
        <w:rPr>
          <w:rFonts w:ascii="Arial" w:cs="Arial" w:eastAsia="Arial" w:hAnsi="Arial"/>
          <w:sz w:val="22"/>
          <w:szCs w:val="22"/>
        </w:rPr>
        <w:t xml:space="preserve">Risk disclosure / suitability questionnaire</w:t>
      </w:r>
    </w:p>
    <w:p>
      <w:pPr>
        <w:pStyle w:val="ListParagraph"/>
        <w:numPr>
          <w:ilvl w:val="0"/>
          <w:numId w:val="2"/>
        </w:numPr>
      </w:pPr>
      <w:r>
        <w:rPr>
          <w:rFonts w:ascii="Arial" w:cs="Arial" w:eastAsia="Arial" w:hAnsi="Arial"/>
          <w:sz w:val="22"/>
          <w:szCs w:val="22"/>
        </w:rPr>
        <w:t xml:space="preserve">ADV Part 2A delivery acknowledgment form</w:t>
      </w:r>
    </w:p>
    <w:p>
      <w:pPr>
        <w:pStyle w:val="Heading3"/>
        <w:spacing w:after="120" w:before="220"/>
      </w:pPr>
      <w:r>
        <w:rPr>
          <w:rFonts w:ascii="Arial" w:cs="Arial" w:eastAsia="Arial" w:hAnsi="Arial"/>
          <w:b/>
          <w:bCs/>
          <w:color w:val="0E0E0C"/>
          <w:sz w:val="23"/>
          <w:szCs w:val="23"/>
        </w:rPr>
        <w:t xml:space="preserve">Form ADV preparation</w:t>
      </w:r>
    </w:p>
    <w:p>
      <w:pPr>
        <w:pStyle w:val="ListParagraph"/>
        <w:numPr>
          <w:ilvl w:val="0"/>
          <w:numId w:val="2"/>
        </w:numPr>
      </w:pPr>
      <w:r>
        <w:rPr>
          <w:rFonts w:ascii="Arial" w:cs="Arial" w:eastAsia="Arial" w:hAnsi="Arial"/>
          <w:sz w:val="22"/>
          <w:szCs w:val="22"/>
        </w:rPr>
        <w:t xml:space="preserve">Draft Form ADV Part 1 (firm info, owners, services, AUM, disciplinary disclosures)</w:t>
      </w:r>
    </w:p>
    <w:p>
      <w:pPr>
        <w:pStyle w:val="ListParagraph"/>
        <w:numPr>
          <w:ilvl w:val="0"/>
          <w:numId w:val="2"/>
        </w:numPr>
      </w:pPr>
      <w:r>
        <w:rPr>
          <w:rFonts w:ascii="Arial" w:cs="Arial" w:eastAsia="Arial" w:hAnsi="Arial"/>
          <w:sz w:val="22"/>
          <w:szCs w:val="22"/>
        </w:rPr>
        <w:t xml:space="preserve">Draft Form ADV Part 2A — "the brochure" (plain English description of services, fees, risks, conflicts)</w:t>
      </w:r>
    </w:p>
    <w:p>
      <w:pPr>
        <w:pStyle w:val="ListParagraph"/>
        <w:numPr>
          <w:ilvl w:val="0"/>
          <w:numId w:val="2"/>
        </w:numPr>
      </w:pPr>
      <w:r>
        <w:rPr>
          <w:rFonts w:ascii="Arial" w:cs="Arial" w:eastAsia="Arial" w:hAnsi="Arial"/>
          <w:sz w:val="22"/>
          <w:szCs w:val="22"/>
        </w:rPr>
        <w:t xml:space="preserve">Draft Form ADV Part 2B — brochure supplement (your bio, education, exam, disciplinary history)</w:t>
      </w:r>
    </w:p>
    <w:p>
      <w:pPr>
        <w:pStyle w:val="ListParagraph"/>
        <w:numPr>
          <w:ilvl w:val="0"/>
          <w:numId w:val="2"/>
        </w:numPr>
      </w:pPr>
      <w:r>
        <w:rPr>
          <w:rFonts w:ascii="Arial" w:cs="Arial" w:eastAsia="Arial" w:hAnsi="Arial"/>
          <w:sz w:val="22"/>
          <w:szCs w:val="22"/>
        </w:rPr>
        <w:t xml:space="preserve">Draft Form ADV Part 3 / Form CRS — relationship summary (2-page client document)</w:t>
      </w:r>
    </w:p>
    <w:p>
      <w:pPr>
        <w:pStyle w:val="Heading3"/>
        <w:spacing w:after="120" w:before="220"/>
      </w:pPr>
      <w:r>
        <w:rPr>
          <w:rFonts w:ascii="Arial" w:cs="Arial" w:eastAsia="Arial" w:hAnsi="Arial"/>
          <w:b/>
          <w:bCs/>
          <w:color w:val="0E0E0C"/>
          <w:sz w:val="23"/>
          <w:szCs w:val="23"/>
        </w:rPr>
        <w:t xml:space="preserve">Professional engagements</w:t>
      </w:r>
    </w:p>
    <w:p>
      <w:pPr>
        <w:pStyle w:val="ListParagraph"/>
        <w:numPr>
          <w:ilvl w:val="0"/>
          <w:numId w:val="2"/>
        </w:numPr>
      </w:pPr>
      <w:r>
        <w:rPr>
          <w:rFonts w:ascii="Arial" w:cs="Arial" w:eastAsia="Arial" w:hAnsi="Arial"/>
          <w:sz w:val="22"/>
          <w:szCs w:val="22"/>
        </w:rPr>
        <w:t xml:space="preserve">CRITICAL: Engage a securities attorney for compliance review (~$1,500–$3,500 for initial setup)</w:t>
      </w:r>
    </w:p>
    <w:p>
      <w:pPr>
        <w:pStyle w:val="ListParagraph"/>
        <w:numPr>
          <w:ilvl w:val="0"/>
          <w:numId w:val="2"/>
        </w:numPr>
      </w:pPr>
      <w:r>
        <w:rPr>
          <w:rFonts w:ascii="Arial" w:cs="Arial" w:eastAsia="Arial" w:hAnsi="Arial"/>
          <w:sz w:val="22"/>
          <w:szCs w:val="22"/>
        </w:rPr>
        <w:t xml:space="preserve">Get E&amp;O insurance quote (errors &amp; omissions; not legally required in Texas but standard practice)</w:t>
      </w:r>
    </w:p>
    <w:p>
      <w:pPr>
        <w:pStyle w:val="ListParagraph"/>
        <w:numPr>
          <w:ilvl w:val="0"/>
          <w:numId w:val="2"/>
        </w:numPr>
      </w:pPr>
      <w:r>
        <w:rPr>
          <w:rFonts w:ascii="Arial" w:cs="Arial" w:eastAsia="Arial" w:hAnsi="Arial"/>
          <w:sz w:val="22"/>
          <w:szCs w:val="22"/>
        </w:rPr>
        <w:t xml:space="preserve">Set up bookkeeping for the RIA entity (separate from FTI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3: </w:t>
            </w:r>
            <w:r>
              <w:rPr>
                <w:rFonts w:ascii="Arial" w:cs="Arial" w:eastAsia="Arial" w:hAnsi="Arial"/>
                <w:b/>
                <w:bCs/>
                <w:color w:val="FFFFFF"/>
                <w:sz w:val="26"/>
                <w:szCs w:val="26"/>
              </w:rPr>
              <w:t xml:space="preserve">TEXAS REGISTRATION FILING</w:t>
            </w:r>
            <w:r>
              <w:rPr>
                <w:rFonts w:ascii="Arial" w:cs="Arial" w:eastAsia="Arial" w:hAnsi="Arial"/>
                <w:color w:val="FFFFFF"/>
                <w:sz w:val="22"/>
                <w:szCs w:val="22"/>
              </w:rPr>
              <w:t xml:space="preserve">   |   Weeks 4–6</w:t>
            </w:r>
          </w:p>
        </w:tc>
      </w:tr>
    </w:tbl>
    <w:p>
      <w:pPr>
        <w:pStyle w:val="Heading3"/>
        <w:spacing w:after="120" w:before="220"/>
      </w:pPr>
      <w:r>
        <w:rPr>
          <w:rFonts w:ascii="Arial" w:cs="Arial" w:eastAsia="Arial" w:hAnsi="Arial"/>
          <w:b/>
          <w:bCs/>
          <w:color w:val="0E0E0C"/>
          <w:sz w:val="23"/>
          <w:szCs w:val="23"/>
        </w:rPr>
        <w:t xml:space="preserve">File with Texas State Securities Board</w:t>
      </w:r>
    </w:p>
    <w:p>
      <w:pPr>
        <w:pStyle w:val="ListParagraph"/>
        <w:numPr>
          <w:ilvl w:val="0"/>
          <w:numId w:val="2"/>
        </w:numPr>
      </w:pPr>
      <w:r>
        <w:rPr>
          <w:rFonts w:ascii="Arial" w:cs="Arial" w:eastAsia="Arial" w:hAnsi="Arial"/>
          <w:sz w:val="22"/>
          <w:szCs w:val="22"/>
        </w:rPr>
        <w:t xml:space="preserve">Submit Form ADV via IARD (Parts 1, 2A, 2B, 3)</w:t>
      </w:r>
    </w:p>
    <w:p>
      <w:pPr>
        <w:pStyle w:val="ListParagraph"/>
        <w:numPr>
          <w:ilvl w:val="0"/>
          <w:numId w:val="2"/>
        </w:numPr>
      </w:pPr>
      <w:r>
        <w:rPr>
          <w:rFonts w:ascii="Arial" w:cs="Arial" w:eastAsia="Arial" w:hAnsi="Arial"/>
          <w:sz w:val="22"/>
          <w:szCs w:val="22"/>
        </w:rPr>
        <w:t xml:space="preserve">Pay Texas state filing fee ($275 firm + $285 per IAR — current as of last published schedule; verify)</w:t>
      </w:r>
    </w:p>
    <w:p>
      <w:pPr>
        <w:pStyle w:val="ListParagraph"/>
        <w:numPr>
          <w:ilvl w:val="0"/>
          <w:numId w:val="2"/>
        </w:numPr>
      </w:pPr>
      <w:r>
        <w:rPr>
          <w:rFonts w:ascii="Arial" w:cs="Arial" w:eastAsia="Arial" w:hAnsi="Arial"/>
          <w:sz w:val="22"/>
          <w:szCs w:val="22"/>
        </w:rPr>
        <w:t xml:space="preserve">Submit Form U4 for yourself as Investment Adviser Representative</w:t>
      </w:r>
    </w:p>
    <w:p>
      <w:pPr>
        <w:pStyle w:val="ListParagraph"/>
        <w:numPr>
          <w:ilvl w:val="0"/>
          <w:numId w:val="2"/>
        </w:numPr>
      </w:pPr>
      <w:r>
        <w:rPr>
          <w:rFonts w:ascii="Arial" w:cs="Arial" w:eastAsia="Arial" w:hAnsi="Arial"/>
          <w:sz w:val="22"/>
          <w:szCs w:val="22"/>
        </w:rPr>
        <w:t xml:space="preserve">Texas-specific: confirm whether bond is required (TSSB may require surety bond depending on custody arrangement)</w:t>
      </w:r>
    </w:p>
    <w:p>
      <w:pPr>
        <w:pStyle w:val="ListParagraph"/>
        <w:numPr>
          <w:ilvl w:val="0"/>
          <w:numId w:val="2"/>
        </w:numPr>
      </w:pPr>
      <w:r>
        <w:rPr>
          <w:rFonts w:ascii="Arial" w:cs="Arial" w:eastAsia="Arial" w:hAnsi="Arial"/>
          <w:sz w:val="22"/>
          <w:szCs w:val="22"/>
        </w:rPr>
        <w:t xml:space="preserve">Wait for Texas approval (typically 30–60 days; may include comment letters requiring revisions)</w:t>
      </w:r>
    </w:p>
    <w:p>
      <w:pPr>
        <w:pStyle w:val="Heading3"/>
        <w:spacing w:after="120" w:before="220"/>
      </w:pPr>
      <w:r>
        <w:rPr>
          <w:rFonts w:ascii="Arial" w:cs="Arial" w:eastAsia="Arial" w:hAnsi="Arial"/>
          <w:b/>
          <w:bCs/>
          <w:color w:val="0E0E0C"/>
          <w:sz w:val="23"/>
          <w:szCs w:val="23"/>
        </w:rPr>
        <w:t xml:space="preserve">During the waiting period — DO NOT</w:t>
      </w:r>
    </w:p>
    <w:p>
      <w:pPr>
        <w:pStyle w:val="ListParagraph"/>
        <w:numPr>
          <w:ilvl w:val="0"/>
          <w:numId w:val="2"/>
        </w:numPr>
      </w:pPr>
      <w:r>
        <w:rPr>
          <w:rFonts w:ascii="Arial" w:cs="Arial" w:eastAsia="Arial" w:hAnsi="Arial"/>
          <w:sz w:val="22"/>
          <w:szCs w:val="22"/>
        </w:rPr>
        <w:t xml:space="preserve">Do NOT take discretion over any client account</w:t>
      </w:r>
    </w:p>
    <w:p>
      <w:pPr>
        <w:pStyle w:val="ListParagraph"/>
        <w:numPr>
          <w:ilvl w:val="0"/>
          <w:numId w:val="2"/>
        </w:numPr>
      </w:pPr>
      <w:r>
        <w:rPr>
          <w:rFonts w:ascii="Arial" w:cs="Arial" w:eastAsia="Arial" w:hAnsi="Arial"/>
          <w:sz w:val="22"/>
          <w:szCs w:val="22"/>
        </w:rPr>
        <w:t xml:space="preserve">Do NOT charge advisory fees</w:t>
      </w:r>
    </w:p>
    <w:p>
      <w:pPr>
        <w:pStyle w:val="ListParagraph"/>
        <w:numPr>
          <w:ilvl w:val="0"/>
          <w:numId w:val="2"/>
        </w:numPr>
      </w:pPr>
      <w:r>
        <w:rPr>
          <w:rFonts w:ascii="Arial" w:cs="Arial" w:eastAsia="Arial" w:hAnsi="Arial"/>
          <w:sz w:val="22"/>
          <w:szCs w:val="22"/>
        </w:rPr>
        <w:t xml:space="preserve">Do NOT use titles like "Investment Adviser" or "Wealth Manager" in marketing</w:t>
      </w:r>
    </w:p>
    <w:p>
      <w:pPr>
        <w:pStyle w:val="ListParagraph"/>
        <w:numPr>
          <w:ilvl w:val="0"/>
          <w:numId w:val="2"/>
        </w:numPr>
      </w:pPr>
      <w:r>
        <w:rPr>
          <w:rFonts w:ascii="Arial" w:cs="Arial" w:eastAsia="Arial" w:hAnsi="Arial"/>
          <w:sz w:val="22"/>
          <w:szCs w:val="22"/>
        </w:rPr>
        <w:t xml:space="preserve">Do NOT sign advisory agreements (you can prepare them; do not execute)</w:t>
      </w:r>
    </w:p>
    <w:p>
      <w:pPr>
        <w:pStyle w:val="ListParagraph"/>
        <w:numPr>
          <w:ilvl w:val="0"/>
          <w:numId w:val="2"/>
        </w:numPr>
      </w:pPr>
      <w:r>
        <w:rPr>
          <w:rFonts w:ascii="Arial" w:cs="Arial" w:eastAsia="Arial" w:hAnsi="Arial"/>
          <w:sz w:val="22"/>
          <w:szCs w:val="22"/>
        </w:rPr>
        <w:t xml:space="preserve">CAN continue: education content via FTI, signal/newsletter publication (with proper disclaimers)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4: </w:t>
            </w:r>
            <w:r>
              <w:rPr>
                <w:rFonts w:ascii="Arial" w:cs="Arial" w:eastAsia="Arial" w:hAnsi="Arial"/>
                <w:b/>
                <w:bCs/>
                <w:color w:val="FFFFFF"/>
                <w:sz w:val="26"/>
                <w:szCs w:val="26"/>
              </w:rPr>
              <w:t xml:space="preserve">CUSTODIAN SELECTION &amp; ACCOUNT SETUP</w:t>
            </w:r>
            <w:r>
              <w:rPr>
                <w:rFonts w:ascii="Arial" w:cs="Arial" w:eastAsia="Arial" w:hAnsi="Arial"/>
                <w:color w:val="FFFFFF"/>
                <w:sz w:val="22"/>
                <w:szCs w:val="22"/>
              </w:rPr>
              <w:t xml:space="preserve">   |   Weeks 4–8 (parallel with filing)</w:t>
            </w:r>
          </w:p>
        </w:tc>
      </w:tr>
    </w:tbl>
    <w:p>
      <w:pPr>
        <w:spacing w:after="80" w:before="80"/>
      </w:pPr>
      <w:r>
        <w:rPr>
          <w:rFonts w:ascii="Arial" w:cs="Arial" w:eastAsia="Arial" w:hAnsi="Arial"/>
          <w:b w:val="false"/>
          <w:bCs w:val="false"/>
          <w:i/>
          <w:iCs/>
          <w:color w:val="8B0000"/>
          <w:sz w:val="20"/>
          <w:szCs w:val="20"/>
        </w:rPr>
        <w:t xml:space="preserve">This is the section most retail-focused advisers get wrong. Webull retail is NOT an appropriate custodian for managed accounts. Holding client login credentials triggers custody rules, surprise audits, and potential bonding requirements you almost certainly want to avoid.</w:t>
      </w:r>
    </w:p>
    <w:p>
      <w:pPr>
        <w:pStyle w:val="Heading3"/>
        <w:spacing w:after="120" w:before="220"/>
      </w:pPr>
      <w:r>
        <w:rPr>
          <w:rFonts w:ascii="Arial" w:cs="Arial" w:eastAsia="Arial" w:hAnsi="Arial"/>
          <w:b/>
          <w:bCs/>
          <w:color w:val="0E0E0C"/>
          <w:sz w:val="23"/>
          <w:szCs w:val="23"/>
        </w:rPr>
        <w:t xml:space="preserve">Custodian options to evaluate</w:t>
      </w:r>
    </w:p>
    <w:p>
      <w:pPr>
        <w:pStyle w:val="ListParagraph"/>
        <w:numPr>
          <w:ilvl w:val="0"/>
          <w:numId w:val="2"/>
        </w:numPr>
      </w:pPr>
      <w:r>
        <w:rPr>
          <w:rFonts w:ascii="Arial" w:cs="Arial" w:eastAsia="Arial" w:hAnsi="Arial"/>
          <w:sz w:val="22"/>
          <w:szCs w:val="22"/>
        </w:rPr>
        <w:t xml:space="preserve">Schwab Advisor Services — industry standard; minimum AUM thresholds apply (~$10M typical but case-by-case)</w:t>
      </w:r>
    </w:p>
    <w:p>
      <w:pPr>
        <w:pStyle w:val="ListParagraph"/>
        <w:numPr>
          <w:ilvl w:val="0"/>
          <w:numId w:val="2"/>
        </w:numPr>
      </w:pPr>
      <w:r>
        <w:rPr>
          <w:rFonts w:ascii="Arial" w:cs="Arial" w:eastAsia="Arial" w:hAnsi="Arial"/>
          <w:sz w:val="22"/>
          <w:szCs w:val="22"/>
        </w:rPr>
        <w:t xml:space="preserve">Fidelity Institutional / Wealthscape — your stated preference; lower AUM thresholds than Schwab</w:t>
      </w:r>
    </w:p>
    <w:p>
      <w:pPr>
        <w:pStyle w:val="ListParagraph"/>
        <w:numPr>
          <w:ilvl w:val="0"/>
          <w:numId w:val="2"/>
        </w:numPr>
      </w:pPr>
      <w:r>
        <w:rPr>
          <w:rFonts w:ascii="Arial" w:cs="Arial" w:eastAsia="Arial" w:hAnsi="Arial"/>
          <w:sz w:val="22"/>
          <w:szCs w:val="22"/>
        </w:rPr>
        <w:t xml:space="preserve">Altruist — built for emerging RIAs; no AUM minimum; modern interface; commission-free</w:t>
      </w:r>
    </w:p>
    <w:p>
      <w:pPr>
        <w:pStyle w:val="ListParagraph"/>
        <w:numPr>
          <w:ilvl w:val="0"/>
          <w:numId w:val="2"/>
        </w:numPr>
      </w:pPr>
      <w:r>
        <w:rPr>
          <w:rFonts w:ascii="Arial" w:cs="Arial" w:eastAsia="Arial" w:hAnsi="Arial"/>
          <w:sz w:val="22"/>
          <w:szCs w:val="22"/>
        </w:rPr>
        <w:t xml:space="preserve">Interactive Brokers Advisor — strong for active trading; supports options strategies you teach in SSS</w:t>
      </w:r>
    </w:p>
    <w:p>
      <w:pPr>
        <w:pStyle w:val="ListParagraph"/>
        <w:numPr>
          <w:ilvl w:val="0"/>
          <w:numId w:val="2"/>
        </w:numPr>
      </w:pPr>
      <w:r>
        <w:rPr>
          <w:rFonts w:ascii="Arial" w:cs="Arial" w:eastAsia="Arial" w:hAnsi="Arial"/>
          <w:sz w:val="22"/>
          <w:szCs w:val="22"/>
        </w:rPr>
        <w:t xml:space="preserve">Webull Advisors — exists but less mature than the others; verify capabilities before committing</w:t>
      </w:r>
    </w:p>
    <w:p>
      <w:pPr>
        <w:pStyle w:val="Heading3"/>
        <w:spacing w:after="120" w:before="220"/>
      </w:pPr>
      <w:r>
        <w:rPr>
          <w:rFonts w:ascii="Arial" w:cs="Arial" w:eastAsia="Arial" w:hAnsi="Arial"/>
          <w:b/>
          <w:bCs/>
          <w:color w:val="0E0E0C"/>
          <w:sz w:val="23"/>
          <w:szCs w:val="23"/>
        </w:rPr>
        <w:t xml:space="preserve">Custodian decision factors for YOUR strategy</w:t>
      </w:r>
    </w:p>
    <w:p>
      <w:pPr>
        <w:pStyle w:val="ListParagraph"/>
        <w:numPr>
          <w:ilvl w:val="0"/>
          <w:numId w:val="2"/>
        </w:numPr>
      </w:pPr>
      <w:r>
        <w:rPr>
          <w:rFonts w:ascii="Arial" w:cs="Arial" w:eastAsia="Arial" w:hAnsi="Arial"/>
          <w:sz w:val="22"/>
          <w:szCs w:val="22"/>
        </w:rPr>
        <w:t xml:space="preserve">Options approval levels (you'll need Level 3+ if running spreads/wheels per SSS framework)</w:t>
      </w:r>
    </w:p>
    <w:p>
      <w:pPr>
        <w:pStyle w:val="ListParagraph"/>
        <w:numPr>
          <w:ilvl w:val="0"/>
          <w:numId w:val="2"/>
        </w:numPr>
      </w:pPr>
      <w:r>
        <w:rPr>
          <w:rFonts w:ascii="Arial" w:cs="Arial" w:eastAsia="Arial" w:hAnsi="Arial"/>
          <w:sz w:val="22"/>
          <w:szCs w:val="22"/>
        </w:rPr>
        <w:t xml:space="preserve">Per-trade cost across 5 small accounts (commissions matter more on $10K than $1M)</w:t>
      </w:r>
    </w:p>
    <w:p>
      <w:pPr>
        <w:pStyle w:val="ListParagraph"/>
        <w:numPr>
          <w:ilvl w:val="0"/>
          <w:numId w:val="2"/>
        </w:numPr>
      </w:pPr>
      <w:r>
        <w:rPr>
          <w:rFonts w:ascii="Arial" w:cs="Arial" w:eastAsia="Arial" w:hAnsi="Arial"/>
          <w:sz w:val="22"/>
          <w:szCs w:val="22"/>
        </w:rPr>
        <w:t xml:space="preserve">Block trading / trade allocation tools (can you place one order and split across 5 accounts?)</w:t>
      </w:r>
    </w:p>
    <w:p>
      <w:pPr>
        <w:pStyle w:val="ListParagraph"/>
        <w:numPr>
          <w:ilvl w:val="0"/>
          <w:numId w:val="2"/>
        </w:numPr>
      </w:pPr>
      <w:r>
        <w:rPr>
          <w:rFonts w:ascii="Arial" w:cs="Arial" w:eastAsia="Arial" w:hAnsi="Arial"/>
          <w:sz w:val="22"/>
          <w:szCs w:val="22"/>
        </w:rPr>
        <w:t xml:space="preserve">AUM minimums and platform fees</w:t>
      </w:r>
    </w:p>
    <w:p>
      <w:pPr>
        <w:pStyle w:val="ListParagraph"/>
        <w:numPr>
          <w:ilvl w:val="0"/>
          <w:numId w:val="2"/>
        </w:numPr>
      </w:pPr>
      <w:r>
        <w:rPr>
          <w:rFonts w:ascii="Arial" w:cs="Arial" w:eastAsia="Arial" w:hAnsi="Arial"/>
          <w:sz w:val="22"/>
          <w:szCs w:val="22"/>
        </w:rPr>
        <w:t xml:space="preserve">Reporting integrations (do they feed performance reporting tools you'll use?)</w:t>
      </w:r>
    </w:p>
    <w:p>
      <w:pPr>
        <w:spacing w:after="80" w:before="80"/>
      </w:pPr>
      <w:r>
        <w:rPr>
          <w:rFonts w:ascii="Arial" w:cs="Arial" w:eastAsia="Arial" w:hAnsi="Arial"/>
          <w:b w:val="false"/>
          <w:bCs w:val="false"/>
          <w:i/>
          <w:iCs/>
          <w:color w:val="000000"/>
          <w:sz w:val="20"/>
          <w:szCs w:val="20"/>
        </w:rPr>
        <w:t xml:space="preserve">RECOMMENDATION TO RESEARCH: Altruist or Interactive Brokers are most likely to fit a 5-account / $50K AUM emerging RIA running active strategies. Fidelity is possible but historically wants more AUM. Get on intro calls with all three before committing.</w:t>
      </w:r>
    </w:p>
    <w:p>
      <w:pPr>
        <w:pStyle w:val="Heading3"/>
        <w:spacing w:after="120" w:before="220"/>
      </w:pPr>
      <w:r>
        <w:rPr>
          <w:rFonts w:ascii="Arial" w:cs="Arial" w:eastAsia="Arial" w:hAnsi="Arial"/>
          <w:b/>
          <w:bCs/>
          <w:color w:val="0E0E0C"/>
          <w:sz w:val="23"/>
          <w:szCs w:val="23"/>
        </w:rPr>
        <w:t xml:space="preserve">Account structure for clients</w:t>
      </w:r>
    </w:p>
    <w:p>
      <w:pPr>
        <w:pStyle w:val="ListParagraph"/>
        <w:numPr>
          <w:ilvl w:val="0"/>
          <w:numId w:val="2"/>
        </w:numPr>
      </w:pPr>
      <w:r>
        <w:rPr>
          <w:rFonts w:ascii="Arial" w:cs="Arial" w:eastAsia="Arial" w:hAnsi="Arial"/>
          <w:sz w:val="22"/>
          <w:szCs w:val="22"/>
        </w:rPr>
        <w:t xml:space="preserve">Each client opens an INDIVIDUAL account in their own name at the chosen custodian</w:t>
      </w:r>
    </w:p>
    <w:p>
      <w:pPr>
        <w:pStyle w:val="ListParagraph"/>
        <w:numPr>
          <w:ilvl w:val="0"/>
          <w:numId w:val="2"/>
        </w:numPr>
      </w:pPr>
      <w:r>
        <w:rPr>
          <w:rFonts w:ascii="Arial" w:cs="Arial" w:eastAsia="Arial" w:hAnsi="Arial"/>
          <w:sz w:val="22"/>
          <w:szCs w:val="22"/>
        </w:rPr>
        <w:t xml:space="preserve">NOT a joint account (joint = co-ownership; wrong structure)</w:t>
      </w:r>
    </w:p>
    <w:p>
      <w:pPr>
        <w:pStyle w:val="ListParagraph"/>
        <w:numPr>
          <w:ilvl w:val="0"/>
          <w:numId w:val="2"/>
        </w:numPr>
      </w:pPr>
      <w:r>
        <w:rPr>
          <w:rFonts w:ascii="Arial" w:cs="Arial" w:eastAsia="Arial" w:hAnsi="Arial"/>
          <w:sz w:val="22"/>
          <w:szCs w:val="22"/>
        </w:rPr>
        <w:t xml:space="preserve">You receive Limited Power of Attorney (LPOA) for trading authority only — no withdrawal rights</w:t>
      </w:r>
    </w:p>
    <w:p>
      <w:pPr>
        <w:pStyle w:val="ListParagraph"/>
        <w:numPr>
          <w:ilvl w:val="0"/>
          <w:numId w:val="2"/>
        </w:numPr>
      </w:pPr>
      <w:r>
        <w:rPr>
          <w:rFonts w:ascii="Arial" w:cs="Arial" w:eastAsia="Arial" w:hAnsi="Arial"/>
          <w:sz w:val="22"/>
          <w:szCs w:val="22"/>
        </w:rPr>
        <w:t xml:space="preserve">Fees deducted directly from client account by custodian per advisory agreement</w:t>
      </w:r>
    </w:p>
    <w:p>
      <w:pPr>
        <w:pStyle w:val="ListParagraph"/>
        <w:numPr>
          <w:ilvl w:val="0"/>
          <w:numId w:val="2"/>
        </w:numPr>
      </w:pPr>
      <w:r>
        <w:rPr>
          <w:rFonts w:ascii="Arial" w:cs="Arial" w:eastAsia="Arial" w:hAnsi="Arial"/>
          <w:sz w:val="22"/>
          <w:szCs w:val="22"/>
        </w:rPr>
        <w:t xml:space="preserve">Verify the LPOA template the custodian provides matches what your attorney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5: </w:t>
            </w:r>
            <w:r>
              <w:rPr>
                <w:rFonts w:ascii="Arial" w:cs="Arial" w:eastAsia="Arial" w:hAnsi="Arial"/>
                <w:b/>
                <w:bCs/>
                <w:color w:val="FFFFFF"/>
                <w:sz w:val="26"/>
                <w:szCs w:val="26"/>
              </w:rPr>
              <w:t xml:space="preserve">CLIENT ONBOARDING</w:t>
            </w:r>
            <w:r>
              <w:rPr>
                <w:rFonts w:ascii="Arial" w:cs="Arial" w:eastAsia="Arial" w:hAnsi="Arial"/>
                <w:color w:val="FFFFFF"/>
                <w:sz w:val="22"/>
                <w:szCs w:val="22"/>
              </w:rPr>
              <w:t xml:space="preserve">   |   After registration approved</w:t>
            </w:r>
          </w:p>
        </w:tc>
      </w:tr>
    </w:tbl>
    <w:p>
      <w:pPr>
        <w:pStyle w:val="Heading3"/>
        <w:spacing w:after="120" w:before="220"/>
      </w:pPr>
      <w:r>
        <w:rPr>
          <w:rFonts w:ascii="Arial" w:cs="Arial" w:eastAsia="Arial" w:hAnsi="Arial"/>
          <w:b/>
          <w:bCs/>
          <w:color w:val="0E0E0C"/>
          <w:sz w:val="23"/>
          <w:szCs w:val="23"/>
        </w:rPr>
        <w:t xml:space="preserve">For each of the 5 clients</w:t>
      </w:r>
    </w:p>
    <w:p>
      <w:pPr>
        <w:pStyle w:val="ListParagraph"/>
        <w:numPr>
          <w:ilvl w:val="0"/>
          <w:numId w:val="2"/>
        </w:numPr>
      </w:pPr>
      <w:r>
        <w:rPr>
          <w:rFonts w:ascii="Arial" w:cs="Arial" w:eastAsia="Arial" w:hAnsi="Arial"/>
          <w:sz w:val="22"/>
          <w:szCs w:val="22"/>
        </w:rPr>
        <w:t xml:space="preserve">Complete suitability questionnaire (income, net worth, investment experience, risk tolerance, goals, time horizon)</w:t>
      </w:r>
    </w:p>
    <w:p>
      <w:pPr>
        <w:pStyle w:val="ListParagraph"/>
        <w:numPr>
          <w:ilvl w:val="0"/>
          <w:numId w:val="2"/>
        </w:numPr>
      </w:pPr>
      <w:r>
        <w:rPr>
          <w:rFonts w:ascii="Arial" w:cs="Arial" w:eastAsia="Arial" w:hAnsi="Arial"/>
          <w:sz w:val="22"/>
          <w:szCs w:val="22"/>
        </w:rPr>
        <w:t xml:space="preserve">Verify client meets your minimum suitability threshold for the strategy you're running</w:t>
      </w:r>
    </w:p>
    <w:p>
      <w:pPr>
        <w:pStyle w:val="ListParagraph"/>
        <w:numPr>
          <w:ilvl w:val="0"/>
          <w:numId w:val="2"/>
        </w:numPr>
      </w:pPr>
      <w:r>
        <w:rPr>
          <w:rFonts w:ascii="Arial" w:cs="Arial" w:eastAsia="Arial" w:hAnsi="Arial"/>
          <w:sz w:val="22"/>
          <w:szCs w:val="22"/>
        </w:rPr>
        <w:t xml:space="preserve">Deliver Form ADV Part 2A and Part 3/CRS BEFORE signing agreement; document delivery</w:t>
      </w:r>
    </w:p>
    <w:p>
      <w:pPr>
        <w:pStyle w:val="ListParagraph"/>
        <w:numPr>
          <w:ilvl w:val="0"/>
          <w:numId w:val="2"/>
        </w:numPr>
      </w:pPr>
      <w:r>
        <w:rPr>
          <w:rFonts w:ascii="Arial" w:cs="Arial" w:eastAsia="Arial" w:hAnsi="Arial"/>
          <w:sz w:val="22"/>
          <w:szCs w:val="22"/>
        </w:rPr>
        <w:t xml:space="preserve">Sign Investment Advisory Agreement</w:t>
      </w:r>
    </w:p>
    <w:p>
      <w:pPr>
        <w:pStyle w:val="ListParagraph"/>
        <w:numPr>
          <w:ilvl w:val="0"/>
          <w:numId w:val="2"/>
        </w:numPr>
      </w:pPr>
      <w:r>
        <w:rPr>
          <w:rFonts w:ascii="Arial" w:cs="Arial" w:eastAsia="Arial" w:hAnsi="Arial"/>
          <w:sz w:val="22"/>
          <w:szCs w:val="22"/>
        </w:rPr>
        <w:t xml:space="preserve">Sign Investment Policy Statement (specific to that client's situation)</w:t>
      </w:r>
    </w:p>
    <w:p>
      <w:pPr>
        <w:pStyle w:val="ListParagraph"/>
        <w:numPr>
          <w:ilvl w:val="0"/>
          <w:numId w:val="2"/>
        </w:numPr>
      </w:pPr>
      <w:r>
        <w:rPr>
          <w:rFonts w:ascii="Arial" w:cs="Arial" w:eastAsia="Arial" w:hAnsi="Arial"/>
          <w:sz w:val="22"/>
          <w:szCs w:val="22"/>
        </w:rPr>
        <w:t xml:space="preserve">Sign Privacy Policy acknowledgment</w:t>
      </w:r>
    </w:p>
    <w:p>
      <w:pPr>
        <w:pStyle w:val="ListParagraph"/>
        <w:numPr>
          <w:ilvl w:val="0"/>
          <w:numId w:val="2"/>
        </w:numPr>
      </w:pPr>
      <w:r>
        <w:rPr>
          <w:rFonts w:ascii="Arial" w:cs="Arial" w:eastAsia="Arial" w:hAnsi="Arial"/>
          <w:sz w:val="22"/>
          <w:szCs w:val="22"/>
        </w:rPr>
        <w:t xml:space="preserve">Open custodial account in client's name</w:t>
      </w:r>
    </w:p>
    <w:p>
      <w:pPr>
        <w:pStyle w:val="ListParagraph"/>
        <w:numPr>
          <w:ilvl w:val="0"/>
          <w:numId w:val="2"/>
        </w:numPr>
      </w:pPr>
      <w:r>
        <w:rPr>
          <w:rFonts w:ascii="Arial" w:cs="Arial" w:eastAsia="Arial" w:hAnsi="Arial"/>
          <w:sz w:val="22"/>
          <w:szCs w:val="22"/>
        </w:rPr>
        <w:t xml:space="preserve">Execute Limited Power of Attorney granting you trading authority</w:t>
      </w:r>
    </w:p>
    <w:p>
      <w:pPr>
        <w:pStyle w:val="ListParagraph"/>
        <w:numPr>
          <w:ilvl w:val="0"/>
          <w:numId w:val="2"/>
        </w:numPr>
      </w:pPr>
      <w:r>
        <w:rPr>
          <w:rFonts w:ascii="Arial" w:cs="Arial" w:eastAsia="Arial" w:hAnsi="Arial"/>
          <w:sz w:val="22"/>
          <w:szCs w:val="22"/>
        </w:rPr>
        <w:t xml:space="preserve">Fund account ($10K transfer in)</w:t>
      </w:r>
    </w:p>
    <w:p>
      <w:pPr>
        <w:pStyle w:val="ListParagraph"/>
        <w:numPr>
          <w:ilvl w:val="0"/>
          <w:numId w:val="2"/>
        </w:numPr>
      </w:pPr>
      <w:r>
        <w:rPr>
          <w:rFonts w:ascii="Arial" w:cs="Arial" w:eastAsia="Arial" w:hAnsi="Arial"/>
          <w:sz w:val="22"/>
          <w:szCs w:val="22"/>
        </w:rPr>
        <w:t xml:space="preserve">Document everything in client file (paper or secure digital)</w:t>
      </w:r>
    </w:p>
    <w:p>
      <w:pPr>
        <w:pStyle w:val="Heading3"/>
        <w:spacing w:after="120" w:before="220"/>
      </w:pPr>
      <w:r>
        <w:rPr>
          <w:rFonts w:ascii="Arial" w:cs="Arial" w:eastAsia="Arial" w:hAnsi="Arial"/>
          <w:b/>
          <w:bCs/>
          <w:color w:val="0E0E0C"/>
          <w:sz w:val="23"/>
          <w:szCs w:val="23"/>
        </w:rPr>
        <w:t xml:space="preserve">Suitability flag — read carefully</w:t>
      </w:r>
    </w:p>
    <w:p>
      <w:pPr>
        <w:spacing w:after="80" w:before="80"/>
      </w:pPr>
      <w:r>
        <w:rPr>
          <w:rFonts w:ascii="Arial" w:cs="Arial" w:eastAsia="Arial" w:hAnsi="Arial"/>
          <w:b w:val="false"/>
          <w:bCs w:val="false"/>
          <w:i/>
          <w:iCs/>
          <w:color w:val="8B0000"/>
          <w:sz w:val="20"/>
          <w:szCs w:val="20"/>
        </w:rPr>
        <w:t xml:space="preserve">You stated all 5 clients have the same risk profile (20–30% target / 25% drawdown tolerance). As a fiduciary, you must document why this profile is appropriate for EACH client based on their specific circumstances — not just because they said yes. If a regulator examines your book and sees five identical IPSs with five clients of different ages, incomes, and net worths, that's a red flag. Either the clients genuinely have similar profiles (document why) or the IPSs need to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601A" w:val="clear"/>
            <w:tcMar>
              <w:top w:type="dxa" w:w="120"/>
              <w:left w:type="dxa" w:w="200"/>
              <w:bottom w:type="dxa" w:w="120"/>
              <w:right w:type="dxa" w:w="200"/>
            </w:tcMar>
          </w:tcPr>
          <w:p>
            <w:r>
              <w:rPr>
                <w:rFonts w:ascii="Arial" w:cs="Arial" w:eastAsia="Arial" w:hAnsi="Arial"/>
                <w:b/>
                <w:bCs/>
                <w:color w:val="FFFFFF"/>
                <w:sz w:val="26"/>
                <w:szCs w:val="26"/>
              </w:rPr>
              <w:t xml:space="preserve">PHASE 6: </w:t>
            </w:r>
            <w:r>
              <w:rPr>
                <w:rFonts w:ascii="Arial" w:cs="Arial" w:eastAsia="Arial" w:hAnsi="Arial"/>
                <w:b/>
                <w:bCs/>
                <w:color w:val="FFFFFF"/>
                <w:sz w:val="26"/>
                <w:szCs w:val="26"/>
              </w:rPr>
              <w:t xml:space="preserve">ONGOING COMPLIANCE (PERPETUAL)</w:t>
            </w:r>
            <w:r>
              <w:rPr>
                <w:rFonts w:ascii="Arial" w:cs="Arial" w:eastAsia="Arial" w:hAnsi="Arial"/>
                <w:color w:val="FFFFFF"/>
                <w:sz w:val="22"/>
                <w:szCs w:val="22"/>
              </w:rPr>
              <w:t xml:space="preserve">   |   Forever after launch</w:t>
            </w:r>
          </w:p>
        </w:tc>
      </w:tr>
    </w:tbl>
    <w:p>
      <w:pPr>
        <w:pStyle w:val="Heading3"/>
        <w:spacing w:after="120" w:before="220"/>
      </w:pPr>
      <w:r>
        <w:rPr>
          <w:rFonts w:ascii="Arial" w:cs="Arial" w:eastAsia="Arial" w:hAnsi="Arial"/>
          <w:b/>
          <w:bCs/>
          <w:color w:val="0E0E0C"/>
          <w:sz w:val="23"/>
          <w:szCs w:val="23"/>
        </w:rPr>
        <w:t xml:space="preserve">Annual</w:t>
      </w:r>
    </w:p>
    <w:p>
      <w:pPr>
        <w:pStyle w:val="ListParagraph"/>
        <w:numPr>
          <w:ilvl w:val="0"/>
          <w:numId w:val="2"/>
        </w:numPr>
      </w:pPr>
      <w:r>
        <w:rPr>
          <w:rFonts w:ascii="Arial" w:cs="Arial" w:eastAsia="Arial" w:hAnsi="Arial"/>
          <w:sz w:val="22"/>
          <w:szCs w:val="22"/>
        </w:rPr>
        <w:t xml:space="preserve">Form ADV annual amendment (within 90 days of fiscal year end)</w:t>
      </w:r>
    </w:p>
    <w:p>
      <w:pPr>
        <w:pStyle w:val="ListParagraph"/>
        <w:numPr>
          <w:ilvl w:val="0"/>
          <w:numId w:val="2"/>
        </w:numPr>
      </w:pPr>
      <w:r>
        <w:rPr>
          <w:rFonts w:ascii="Arial" w:cs="Arial" w:eastAsia="Arial" w:hAnsi="Arial"/>
          <w:sz w:val="22"/>
          <w:szCs w:val="22"/>
        </w:rPr>
        <w:t xml:space="preserve">Deliver updated ADV Part 2A to all clients (or summary of material changes)</w:t>
      </w:r>
    </w:p>
    <w:p>
      <w:pPr>
        <w:pStyle w:val="ListParagraph"/>
        <w:numPr>
          <w:ilvl w:val="0"/>
          <w:numId w:val="2"/>
        </w:numPr>
      </w:pPr>
      <w:r>
        <w:rPr>
          <w:rFonts w:ascii="Arial" w:cs="Arial" w:eastAsia="Arial" w:hAnsi="Arial"/>
          <w:sz w:val="22"/>
          <w:szCs w:val="22"/>
        </w:rPr>
        <w:t xml:space="preserve">Annual compliance review (document what you reviewed, what you changed)</w:t>
      </w:r>
    </w:p>
    <w:p>
      <w:pPr>
        <w:pStyle w:val="ListParagraph"/>
        <w:numPr>
          <w:ilvl w:val="0"/>
          <w:numId w:val="2"/>
        </w:numPr>
      </w:pPr>
      <w:r>
        <w:rPr>
          <w:rFonts w:ascii="Arial" w:cs="Arial" w:eastAsia="Arial" w:hAnsi="Arial"/>
          <w:sz w:val="22"/>
          <w:szCs w:val="22"/>
        </w:rPr>
        <w:t xml:space="preserve">Renew state registration and pay annual fees</w:t>
      </w:r>
    </w:p>
    <w:p>
      <w:pPr>
        <w:pStyle w:val="ListParagraph"/>
        <w:numPr>
          <w:ilvl w:val="0"/>
          <w:numId w:val="2"/>
        </w:numPr>
      </w:pPr>
      <w:r>
        <w:rPr>
          <w:rFonts w:ascii="Arial" w:cs="Arial" w:eastAsia="Arial" w:hAnsi="Arial"/>
          <w:sz w:val="22"/>
          <w:szCs w:val="22"/>
        </w:rPr>
        <w:t xml:space="preserve">Code of Ethics annual certification by all access persons</w:t>
      </w:r>
    </w:p>
    <w:p>
      <w:pPr>
        <w:pStyle w:val="ListParagraph"/>
        <w:numPr>
          <w:ilvl w:val="0"/>
          <w:numId w:val="2"/>
        </w:numPr>
      </w:pPr>
      <w:r>
        <w:rPr>
          <w:rFonts w:ascii="Arial" w:cs="Arial" w:eastAsia="Arial" w:hAnsi="Arial"/>
          <w:sz w:val="22"/>
          <w:szCs w:val="22"/>
        </w:rPr>
        <w:t xml:space="preserve">Privacy Policy annual delivery</w:t>
      </w:r>
    </w:p>
    <w:p>
      <w:pPr>
        <w:pStyle w:val="Heading3"/>
        <w:spacing w:after="120" w:before="220"/>
      </w:pPr>
      <w:r>
        <w:rPr>
          <w:rFonts w:ascii="Arial" w:cs="Arial" w:eastAsia="Arial" w:hAnsi="Arial"/>
          <w:b/>
          <w:bCs/>
          <w:color w:val="0E0E0C"/>
          <w:sz w:val="23"/>
          <w:szCs w:val="23"/>
        </w:rPr>
        <w:t xml:space="preserve">Quarterly</w:t>
      </w:r>
    </w:p>
    <w:p>
      <w:pPr>
        <w:pStyle w:val="ListParagraph"/>
        <w:numPr>
          <w:ilvl w:val="0"/>
          <w:numId w:val="2"/>
        </w:numPr>
      </w:pPr>
      <w:r>
        <w:rPr>
          <w:rFonts w:ascii="Arial" w:cs="Arial" w:eastAsia="Arial" w:hAnsi="Arial"/>
          <w:sz w:val="22"/>
          <w:szCs w:val="22"/>
        </w:rPr>
        <w:t xml:space="preserve">Performance reports to clients</w:t>
      </w:r>
    </w:p>
    <w:p>
      <w:pPr>
        <w:pStyle w:val="ListParagraph"/>
        <w:numPr>
          <w:ilvl w:val="0"/>
          <w:numId w:val="2"/>
        </w:numPr>
      </w:pPr>
      <w:r>
        <w:rPr>
          <w:rFonts w:ascii="Arial" w:cs="Arial" w:eastAsia="Arial" w:hAnsi="Arial"/>
          <w:sz w:val="22"/>
          <w:szCs w:val="22"/>
        </w:rPr>
        <w:t xml:space="preserve">Reconcile fee billing against custodian statements</w:t>
      </w:r>
    </w:p>
    <w:p>
      <w:pPr>
        <w:pStyle w:val="ListParagraph"/>
        <w:numPr>
          <w:ilvl w:val="0"/>
          <w:numId w:val="2"/>
        </w:numPr>
      </w:pPr>
      <w:r>
        <w:rPr>
          <w:rFonts w:ascii="Arial" w:cs="Arial" w:eastAsia="Arial" w:hAnsi="Arial"/>
          <w:sz w:val="22"/>
          <w:szCs w:val="22"/>
        </w:rPr>
        <w:t xml:space="preserve">Review IPS for each client; update if circumstances changed</w:t>
      </w:r>
    </w:p>
    <w:p>
      <w:pPr>
        <w:pStyle w:val="Heading3"/>
        <w:spacing w:after="120" w:before="220"/>
      </w:pPr>
      <w:r>
        <w:rPr>
          <w:rFonts w:ascii="Arial" w:cs="Arial" w:eastAsia="Arial" w:hAnsi="Arial"/>
          <w:b/>
          <w:bCs/>
          <w:color w:val="0E0E0C"/>
          <w:sz w:val="23"/>
          <w:szCs w:val="23"/>
        </w:rPr>
        <w:t xml:space="preserve">Ongoing</w:t>
      </w:r>
    </w:p>
    <w:p>
      <w:pPr>
        <w:pStyle w:val="ListParagraph"/>
        <w:numPr>
          <w:ilvl w:val="0"/>
          <w:numId w:val="2"/>
        </w:numPr>
      </w:pPr>
      <w:r>
        <w:rPr>
          <w:rFonts w:ascii="Arial" w:cs="Arial" w:eastAsia="Arial" w:hAnsi="Arial"/>
          <w:sz w:val="22"/>
          <w:szCs w:val="22"/>
        </w:rPr>
        <w:t xml:space="preserve">Maintain books and records for 5 years (advertising, communications, trade records)</w:t>
      </w:r>
    </w:p>
    <w:p>
      <w:pPr>
        <w:pStyle w:val="ListParagraph"/>
        <w:numPr>
          <w:ilvl w:val="0"/>
          <w:numId w:val="2"/>
        </w:numPr>
      </w:pPr>
      <w:r>
        <w:rPr>
          <w:rFonts w:ascii="Arial" w:cs="Arial" w:eastAsia="Arial" w:hAnsi="Arial"/>
          <w:sz w:val="22"/>
          <w:szCs w:val="22"/>
        </w:rPr>
        <w:t xml:space="preserve">Pre-clear personal trades against client trades (avoid front-running)</w:t>
      </w:r>
    </w:p>
    <w:p>
      <w:pPr>
        <w:pStyle w:val="ListParagraph"/>
        <w:numPr>
          <w:ilvl w:val="0"/>
          <w:numId w:val="2"/>
        </w:numPr>
      </w:pPr>
      <w:r>
        <w:rPr>
          <w:rFonts w:ascii="Arial" w:cs="Arial" w:eastAsia="Arial" w:hAnsi="Arial"/>
          <w:sz w:val="22"/>
          <w:szCs w:val="22"/>
        </w:rPr>
        <w:t xml:space="preserve">Document all client communications (email retention, phone log)</w:t>
      </w:r>
    </w:p>
    <w:p>
      <w:pPr>
        <w:pStyle w:val="ListParagraph"/>
        <w:numPr>
          <w:ilvl w:val="0"/>
          <w:numId w:val="2"/>
        </w:numPr>
      </w:pPr>
      <w:r>
        <w:rPr>
          <w:rFonts w:ascii="Arial" w:cs="Arial" w:eastAsia="Arial" w:hAnsi="Arial"/>
          <w:sz w:val="22"/>
          <w:szCs w:val="22"/>
        </w:rPr>
        <w:t xml:space="preserve">Update Form ADV within 30 days of any material change</w:t>
      </w:r>
    </w:p>
    <w:p>
      <w:pPr>
        <w:pStyle w:val="ListParagraph"/>
        <w:numPr>
          <w:ilvl w:val="0"/>
          <w:numId w:val="2"/>
        </w:numPr>
      </w:pPr>
      <w:r>
        <w:rPr>
          <w:rFonts w:ascii="Arial" w:cs="Arial" w:eastAsia="Arial" w:hAnsi="Arial"/>
          <w:sz w:val="22"/>
          <w:szCs w:val="22"/>
        </w:rPr>
        <w:t xml:space="preserve">Watch for TSSB exam notice — Texas examines RIAs on a rotating cycle</w:t>
      </w:r>
    </w:p>
    <w:p>
      <w:pPr>
        <w:pStyle w:val="Heading1"/>
        <w:spacing w:after="180" w:before="360"/>
      </w:pPr>
      <w:r>
        <w:rPr>
          <w:rFonts w:ascii="Arial" w:cs="Arial" w:eastAsia="Arial" w:hAnsi="Arial"/>
          <w:b/>
          <w:bCs/>
          <w:color w:val="E8601A"/>
          <w:sz w:val="32"/>
          <w:szCs w:val="32"/>
        </w:rPr>
        <w:t xml:space="preserve">Critical: Keeping FTI and the RIA Separate</w:t>
      </w:r>
    </w:p>
    <w:p>
      <w:pPr>
        <w:spacing w:after="80" w:before="80"/>
      </w:pPr>
      <w:r>
        <w:rPr>
          <w:rFonts w:ascii="Arial" w:cs="Arial" w:eastAsia="Arial" w:hAnsi="Arial"/>
          <w:b w:val="false"/>
          <w:bCs w:val="false"/>
          <w:i/>
          <w:iCs/>
          <w:color w:val="000000"/>
          <w:sz w:val="22"/>
          <w:szCs w:val="22"/>
        </w:rPr>
        <w:t xml:space="preserve">The biggest risk to FTI from this venture is a regulator deciding the education business is being used to funnel clients into unregistered advisory services. Even AFTER you're registered, the boundary matters because of advertising rules.</w:t>
      </w:r>
    </w:p>
    <w:p>
      <w:pPr>
        <w:pStyle w:val="Heading3"/>
        <w:spacing w:after="120" w:before="220"/>
      </w:pPr>
      <w:r>
        <w:rPr>
          <w:rFonts w:ascii="Arial" w:cs="Arial" w:eastAsia="Arial" w:hAnsi="Arial"/>
          <w:b/>
          <w:bCs/>
          <w:color w:val="0E0E0C"/>
          <w:sz w:val="23"/>
          <w:szCs w:val="23"/>
        </w:rPr>
        <w:t xml:space="preserve">Hard rules</w:t>
      </w:r>
    </w:p>
    <w:p>
      <w:pPr>
        <w:pStyle w:val="ListParagraph"/>
        <w:numPr>
          <w:ilvl w:val="0"/>
          <w:numId w:val="2"/>
        </w:numPr>
      </w:pPr>
      <w:r>
        <w:rPr>
          <w:rFonts w:ascii="Arial" w:cs="Arial" w:eastAsia="Arial" w:hAnsi="Arial"/>
          <w:sz w:val="22"/>
          <w:szCs w:val="22"/>
        </w:rPr>
        <w:t xml:space="preserve">FTI website does NOT advertise the RIA's services without proper Form ADV-compliant disclosures</w:t>
      </w:r>
    </w:p>
    <w:p>
      <w:pPr>
        <w:pStyle w:val="ListParagraph"/>
        <w:numPr>
          <w:ilvl w:val="0"/>
          <w:numId w:val="2"/>
        </w:numPr>
      </w:pPr>
      <w:r>
        <w:rPr>
          <w:rFonts w:ascii="Arial" w:cs="Arial" w:eastAsia="Arial" w:hAnsi="Arial"/>
          <w:sz w:val="22"/>
          <w:szCs w:val="22"/>
        </w:rPr>
        <w:t xml:space="preserve">FTI course materials do NOT say "sign up here and Stephen will manage your money"</w:t>
      </w:r>
    </w:p>
    <w:p>
      <w:pPr>
        <w:pStyle w:val="ListParagraph"/>
        <w:numPr>
          <w:ilvl w:val="0"/>
          <w:numId w:val="2"/>
        </w:numPr>
      </w:pPr>
      <w:r>
        <w:rPr>
          <w:rFonts w:ascii="Arial" w:cs="Arial" w:eastAsia="Arial" w:hAnsi="Arial"/>
          <w:sz w:val="22"/>
          <w:szCs w:val="22"/>
        </w:rPr>
        <w:t xml:space="preserve">If RIA is advertised anywhere, all SEC marketing rule requirements apply (testimonials, performance, etc.)</w:t>
      </w:r>
    </w:p>
    <w:p>
      <w:pPr>
        <w:pStyle w:val="ListParagraph"/>
        <w:numPr>
          <w:ilvl w:val="0"/>
          <w:numId w:val="2"/>
        </w:numPr>
      </w:pPr>
      <w:r>
        <w:rPr>
          <w:rFonts w:ascii="Arial" w:cs="Arial" w:eastAsia="Arial" w:hAnsi="Arial"/>
          <w:sz w:val="22"/>
          <w:szCs w:val="22"/>
        </w:rPr>
        <w:t xml:space="preserve">Separate websites OR clear disclosure boundaries between education and advisory</w:t>
      </w:r>
    </w:p>
    <w:p>
      <w:pPr>
        <w:pStyle w:val="ListParagraph"/>
        <w:numPr>
          <w:ilvl w:val="0"/>
          <w:numId w:val="2"/>
        </w:numPr>
      </w:pPr>
      <w:r>
        <w:rPr>
          <w:rFonts w:ascii="Arial" w:cs="Arial" w:eastAsia="Arial" w:hAnsi="Arial"/>
          <w:sz w:val="22"/>
          <w:szCs w:val="22"/>
        </w:rPr>
        <w:t xml:space="preserve">Separate email signatures, business cards, intake processes</w:t>
      </w:r>
    </w:p>
    <w:p>
      <w:pPr>
        <w:pStyle w:val="ListParagraph"/>
        <w:numPr>
          <w:ilvl w:val="0"/>
          <w:numId w:val="2"/>
        </w:numPr>
      </w:pPr>
      <w:r>
        <w:rPr>
          <w:rFonts w:ascii="Arial" w:cs="Arial" w:eastAsia="Arial" w:hAnsi="Arial"/>
          <w:sz w:val="22"/>
          <w:szCs w:val="22"/>
        </w:rPr>
        <w:t xml:space="preserve">Education clients ≠ advisory clients (overlap is fine; the businesses must be distinct)</w:t>
      </w:r>
    </w:p>
    <w:p>
      <w:pPr>
        <w:pStyle w:val="Heading1"/>
        <w:spacing w:after="180" w:before="360"/>
      </w:pPr>
      <w:r>
        <w:rPr>
          <w:rFonts w:ascii="Arial" w:cs="Arial" w:eastAsia="Arial" w:hAnsi="Arial"/>
          <w:b/>
          <w:bCs/>
          <w:color w:val="E8601A"/>
          <w:sz w:val="32"/>
          <w:szCs w:val="32"/>
        </w:rPr>
        <w:t xml:space="preserve">Trading Strategy — Deferred Until Phase 5</w:t>
      </w:r>
    </w:p>
    <w:p>
      <w:pPr>
        <w:spacing w:after="80" w:before="80"/>
      </w:pPr>
      <w:r>
        <w:rPr>
          <w:rFonts w:ascii="Arial" w:cs="Arial" w:eastAsia="Arial" w:hAnsi="Arial"/>
          <w:b w:val="false"/>
          <w:bCs w:val="false"/>
          <w:i w:val="false"/>
          <w:iCs w:val="false"/>
          <w:color w:val="000000"/>
          <w:sz w:val="22"/>
          <w:szCs w:val="22"/>
        </w:rPr>
        <w:t xml:space="preserve">I'm intentionally not laying out specific strategies here because the right answer depends on which custodian you choose (options approval levels, commission structure) and what your final IPS framework looks like. Once you're past Phase 4, we'll have the conversation about whether the book is:</w:t>
      </w:r>
    </w:p>
    <w:p>
      <w:pPr>
        <w:pStyle w:val="ListParagraph"/>
        <w:numPr>
          <w:ilvl w:val="0"/>
          <w:numId w:val="2"/>
        </w:numPr>
      </w:pPr>
      <w:r>
        <w:rPr>
          <w:rFonts w:ascii="Arial" w:cs="Arial" w:eastAsia="Arial" w:hAnsi="Arial"/>
          <w:sz w:val="22"/>
          <w:szCs w:val="22"/>
        </w:rPr>
        <w:t xml:space="preserve">Active swing equity using your SSS framework + defined-risk options overlay</w:t>
      </w:r>
    </w:p>
    <w:p>
      <w:pPr>
        <w:pStyle w:val="ListParagraph"/>
        <w:numPr>
          <w:ilvl w:val="0"/>
          <w:numId w:val="2"/>
        </w:numPr>
      </w:pPr>
      <w:r>
        <w:rPr>
          <w:rFonts w:ascii="Arial" w:cs="Arial" w:eastAsia="Arial" w:hAnsi="Arial"/>
          <w:sz w:val="22"/>
          <w:szCs w:val="22"/>
        </w:rPr>
        <w:t xml:space="preserve">Premium-selling focus (cash-secured puts → wheel → covered calls) for steadier income</w:t>
      </w:r>
    </w:p>
    <w:p>
      <w:pPr>
        <w:pStyle w:val="ListParagraph"/>
        <w:numPr>
          <w:ilvl w:val="0"/>
          <w:numId w:val="2"/>
        </w:numPr>
      </w:pPr>
      <w:r>
        <w:rPr>
          <w:rFonts w:ascii="Arial" w:cs="Arial" w:eastAsia="Arial" w:hAnsi="Arial"/>
          <w:sz w:val="22"/>
          <w:szCs w:val="22"/>
        </w:rPr>
        <w:t xml:space="preserve">Hybrid: core wheel positions + tactical swing trades for upside</w:t>
      </w:r>
    </w:p>
    <w:p>
      <w:pPr>
        <w:spacing w:after="80" w:before="80"/>
      </w:pPr>
      <w:r>
        <w:rPr>
          <w:rFonts w:ascii="Arial" w:cs="Arial" w:eastAsia="Arial" w:hAnsi="Arial"/>
          <w:b w:val="false"/>
          <w:bCs w:val="false"/>
          <w:i w:val="false"/>
          <w:iCs w:val="false"/>
          <w:color w:val="000000"/>
          <w:sz w:val="22"/>
          <w:szCs w:val="22"/>
        </w:rPr>
        <w:t xml:space="preserve">With $10K accounts, 3–5 hours daily attention, and a 20–30% target net of fees, the math is tight but workable. The biggest constraint will be position sizing — at $10K, a single bad trade hurts disproportionately, so risk-per-trade discipline matters more than strategy selection.</w:t>
      </w:r>
    </w:p>
    <w:p>
      <w:pPr>
        <w:pStyle w:val="Heading1"/>
        <w:spacing w:after="180" w:before="360"/>
      </w:pPr>
      <w:r>
        <w:rPr>
          <w:rFonts w:ascii="Arial" w:cs="Arial" w:eastAsia="Arial" w:hAnsi="Arial"/>
          <w:b/>
          <w:bCs/>
          <w:color w:val="E8601A"/>
          <w:sz w:val="32"/>
          <w:szCs w:val="32"/>
        </w:rPr>
        <w:t xml:space="preserve">Immediate Next Steps (this week)</w:t>
      </w:r>
    </w:p>
    <w:p>
      <w:pPr>
        <w:pStyle w:val="ListParagraph"/>
        <w:numPr>
          <w:ilvl w:val="0"/>
          <w:numId w:val="2"/>
        </w:numPr>
      </w:pPr>
      <w:r>
        <w:rPr>
          <w:rFonts w:ascii="Arial" w:cs="Arial" w:eastAsia="Arial" w:hAnsi="Arial"/>
          <w:sz w:val="22"/>
          <w:szCs w:val="22"/>
        </w:rPr>
        <w:t xml:space="preserve">Confirm Series 65 exam date</w:t>
      </w:r>
    </w:p>
    <w:p>
      <w:pPr>
        <w:pStyle w:val="ListParagraph"/>
        <w:numPr>
          <w:ilvl w:val="0"/>
          <w:numId w:val="2"/>
        </w:numPr>
      </w:pPr>
      <w:r>
        <w:rPr>
          <w:rFonts w:ascii="Arial" w:cs="Arial" w:eastAsia="Arial" w:hAnsi="Arial"/>
          <w:sz w:val="22"/>
          <w:szCs w:val="22"/>
        </w:rPr>
        <w:t xml:space="preserve">Get securities attorney consult booked (Texas-licensed, RIA experience) — single most important step</w:t>
      </w:r>
    </w:p>
    <w:p>
      <w:pPr>
        <w:pStyle w:val="ListParagraph"/>
        <w:numPr>
          <w:ilvl w:val="0"/>
          <w:numId w:val="2"/>
        </w:numPr>
      </w:pPr>
      <w:r>
        <w:rPr>
          <w:rFonts w:ascii="Arial" w:cs="Arial" w:eastAsia="Arial" w:hAnsi="Arial"/>
          <w:sz w:val="22"/>
          <w:szCs w:val="22"/>
        </w:rPr>
        <w:t xml:space="preserve">Decide on registration entity (Asset Lessons vs. new LLC)</w:t>
      </w:r>
    </w:p>
    <w:p>
      <w:pPr>
        <w:pStyle w:val="ListParagraph"/>
        <w:numPr>
          <w:ilvl w:val="0"/>
          <w:numId w:val="2"/>
        </w:numPr>
      </w:pPr>
      <w:r>
        <w:rPr>
          <w:rFonts w:ascii="Arial" w:cs="Arial" w:eastAsia="Arial" w:hAnsi="Arial"/>
          <w:sz w:val="22"/>
          <w:szCs w:val="22"/>
        </w:rPr>
        <w:t xml:space="preserve">Schedule intro calls with Altruist, Fidelity Institutional, and Interactive Brokers Advisor</w:t>
      </w:r>
    </w:p>
    <w:p>
      <w:pPr>
        <w:pStyle w:val="ListParagraph"/>
        <w:numPr>
          <w:ilvl w:val="0"/>
          <w:numId w:val="2"/>
        </w:numPr>
      </w:pPr>
      <w:r>
        <w:rPr>
          <w:rFonts w:ascii="Arial" w:cs="Arial" w:eastAsia="Arial" w:hAnsi="Arial"/>
          <w:sz w:val="22"/>
          <w:szCs w:val="22"/>
        </w:rPr>
        <w:t xml:space="preserve">Tell the 5 clients the realistic timeline — accounts cannot be funded for managed trading until Phase 5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60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E0E0C"/>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E0E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2026-05-03T05:09:44.818Z</dcterms:created>
  <dcterms:modified xsi:type="dcterms:W3CDTF">2026-05-03T05:09:44.836Z</dcterms:modified>
</cp:coreProperties>
</file>

<file path=docProps/custom.xml><?xml version="1.0" encoding="utf-8"?>
<Properties xmlns="http://schemas.openxmlformats.org/officeDocument/2006/custom-properties" xmlns:vt="http://schemas.openxmlformats.org/officeDocument/2006/docPropsVTypes"/>
</file>