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BUSINESS REQUIREMENTS
DOCUMENT</w:t>
      </w:r>
    </w:p>
    <w:p>
      <w:pPr>
        <w:spacing w:after="100"/>
        <w:jc w:val="center"/>
      </w:pPr>
      <w:r>
        <w:rPr>
          <w:color w:val="0F4D61"/>
          <w:sz w:val="36"/>
          <w:szCs w:val="36"/>
        </w:rPr>
        <w:t xml:space="preserve">ReDefiners Canvas LMS Frontend</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Requirements Document (BRD)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Custom LMS Frontend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Sponsor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Education Foundation</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Approved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Confidentiality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Business Opportunity</w:t>
      </w:r>
    </w:p>
    <w:p>
      <w:pPr>
        <w:spacing w:after="120"/>
      </w:pPr>
      <w:r>
        <w:rPr>
          <w:sz w:val="22"/>
          <w:szCs w:val="22"/>
        </w:rPr>
        <w:t xml:space="preserve">Educational institutions using Canvas LMS face a common challenge: the default Canvas UI, while functional, does not allow deep branding customization or modern UX patterns that today's students and educators expect. Institutions investing in Canvas often find the frontend experience generic and inconsistent with their brand identity.</w:t>
      </w:r>
    </w:p>
    <w:p>
      <w:pPr>
        <w:spacing w:after="120"/>
      </w:pPr>
      <w:r>
        <w:rPr>
          <w:sz w:val="22"/>
          <w:szCs w:val="22"/>
        </w:rPr>
        <w:t xml:space="preserve">ReDefiners Education Foundation identified this gap as an opportunity to create a premium, fully customizable frontend experience that operates on top of Canvas LMS infrastructure, preserving all backend functionality while delivering a superior user experience.</w:t>
      </w:r>
    </w:p>
    <w:p>
      <w:pPr>
        <w:spacing w:after="200"/>
      </w:pPr>
    </w:p>
    <w:p>
      <w:pPr>
        <w:pStyle w:val="Heading2"/>
      </w:pPr>
      <w:r>
        <w:rPr>
          <w:b/>
          <w:bCs/>
        </w:rPr>
        <w:t xml:space="preserve">1.1 Market Context</w:t>
      </w:r>
    </w:p>
    <w:p>
      <w:pPr>
        <w:pStyle w:val="ListParagraph"/>
        <w:numPr>
          <w:ilvl w:val="0"/>
          <w:numId w:val="2"/>
        </w:numPr>
      </w:pPr>
      <w:r>
        <w:rPr>
          <w:sz w:val="22"/>
          <w:szCs w:val="22"/>
        </w:rPr>
        <w:t xml:space="preserve">Global LMS market valued at $18.26B in 2025, projected to reach $47.47B by 2030</w:t>
      </w:r>
    </w:p>
    <w:p>
      <w:pPr>
        <w:pStyle w:val="ListParagraph"/>
        <w:numPr>
          <w:ilvl w:val="0"/>
          <w:numId w:val="2"/>
        </w:numPr>
      </w:pPr>
      <w:r>
        <w:rPr>
          <w:sz w:val="22"/>
          <w:szCs w:val="22"/>
        </w:rPr>
        <w:t xml:space="preserve">Canvas LMS holds 34% market share in US higher education</w:t>
      </w:r>
    </w:p>
    <w:p>
      <w:pPr>
        <w:pStyle w:val="ListParagraph"/>
        <w:numPr>
          <w:ilvl w:val="0"/>
          <w:numId w:val="2"/>
        </w:numPr>
      </w:pPr>
      <w:r>
        <w:rPr>
          <w:sz w:val="22"/>
          <w:szCs w:val="22"/>
        </w:rPr>
        <w:t xml:space="preserve">78% of institutions cite UI/UX as a key factor in LMS satisfaction surveys</w:t>
      </w:r>
    </w:p>
    <w:p>
      <w:pPr>
        <w:pStyle w:val="ListParagraph"/>
        <w:numPr>
          <w:ilvl w:val="0"/>
          <w:numId w:val="2"/>
        </w:numPr>
      </w:pPr>
      <w:r>
        <w:rPr>
          <w:sz w:val="22"/>
          <w:szCs w:val="22"/>
        </w:rPr>
        <w:t xml:space="preserve">Growing demand for branded, mobile-first learning experiences</w:t>
      </w:r>
    </w:p>
    <w:p>
      <w:pPr>
        <w:pStyle w:val="ListParagraph"/>
        <w:numPr>
          <w:ilvl w:val="0"/>
          <w:numId w:val="2"/>
        </w:numPr>
      </w:pPr>
      <w:r>
        <w:rPr>
          <w:sz w:val="22"/>
          <w:szCs w:val="22"/>
        </w:rPr>
        <w:t xml:space="preserve">Competitive pressure from modern platforms (Notion, Moodle 4.x, Brightspace)</w:t>
      </w:r>
    </w:p>
    <w:p>
      <w:pPr>
        <w:spacing w:after="200"/>
      </w:pPr>
    </w:p>
    <w:p>
      <w:pPr>
        <w:pStyle w:val="Heading1"/>
      </w:pPr>
      <w:r>
        <w:rPr>
          <w:b/>
          <w:bCs/>
        </w:rPr>
        <w:t xml:space="preserve">2.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400"/>
        <w:gridCol w:w="1800"/>
      </w:tblGrid>
      <w:tr>
        <w:trPr>
          <w:tblHeader/>
        </w:trPr>
        <w:tc>
          <w:tcPr>
            <w:tcW w:type="dxa" w:w="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 branded LMS frontend matching ReDefiners identity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brand guideline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Improve user engagement through modern UI/UX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increase in daily active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Q2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 LMS support tickets related to navigation confusion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 reduction in UI-related tickets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Q2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 theme customization without developer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themes switchable by end-users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Achieve mobile-first responsive 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 feature parity on 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Maintain zero downtime during frontend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99.5% uptime SLA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 page load times vs default Canvas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Sub-600ms FCP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self-hosted deployment on commodity hardware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VPS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 2026</w:t>
            </w:r>
          </w:p>
        </w:tc>
      </w:tr>
    </w:tbl>
    <w:p>
      <w:r>
        <w:br w:type="page"/>
      </w:r>
    </w:p>
    <w:p>
      <w:pPr>
        <w:pStyle w:val="Heading1"/>
      </w:pPr>
      <w:r>
        <w:rPr>
          <w:b/>
          <w:bCs/>
        </w:rPr>
        <w:t xml:space="preserve">3.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Sponsor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identity, student engagement, 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Department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Owner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 security, maintenance, uptime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Faculty / Instructors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Grading efficiency, content management,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 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Usability, speed, mobile access, aesthetics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Academic Administration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Makers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Reporting, compliance, cost efficiency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Parents / Observers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Secondary 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Grade visibility, student progress tracking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(Instructure)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Vendor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stability, license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200"/>
      </w:pPr>
    </w:p>
    <w:p>
      <w:pPr>
        <w:pStyle w:val="Heading1"/>
      </w:pPr>
      <w:r>
        <w:rPr>
          <w:b/>
          <w:bCs/>
        </w:rPr>
        <w:t xml:space="preserve">4. Business Requirements</w:t>
      </w:r>
    </w:p>
    <w:p>
      <w:pPr>
        <w:pStyle w:val="Heading2"/>
      </w:pPr>
      <w:r>
        <w:rPr>
          <w:b/>
          <w:bCs/>
        </w:rPr>
        <w:t xml:space="preserve">4.1 Brand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000"/>
        <w:gridCol w:w="3200"/>
      </w:tblGrid>
      <w:tr>
        <w:trPr>
          <w:tblHeader/>
        </w:trPr>
        <w:tc>
          <w:tcPr>
            <w:tcW w:type="dxa" w:w="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UI elements must use ReDefiners color palette (teal/green/mint)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consistency across all touchpoints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Logo and branding must appear on login, sidebar, and header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recognition and institutional identity</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minimum 3 switchable theme variants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Accommodate different institutional preferences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Provide dark mode for accessibility and user preference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UX expectation, reduces eye strain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page must support multiple design variants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 testing for conversion optimization</w:t>
            </w:r>
          </w:p>
        </w:tc>
      </w:tr>
    </w:tbl>
    <w:p>
      <w:pPr>
        <w:spacing w:after="200"/>
      </w:pPr>
    </w:p>
    <w:p>
      <w:pPr>
        <w:pStyle w:val="Heading2"/>
      </w:pPr>
      <w:r>
        <w:rPr>
          <w:b/>
          <w:bCs/>
        </w:rPr>
        <w:t xml:space="preserve">4.2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000"/>
        <w:gridCol w:w="3200"/>
      </w:tblGrid>
      <w:tr>
        <w:trPr>
          <w:tblHeader/>
        </w:trPr>
        <w:tc>
          <w:tcPr>
            <w:tcW w:type="dxa" w:w="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transitions must feel instant (&lt; 300ms perceived)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retention and satisfaction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 must be context-aware (course vs global)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 cognitive load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experience must be fully functional, not degraded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of students access LMS via mobile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must span courses, content, people, and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Productivity improvement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 center must aggregate all activity streams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source of truth for updates</w:t>
            </w:r>
          </w:p>
        </w:tc>
      </w:tr>
    </w:tbl>
    <w:p>
      <w:pPr>
        <w:spacing w:after="200"/>
      </w:pPr>
    </w:p>
    <w:p>
      <w:pPr>
        <w:pStyle w:val="Heading2"/>
      </w:pPr>
      <w:r>
        <w:rPr>
          <w:b/>
          <w:bCs/>
        </w:rPr>
        <w:t xml:space="preserve">4.3 Operations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000"/>
        <w:gridCol w:w="3200"/>
      </w:tblGrid>
      <w:tr>
        <w:trPr>
          <w:tblHeader/>
        </w:trPr>
        <w:tc>
          <w:tcPr>
            <w:tcW w:type="dxa" w:w="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must support self-hosted deployment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sovereignty, cost control</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 must be automated via CI/CD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Operational efficiency, reduce human error</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updates must not require backend changes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Decoupled release cycles</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must comply with FERPA data handling requirements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compliance for educational data</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user data must remain on Canvas backend servers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data duplication or leakage</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must achieve WCAG 2.1 AA accessibility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Should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compliance, inclusive design</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SSL/TLS encryption required for all communications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baseline</w:t>
            </w:r>
          </w:p>
        </w:tc>
      </w:tr>
    </w:tbl>
    <w:p>
      <w:r>
        <w:br w:type="page"/>
      </w:r>
    </w:p>
    <w:p>
      <w:pPr>
        <w:pStyle w:val="Heading1"/>
      </w:pPr>
      <w:r>
        <w:rPr>
          <w:b/>
          <w:bCs/>
        </w:rPr>
        <w:t xml:space="preserve">5. Business Process Flows</w:t>
      </w:r>
    </w:p>
    <w:p>
      <w:pPr>
        <w:pStyle w:val="Heading2"/>
      </w:pPr>
      <w:r>
        <w:rPr>
          <w:b/>
          <w:bCs/>
        </w:rPr>
        <w:t xml:space="preserve">5.1 Student Learning Flow</w:t>
      </w:r>
    </w:p>
    <w:p>
      <w:pPr>
        <w:pStyle w:val="ListParagraph"/>
        <w:numPr>
          <w:ilvl w:val="0"/>
          <w:numId w:val="3"/>
        </w:numPr>
      </w:pPr>
      <w:r>
        <w:rPr>
          <w:sz w:val="22"/>
          <w:szCs w:val="22"/>
        </w:rPr>
        <w:t xml:space="preserve">Student logs in via ReDefiners-branded login page</w:t>
      </w:r>
    </w:p>
    <w:p>
      <w:pPr>
        <w:pStyle w:val="ListParagraph"/>
        <w:numPr>
          <w:ilvl w:val="0"/>
          <w:numId w:val="3"/>
        </w:numPr>
      </w:pPr>
      <w:r>
        <w:rPr>
          <w:sz w:val="22"/>
          <w:szCs w:val="22"/>
        </w:rPr>
        <w:t xml:space="preserve">Dashboard displays personalized course cards, to-do items, calendar</w:t>
      </w:r>
    </w:p>
    <w:p>
      <w:pPr>
        <w:pStyle w:val="ListParagraph"/>
        <w:numPr>
          <w:ilvl w:val="0"/>
          <w:numId w:val="3"/>
        </w:numPr>
      </w:pPr>
      <w:r>
        <w:rPr>
          <w:sz w:val="22"/>
          <w:szCs w:val="22"/>
        </w:rPr>
        <w:t xml:space="preserve">Student navigates to course via sidebar or card click</w:t>
      </w:r>
    </w:p>
    <w:p>
      <w:pPr>
        <w:pStyle w:val="ListParagraph"/>
        <w:numPr>
          <w:ilvl w:val="0"/>
          <w:numId w:val="3"/>
        </w:numPr>
      </w:pPr>
      <w:r>
        <w:rPr>
          <w:sz w:val="22"/>
          <w:szCs w:val="22"/>
        </w:rPr>
        <w:t xml:space="preserve">Course page shows modules, assignments, discussions, grades</w:t>
      </w:r>
    </w:p>
    <w:p>
      <w:pPr>
        <w:pStyle w:val="ListParagraph"/>
        <w:numPr>
          <w:ilvl w:val="0"/>
          <w:numId w:val="3"/>
        </w:numPr>
      </w:pPr>
      <w:r>
        <w:rPr>
          <w:sz w:val="22"/>
          <w:szCs w:val="22"/>
        </w:rPr>
        <w:t xml:space="preserve">Student completes assignments via submission interface</w:t>
      </w:r>
    </w:p>
    <w:p>
      <w:pPr>
        <w:pStyle w:val="ListParagraph"/>
        <w:numPr>
          <w:ilvl w:val="0"/>
          <w:numId w:val="3"/>
        </w:numPr>
      </w:pPr>
      <w:r>
        <w:rPr>
          <w:sz w:val="22"/>
          <w:szCs w:val="22"/>
        </w:rPr>
        <w:t xml:space="preserve">Student checks grades and feedback via Gradebook</w:t>
      </w:r>
    </w:p>
    <w:p>
      <w:pPr>
        <w:pStyle w:val="ListParagraph"/>
        <w:numPr>
          <w:ilvl w:val="0"/>
          <w:numId w:val="3"/>
        </w:numPr>
      </w:pPr>
      <w:r>
        <w:rPr>
          <w:sz w:val="22"/>
          <w:szCs w:val="22"/>
        </w:rPr>
        <w:t xml:space="preserve">Student participates in discussions and receives notifications</w:t>
      </w:r>
    </w:p>
    <w:p>
      <w:pPr>
        <w:spacing w:after="200"/>
      </w:pPr>
    </w:p>
    <w:p>
      <w:pPr>
        <w:pStyle w:val="Heading2"/>
      </w:pPr>
      <w:r>
        <w:rPr>
          <w:b/>
          <w:bCs/>
        </w:rPr>
        <w:t xml:space="preserve">5.2 Instructor Workflow</w:t>
      </w:r>
    </w:p>
    <w:p>
      <w:pPr>
        <w:pStyle w:val="ListParagraph"/>
        <w:numPr>
          <w:ilvl w:val="0"/>
          <w:numId w:val="3"/>
        </w:numPr>
      </w:pPr>
      <w:r>
        <w:rPr>
          <w:sz w:val="22"/>
          <w:szCs w:val="22"/>
        </w:rPr>
        <w:t xml:space="preserve">Instructor logs in and views teaching dashboard</w:t>
      </w:r>
    </w:p>
    <w:p>
      <w:pPr>
        <w:pStyle w:val="ListParagraph"/>
        <w:numPr>
          <w:ilvl w:val="0"/>
          <w:numId w:val="3"/>
        </w:numPr>
      </w:pPr>
      <w:r>
        <w:rPr>
          <w:sz w:val="22"/>
          <w:szCs w:val="22"/>
        </w:rPr>
        <w:t xml:space="preserve">Creates/edits course content (modules, pages, assignments)</w:t>
      </w:r>
    </w:p>
    <w:p>
      <w:pPr>
        <w:pStyle w:val="ListParagraph"/>
        <w:numPr>
          <w:ilvl w:val="0"/>
          <w:numId w:val="3"/>
        </w:numPr>
      </w:pPr>
      <w:r>
        <w:rPr>
          <w:sz w:val="22"/>
          <w:szCs w:val="22"/>
        </w:rPr>
        <w:t xml:space="preserve">Manages assignments with rubrics and peer review settings</w:t>
      </w:r>
    </w:p>
    <w:p>
      <w:pPr>
        <w:pStyle w:val="ListParagraph"/>
        <w:numPr>
          <w:ilvl w:val="0"/>
          <w:numId w:val="3"/>
        </w:numPr>
      </w:pPr>
      <w:r>
        <w:rPr>
          <w:sz w:val="22"/>
          <w:szCs w:val="22"/>
        </w:rPr>
        <w:t xml:space="preserve">Reviews submissions in SpeedGrader interface</w:t>
      </w:r>
    </w:p>
    <w:p>
      <w:pPr>
        <w:pStyle w:val="ListParagraph"/>
        <w:numPr>
          <w:ilvl w:val="0"/>
          <w:numId w:val="3"/>
        </w:numPr>
      </w:pPr>
      <w:r>
        <w:rPr>
          <w:sz w:val="22"/>
          <w:szCs w:val="22"/>
        </w:rPr>
        <w:t xml:space="preserve">Enters grades in Gradebook, provides feedback</w:t>
      </w:r>
    </w:p>
    <w:p>
      <w:pPr>
        <w:pStyle w:val="ListParagraph"/>
        <w:numPr>
          <w:ilvl w:val="0"/>
          <w:numId w:val="3"/>
        </w:numPr>
      </w:pPr>
      <w:r>
        <w:rPr>
          <w:sz w:val="22"/>
          <w:szCs w:val="22"/>
        </w:rPr>
        <w:t xml:space="preserve">Posts announcements and monitors discussion engagement</w:t>
      </w:r>
    </w:p>
    <w:p>
      <w:pPr>
        <w:pStyle w:val="ListParagraph"/>
        <w:numPr>
          <w:ilvl w:val="0"/>
          <w:numId w:val="3"/>
        </w:numPr>
      </w:pPr>
      <w:r>
        <w:rPr>
          <w:sz w:val="22"/>
          <w:szCs w:val="22"/>
        </w:rPr>
        <w:t xml:space="preserve">Views course analytics for at-risk student identification</w:t>
      </w:r>
    </w:p>
    <w:p>
      <w:pPr>
        <w:spacing w:after="200"/>
      </w:pPr>
    </w:p>
    <w:p>
      <w:pPr>
        <w:pStyle w:val="Heading2"/>
      </w:pPr>
      <w:r>
        <w:rPr>
          <w:b/>
          <w:bCs/>
        </w:rPr>
        <w:t xml:space="preserve">5.3 Administrator Workflow</w:t>
      </w:r>
    </w:p>
    <w:p>
      <w:pPr>
        <w:pStyle w:val="ListParagraph"/>
        <w:numPr>
          <w:ilvl w:val="0"/>
          <w:numId w:val="3"/>
        </w:numPr>
      </w:pPr>
      <w:r>
        <w:rPr>
          <w:sz w:val="22"/>
          <w:szCs w:val="22"/>
        </w:rPr>
        <w:t xml:space="preserve">Admin logs in with elevated permissions</w:t>
      </w:r>
    </w:p>
    <w:p>
      <w:pPr>
        <w:pStyle w:val="ListParagraph"/>
        <w:numPr>
          <w:ilvl w:val="0"/>
          <w:numId w:val="3"/>
        </w:numPr>
      </w:pPr>
      <w:r>
        <w:rPr>
          <w:sz w:val="22"/>
          <w:szCs w:val="22"/>
        </w:rPr>
        <w:t xml:space="preserve">Manages users, roles, and enrollment provisioning</w:t>
      </w:r>
    </w:p>
    <w:p>
      <w:pPr>
        <w:pStyle w:val="ListParagraph"/>
        <w:numPr>
          <w:ilvl w:val="0"/>
          <w:numId w:val="3"/>
        </w:numPr>
      </w:pPr>
      <w:r>
        <w:rPr>
          <w:sz w:val="22"/>
          <w:szCs w:val="22"/>
        </w:rPr>
        <w:t xml:space="preserve">Configures academic terms and enrollment periods</w:t>
      </w:r>
    </w:p>
    <w:p>
      <w:pPr>
        <w:pStyle w:val="ListParagraph"/>
        <w:numPr>
          <w:ilvl w:val="0"/>
          <w:numId w:val="3"/>
        </w:numPr>
      </w:pPr>
      <w:r>
        <w:rPr>
          <w:sz w:val="22"/>
          <w:szCs w:val="22"/>
        </w:rPr>
        <w:t xml:space="preserve">Imports SIS data for bulk account creation</w:t>
      </w:r>
    </w:p>
    <w:p>
      <w:pPr>
        <w:pStyle w:val="ListParagraph"/>
        <w:numPr>
          <w:ilvl w:val="0"/>
          <w:numId w:val="3"/>
        </w:numPr>
      </w:pPr>
      <w:r>
        <w:rPr>
          <w:sz w:val="22"/>
          <w:szCs w:val="22"/>
        </w:rPr>
        <w:t xml:space="preserve">Monitors system health and audit logs</w:t>
      </w:r>
    </w:p>
    <w:p>
      <w:pPr>
        <w:pStyle w:val="ListParagraph"/>
        <w:numPr>
          <w:ilvl w:val="0"/>
          <w:numId w:val="3"/>
        </w:numPr>
      </w:pPr>
      <w:r>
        <w:rPr>
          <w:sz w:val="22"/>
          <w:szCs w:val="22"/>
        </w:rPr>
        <w:t xml:space="preserve">Customizes theme and branding settings</w:t>
      </w:r>
    </w:p>
    <w:p>
      <w:pPr>
        <w:pStyle w:val="ListParagraph"/>
        <w:numPr>
          <w:ilvl w:val="0"/>
          <w:numId w:val="3"/>
        </w:numPr>
      </w:pPr>
      <w:r>
        <w:rPr>
          <w:sz w:val="22"/>
          <w:szCs w:val="22"/>
        </w:rPr>
        <w:t xml:space="preserve">Manages developer keys for external integrations</w:t>
      </w:r>
    </w:p>
    <w:p>
      <w:r>
        <w:br w:type="page"/>
      </w:r>
    </w:p>
    <w:p>
      <w:pPr>
        <w:pStyle w:val="Heading1"/>
      </w:pPr>
      <w:r>
        <w:rPr>
          <w:b/>
          <w:bCs/>
        </w:rPr>
        <w:t xml:space="preserve">6. Constraints &amp; Assumptions</w:t>
      </w:r>
    </w:p>
    <w:p>
      <w:pPr>
        <w:pStyle w:val="Heading2"/>
      </w:pPr>
      <w:r>
        <w:rPr>
          <w:b/>
          <w:bCs/>
        </w:rPr>
        <w:t xml:space="preserve">6.1 Constraints</w:t>
      </w:r>
    </w:p>
    <w:p>
      <w:pPr>
        <w:pStyle w:val="ListParagraph"/>
        <w:numPr>
          <w:ilvl w:val="0"/>
          <w:numId w:val="2"/>
        </w:numPr>
      </w:pPr>
      <w:r>
        <w:rPr>
          <w:sz w:val="22"/>
          <w:szCs w:val="22"/>
        </w:rPr>
        <w:t xml:space="preserve">Canvas LMS backend cannot be modified (API-only integration)</w:t>
      </w:r>
    </w:p>
    <w:p>
      <w:pPr>
        <w:pStyle w:val="ListParagraph"/>
        <w:numPr>
          <w:ilvl w:val="0"/>
          <w:numId w:val="2"/>
        </w:numPr>
      </w:pPr>
      <w:r>
        <w:rPr>
          <w:sz w:val="22"/>
          <w:szCs w:val="22"/>
        </w:rPr>
        <w:t xml:space="preserve">Frontend must work with Canvas API v1 (REST, no GraphQL dependency)</w:t>
      </w:r>
    </w:p>
    <w:p>
      <w:pPr>
        <w:pStyle w:val="ListParagraph"/>
        <w:numPr>
          <w:ilvl w:val="0"/>
          <w:numId w:val="2"/>
        </w:numPr>
      </w:pPr>
      <w:r>
        <w:rPr>
          <w:sz w:val="22"/>
          <w:szCs w:val="22"/>
        </w:rPr>
        <w:t xml:space="preserve">Deployment target is single Hostinger VPS (4 vCPU, 8 GB RAM)</w:t>
      </w:r>
    </w:p>
    <w:p>
      <w:pPr>
        <w:pStyle w:val="ListParagraph"/>
        <w:numPr>
          <w:ilvl w:val="0"/>
          <w:numId w:val="2"/>
        </w:numPr>
      </w:pPr>
      <w:r>
        <w:rPr>
          <w:sz w:val="22"/>
          <w:szCs w:val="22"/>
        </w:rPr>
        <w:t xml:space="preserve">Budget limited to existing infrastructure costs (no additional SaaS)</w:t>
      </w:r>
    </w:p>
    <w:p>
      <w:pPr>
        <w:pStyle w:val="ListParagraph"/>
        <w:numPr>
          <w:ilvl w:val="0"/>
          <w:numId w:val="2"/>
        </w:numPr>
      </w:pPr>
      <w:r>
        <w:rPr>
          <w:sz w:val="22"/>
          <w:szCs w:val="22"/>
        </w:rPr>
        <w:t xml:space="preserve">Development team is small (lean delivery approach)</w:t>
      </w:r>
    </w:p>
    <w:p>
      <w:pPr>
        <w:pStyle w:val="ListParagraph"/>
        <w:numPr>
          <w:ilvl w:val="0"/>
          <w:numId w:val="2"/>
        </w:numPr>
      </w:pPr>
      <w:r>
        <w:rPr>
          <w:sz w:val="22"/>
          <w:szCs w:val="22"/>
        </w:rPr>
        <w:t xml:space="preserve">Must maintain backward compatibility with existing Canvas data</w:t>
      </w:r>
    </w:p>
    <w:p>
      <w:pPr>
        <w:spacing w:after="200"/>
      </w:pPr>
    </w:p>
    <w:p>
      <w:pPr>
        <w:pStyle w:val="Heading2"/>
      </w:pPr>
      <w:r>
        <w:rPr>
          <w:b/>
          <w:bCs/>
        </w:rPr>
        <w:t xml:space="preserve">6.2 Assumptions</w:t>
      </w:r>
    </w:p>
    <w:p>
      <w:pPr>
        <w:pStyle w:val="ListParagraph"/>
        <w:numPr>
          <w:ilvl w:val="0"/>
          <w:numId w:val="2"/>
        </w:numPr>
      </w:pPr>
      <w:r>
        <w:rPr>
          <w:sz w:val="22"/>
          <w:szCs w:val="22"/>
        </w:rPr>
        <w:t xml:space="preserve">Canvas LMS API remains stable across minor version updates</w:t>
      </w:r>
    </w:p>
    <w:p>
      <w:pPr>
        <w:pStyle w:val="ListParagraph"/>
        <w:numPr>
          <w:ilvl w:val="0"/>
          <w:numId w:val="2"/>
        </w:numPr>
      </w:pPr>
      <w:r>
        <w:rPr>
          <w:sz w:val="22"/>
          <w:szCs w:val="22"/>
        </w:rPr>
        <w:t xml:space="preserve">Session cookie authentication will continue to be supported</w:t>
      </w:r>
    </w:p>
    <w:p>
      <w:pPr>
        <w:pStyle w:val="ListParagraph"/>
        <w:numPr>
          <w:ilvl w:val="0"/>
          <w:numId w:val="2"/>
        </w:numPr>
      </w:pPr>
      <w:r>
        <w:rPr>
          <w:sz w:val="22"/>
          <w:szCs w:val="22"/>
        </w:rPr>
        <w:t xml:space="preserve">Users have modern browsers (Chrome 100+, Firefox 100+, Safari 15+)</w:t>
      </w:r>
    </w:p>
    <w:p>
      <w:pPr>
        <w:pStyle w:val="ListParagraph"/>
        <w:numPr>
          <w:ilvl w:val="0"/>
          <w:numId w:val="2"/>
        </w:numPr>
      </w:pPr>
      <w:r>
        <w:rPr>
          <w:sz w:val="22"/>
          <w:szCs w:val="22"/>
        </w:rPr>
        <w:t xml:space="preserve">VPS has sufficient bandwidth for concurrent user load (500+ users)</w:t>
      </w:r>
    </w:p>
    <w:p>
      <w:pPr>
        <w:pStyle w:val="ListParagraph"/>
        <w:numPr>
          <w:ilvl w:val="0"/>
          <w:numId w:val="2"/>
        </w:numPr>
      </w:pPr>
      <w:r>
        <w:rPr>
          <w:sz w:val="22"/>
          <w:szCs w:val="22"/>
        </w:rPr>
        <w:t xml:space="preserve">SSL certificates via Let's Encrypt remain free and available</w:t>
      </w:r>
    </w:p>
    <w:p>
      <w:pPr>
        <w:pStyle w:val="ListParagraph"/>
        <w:numPr>
          <w:ilvl w:val="0"/>
          <w:numId w:val="2"/>
        </w:numPr>
      </w:pPr>
      <w:r>
        <w:rPr>
          <w:sz w:val="22"/>
          <w:szCs w:val="22"/>
        </w:rPr>
        <w:t xml:space="preserve">Instructure will not block custom frontend API access patterns</w:t>
      </w:r>
    </w:p>
    <w:p>
      <w:pPr>
        <w:spacing w:after="200"/>
      </w:pPr>
    </w:p>
    <w:p>
      <w:pPr>
        <w:pStyle w:val="Heading1"/>
      </w:pPr>
      <w:r>
        <w:rPr>
          <w:b/>
          <w:bCs/>
        </w:rPr>
        <w:t xml:space="preserve">7.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Current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Satisfaction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NPS survey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 TBD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Load Speed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Contentful Paint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600ms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567ms (GOOD)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 Coverage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features 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160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161 pages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availability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99.5%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Monitoring active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Tickets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UI-related tickets/month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 TBD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Adoption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active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80% of enrolled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Tracking active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Usage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session share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Responsive design live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Accessibility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WCAG 2.1 AA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critical violations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planned</w:t>
            </w:r>
          </w:p>
        </w:tc>
      </w:tr>
    </w:tbl>
    <w:p>
      <w:pPr>
        <w:spacing w:after="200"/>
      </w:pPr>
    </w:p>
    <w:p>
      <w:pPr>
        <w:pStyle w:val="Heading1"/>
      </w:pPr>
      <w:r>
        <w:rPr>
          <w:b/>
          <w:bCs/>
        </w:rPr>
        <w:t xml:space="preserve">8.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800"/>
        <w:gridCol w:w="200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Sponsor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Foundation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Director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Department Lead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Academic Director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Faculty Representative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Lead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Quality Assurance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ReDefiners BRD</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2026-03-27T12:33:28.982Z</dcterms:created>
  <dcterms:modified xsi:type="dcterms:W3CDTF">2026-03-27T12:33:28.983Z</dcterms:modified>
</cp:coreProperties>
</file>

<file path=docProps/custom.xml><?xml version="1.0" encoding="utf-8"?>
<Properties xmlns="http://schemas.openxmlformats.org/officeDocument/2006/custom-properties" xmlns:vt="http://schemas.openxmlformats.org/officeDocument/2006/docPropsVTypes"/>
</file>