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b/>
          <w:bCs/>
          <w:color w:val="163B32"/>
          <w:sz w:val="48"/>
          <w:szCs w:val="48"/>
        </w:rPr>
        <w:t xml:space="preserve">CHANGE MANAGEMENT
PLAN</w:t>
      </w:r>
    </w:p>
    <w:p>
      <w:pPr>
        <w:spacing w:after="100"/>
        <w:jc w:val="center"/>
      </w:pPr>
      <w:r>
        <w:rPr>
          <w:color w:val="0F4D61"/>
          <w:sz w:val="36"/>
          <w:szCs w:val="36"/>
        </w:rPr>
        <w:t xml:space="preserve">Transition &amp; Adoption Strategy</w:t>
      </w:r>
    </w:p>
    <w:p>
      <w:pPr>
        <w:spacing w:after="200"/>
      </w:pP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Version 1.0  |  March 27, 2026</w:t>
      </w: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ReDefiners Development Team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transition from Canvas default to ReDefiners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Timeline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4-week rollout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Approach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Phased deployment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Change Description</w:t>
      </w:r>
    </w:p>
    <w:p>
      <w:pPr>
        <w:spacing w:after="120"/>
      </w:pPr>
      <w:r>
        <w:rPr>
          <w:sz w:val="22"/>
          <w:szCs w:val="22"/>
        </w:rPr>
        <w:t xml:space="preserve">The ReDefiners LMS Frontend replaces the default Canvas LMS user interface with a custom React-based single-page application. This change affects all users who access the LMS through a web browser. The backend functionality, data, and API remain unchanged.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What Changes: </w:t>
      </w:r>
      <w:r>
        <w:rPr>
          <w:sz w:val="22"/>
          <w:szCs w:val="22"/>
        </w:rPr>
        <w:t xml:space="preserve">Visual design, navigation structure, page layout, theme options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What Stays the Same: </w:t>
      </w:r>
      <w:r>
        <w:rPr>
          <w:sz w:val="22"/>
          <w:szCs w:val="22"/>
        </w:rPr>
        <w:t xml:space="preserve">All data, grades, submissions, course content, API functionality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2. Impact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160"/>
        <w:gridCol w:w="32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Group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Level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Changes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 Needed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navigation, new visual design, theme options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Quick start guide, FAQ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Teachers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Medium-High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grading interface, content management layout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Training session, cheat sheet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admin dashboard, theme editor, monitoring tools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training, runbook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grading tools, discussion moderation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Training alongside teachers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Observers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Minor visual changes to grade 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Quick start guide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3. Rollout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0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1: Pilot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faculty + 50 students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 to pilot group, collect feedback, fix issues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2: Early Adopters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25% of users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Expand access, monitor performance, refine based on feedback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3: Majority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75% of users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deployment to most users, support desk ready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4: Full Rollout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100% of users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users migrated, legacy access removed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4. Communication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760"/>
        <w:gridCol w:w="2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weeks before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users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Announcement of upcoming UI change with preview screenshots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+ LMS announcement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week before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users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 highlight + training session schedule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+ calendar invite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Launch 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users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Go-live notification with quick start guide link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+ in-app banner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 post-launch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users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Feedback survey + known issues update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+ survey link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2 post-launch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users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FAQ update based on common questions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Knowledge base article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5. Training Plan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000"/>
        <w:gridCol w:w="14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Overview Tour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Video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Navigation, dashboard, theme switching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 Quick Start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 webinar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Submissions, grades, calendar, inbox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Teacher Workshop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Faculty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In-person/Zoom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Gradebook, SpeedGrader, content management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Deep Dive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 admins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Hands-on lab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management, monitoring, deployment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6. Resistance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Resistance 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Preference for old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Offer legacy access during transition period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Learning curve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Provide video tutorials and cheat sheets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Fear of data loss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Communicate that no data changes occur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Performance concerns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 performance benchmark results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Change fatigue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Emphasize benefits: speed, themes, mobile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B88A" w:sz="2" w:space="4"/>
      </w:pBdr>
      <w:tabs>
        <w:tab w:val="right" w:pos="9026"/>
      </w:tabs>
    </w:pPr>
    <w:r>
      <w:rPr>
        <w:i/>
        <w:iCs/>
        <w:color w:val="999999"/>
        <w:sz w:val="18"/>
        <w:szCs w:val="18"/>
      </w:rPr>
      <w:t xml:space="preserve">Change Management Plan</w:t>
    </w:r>
    <w:r>
      <w:rPr>
        <w:color w:val="999999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63B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4D6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2026-03-27T12:40:23.893Z</dcterms:created>
  <dcterms:modified xsi:type="dcterms:W3CDTF">2026-03-27T12:40:23.893Z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