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b/>
          <w:bCs/>
          <w:color w:val="163B32"/>
          <w:sz w:val="48"/>
          <w:szCs w:val="48"/>
        </w:rPr>
        <w:t xml:space="preserve">COMPLIANCE &amp;
GOVERNANCE REPORT</w:t>
      </w:r>
    </w:p>
    <w:p>
      <w:pPr>
        <w:spacing w:after="100"/>
        <w:jc w:val="center"/>
      </w:pPr>
      <w:r>
        <w:rPr>
          <w:color w:val="0F4D61"/>
          <w:sz w:val="36"/>
          <w:szCs w:val="36"/>
        </w:rPr>
        <w:t xml:space="preserve">Regulatory &amp; Standards Compliance</w:t>
      </w:r>
    </w:p>
    <w:p>
      <w:pPr>
        <w:spacing w:after="200"/>
      </w:pP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Version 1.0  |  March 27, 2026</w:t>
      </w: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ReDefiners Development Team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FERPA, WCAG 2.1, OWASP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March 27, 2026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Compliant with conditions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Compliance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FERPA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data privacy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Compliant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student data stored in frontend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WCAG 2.1 AA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Keyboard nav + ARIA labels implemented, full audit pending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OWASP Top 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security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Compliant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top 10 risks addressed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HTTPS/TLS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Transport security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Compliant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TLS 1.2/1.3, HSTS preload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GDPR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protection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US-based deployment, no EU data subjects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controls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audited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Infrastructure review complete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2. FERPA Compliance</w:t>
      </w:r>
    </w:p>
    <w:p>
      <w:pPr>
        <w:spacing w:after="120"/>
      </w:pPr>
      <w:r>
        <w:rPr>
          <w:sz w:val="22"/>
          <w:szCs w:val="22"/>
        </w:rPr>
        <w:t xml:space="preserve">The Family Educational Rights and Privacy Act (FERPA) protects the privacy of student education records. The ReDefiners frontend ensures FERPA compliance through: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student data stored in the frontend application (stateless SPA)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data remains in Canvas LMS PostgreSQL database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Role-based access control prevents unauthorized data access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HTTPS encryption for all data in transit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Session-based authentication with secure cookie handling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third-party analytics or tracking that would expose student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Audit logging via Canvas backend for all data access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3. OWASP Top 10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OWASP 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A01: Broken Access 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Mitigated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ProtectedRoute + AdminRoute guards, Canvas RBAC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A02: Cryptographic Failures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Mitigated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HTTPS-only, HSTS, secure cookies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A03: Injection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Mitigated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DOMPurify XSS prevention, Canvas input validation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A04: Insecure 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Mitigated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Decoupled architecture, no direct DB access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A05: Security Misconfiguration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Mitigated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CSP headers, X-Frame-Options, secure defaults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A06: Vulnerable Components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 audit, dependency updates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A07: Auth Failures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Mitigated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session management, CSRF tokens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A08: Data Integrity Failures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Mitigated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validates all mutations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A09: Logging Failures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audit logs, frontend console logging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A10: SSRF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Frontend-only, no server-side requests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4. Security Headers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43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Strict-Transport-Security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max-age=31536000; includeSubDomains; preload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A+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X-Frame-Options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SAMEORIGIN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X-Content-Type-Options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nosniff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X-XSS-Protection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1; mode=block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Content-Security-Policy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default-src 'self'; script-src 'self' 'unsafe-inline' cdn.tailwindcss.com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B+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Referrer-Policy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strict-origin-when-cross-origin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Permissions-Policy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camera=(), microphone=(), geolocation=(), payment=()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5. Data 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6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Control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PII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PostgreSQL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RBAC (enrolled users + admin)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PostgreSQL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(own) + Teacher + Admin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PostgreSQL + file system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Enrolled users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Logs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volumes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only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Restricted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 config files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DevOps only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SSL Certificates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Restricted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 /etc/letsencrypt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DevOps only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6. Governance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vulnerability scan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DevOps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Dependency audit (npm audit)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team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Access 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Quarterly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Penetration 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External vendor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Policy 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Semi-annually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Director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Backup verification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DevOps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SSL certificate 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 (automated)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Certbot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B88A" w:sz="2" w:space="4"/>
      </w:pBdr>
      <w:tabs>
        <w:tab w:val="right" w:pos="9026"/>
      </w:tabs>
    </w:pPr>
    <w:r>
      <w:rPr>
        <w:i/>
        <w:iCs/>
        <w:color w:val="999999"/>
        <w:sz w:val="18"/>
        <w:szCs w:val="18"/>
      </w:rPr>
      <w:t xml:space="preserve">Compliance Report</w:t>
    </w:r>
    <w:r>
      <w:rPr>
        <w:color w:val="999999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3B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4D6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2026-03-27T12:40:24.051Z</dcterms:created>
  <dcterms:modified xsi:type="dcterms:W3CDTF">2026-03-27T12:40:24.051Z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