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color w:val="434343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10 Demo 4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Ansible Loops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Implement loops through playbooks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one subsection,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Running playbook by implementing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 Ansible 2.2.3 is already installed in your lab. 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Running playbook by implementing loops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playbook file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with the name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loops.yaml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- hosts: webservers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tasks: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- name: loop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debug: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msg: "{{ item }}"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loop: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- one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- two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- name: with_items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debug: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msg: "{{ item }}"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with_items: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- one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- two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- name: with_indexed_items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debug: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msg: "{{ item.0 }} - {{ item.1 }}"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with_indexed_items: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- 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      - two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color w:val="407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given below to execute the playbook: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ansible-playbook loops.yaml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79197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75133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74180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ind w:left="-540" w:firstLine="0"/>
      <w:rPr/>
    </w:pP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9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364517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oBsG1jf56iBR4zC2HIdop9AsHw==">AMUW2mWmMZHWoKepZuBKD8sd1kBJELDiYT9aW53xw1i+8p8vfy2k9ZoR4T5vahv0l3J7Uaepzbn/+Adb3l9hsaOi606enX+to1BZmH2plTh9lln0t4HEfZYnl+1T/mZCvb00EulAULiQ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