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E147" w14:textId="373CABE9" w:rsidR="00722ADD" w:rsidRPr="00D22E2C" w:rsidRDefault="00CE115E" w:rsidP="00E02743">
      <w:pPr>
        <w:pStyle w:val="NoSpacing"/>
        <w:spacing w:line="480" w:lineRule="auto"/>
        <w:jc w:val="center"/>
        <w:rPr>
          <w:b/>
          <w:bCs/>
        </w:rPr>
      </w:pPr>
      <w:r w:rsidRPr="00D22E2C">
        <w:rPr>
          <w:b/>
          <w:bCs/>
        </w:rPr>
        <w:t>Pre-image and Collision Attacks on the SHA-1 Hashing Algorithm</w:t>
      </w:r>
    </w:p>
    <w:p w14:paraId="2D9BDE9D" w14:textId="3606312B" w:rsidR="00CE115E" w:rsidRDefault="00CE115E" w:rsidP="00E02743">
      <w:pPr>
        <w:pStyle w:val="NoSpacing"/>
        <w:spacing w:line="480" w:lineRule="auto"/>
        <w:jc w:val="center"/>
      </w:pPr>
      <w:r>
        <w:t>Stephen Howard</w:t>
      </w:r>
    </w:p>
    <w:p w14:paraId="2699176A" w14:textId="27CA128A" w:rsidR="00CE115E" w:rsidRDefault="00CE115E" w:rsidP="00E02743">
      <w:pPr>
        <w:pStyle w:val="NoSpacing"/>
        <w:spacing w:line="480" w:lineRule="auto"/>
        <w:ind w:firstLine="720"/>
      </w:pPr>
      <w:r>
        <w:t xml:space="preserve">A cryptographic hash function is an algorithm that maps data of </w:t>
      </w:r>
      <w:r w:rsidR="00D22E2C">
        <w:t>arbitrary</w:t>
      </w:r>
      <w:r>
        <w:t xml:space="preserve"> size</w:t>
      </w:r>
      <w:r w:rsidR="00451D8C">
        <w:t xml:space="preserve"> (</w:t>
      </w:r>
      <w:r w:rsidR="00101B32">
        <w:t>referred to as</w:t>
      </w:r>
      <w:r w:rsidR="00451D8C">
        <w:t xml:space="preserve"> the message)</w:t>
      </w:r>
      <w:r>
        <w:t xml:space="preserve"> to a</w:t>
      </w:r>
      <w:r w:rsidR="00FA15AE">
        <w:t>n integer representation (often called a hash value or a digest)</w:t>
      </w:r>
      <w:r>
        <w:t xml:space="preserve"> of a </w:t>
      </w:r>
      <w:r w:rsidR="004B7276">
        <w:t>predefined</w:t>
      </w:r>
      <w:r>
        <w:t xml:space="preserve"> size. </w:t>
      </w:r>
      <w:r w:rsidR="00FA15AE">
        <w:t xml:space="preserve">Ideally, this process is a one-way function, such that someone that has only the hash value cannot use </w:t>
      </w:r>
      <w:r w:rsidR="004B7276">
        <w:t>this value</w:t>
      </w:r>
      <w:r w:rsidR="00FA15AE">
        <w:t xml:space="preserve"> to determine the data that produced </w:t>
      </w:r>
      <w:r w:rsidR="004B7276">
        <w:t>it</w:t>
      </w:r>
      <w:r w:rsidR="00FA15AE">
        <w:t xml:space="preserve">. </w:t>
      </w:r>
      <w:r w:rsidR="00D22E2C">
        <w:t xml:space="preserve">Additionally, it should be computationally impossible for a user to find two </w:t>
      </w:r>
      <w:r w:rsidR="009F7EBC">
        <w:t>pieces of data</w:t>
      </w:r>
      <w:r w:rsidR="00D22E2C">
        <w:t xml:space="preserve"> that produce the exact same hash value.</w:t>
      </w:r>
    </w:p>
    <w:p w14:paraId="507AC22E" w14:textId="33D7FF0E" w:rsidR="00CE115E" w:rsidRDefault="00CE115E" w:rsidP="00E02743">
      <w:pPr>
        <w:pStyle w:val="NoSpacing"/>
        <w:spacing w:line="480" w:lineRule="auto"/>
        <w:ind w:firstLine="720"/>
      </w:pPr>
      <w:r>
        <w:t xml:space="preserve">SHA-1 is </w:t>
      </w:r>
      <w:r w:rsidR="00D6649B">
        <w:t>one of these</w:t>
      </w:r>
      <w:r>
        <w:t xml:space="preserve"> </w:t>
      </w:r>
      <w:r w:rsidR="00D6649B">
        <w:t xml:space="preserve">hash </w:t>
      </w:r>
      <w:r>
        <w:t>function</w:t>
      </w:r>
      <w:r w:rsidR="00D6649B">
        <w:t>s, and it</w:t>
      </w:r>
      <w:r>
        <w:t xml:space="preserve"> produces a 160-bit hash value </w:t>
      </w:r>
      <w:r w:rsidR="00D22E2C">
        <w:t>or digest</w:t>
      </w:r>
      <w:r w:rsidR="00451D8C">
        <w:t xml:space="preserve"> from a message</w:t>
      </w:r>
      <w:r>
        <w:t xml:space="preserve">. For many years, this algorithm was the standard for cryptographers. However, since 2005, SHA-1 has not been considered secure since some vulnerabilities have been found with it. </w:t>
      </w:r>
      <w:r w:rsidR="00D22E2C">
        <w:t>These</w:t>
      </w:r>
      <w:r>
        <w:t xml:space="preserve"> vulnerabilities </w:t>
      </w:r>
      <w:r w:rsidR="00D22E2C">
        <w:t>include</w:t>
      </w:r>
      <w:r>
        <w:t xml:space="preserve"> the relative ease of performing pre-image attacks and collision attacks against the algorithm.</w:t>
      </w:r>
      <w:r w:rsidR="00D22E2C">
        <w:t xml:space="preserve"> As an example of these vulnerabilities: Google announced they had performed a successful collision attack against SHA-1 in February 2017.</w:t>
      </w:r>
    </w:p>
    <w:p w14:paraId="1C7D168F" w14:textId="3D8BA24F" w:rsidR="00CE115E" w:rsidRDefault="00CE115E" w:rsidP="00E02743">
      <w:pPr>
        <w:pStyle w:val="NoSpacing"/>
        <w:spacing w:line="480" w:lineRule="auto"/>
        <w:ind w:firstLine="720"/>
      </w:pPr>
      <w:r>
        <w:t xml:space="preserve">Pre-image attacks refer to attacks where the attacker is given an existing hash output of </w:t>
      </w:r>
      <w:r w:rsidR="005D747E">
        <w:t>some data</w:t>
      </w:r>
      <w:r>
        <w:t>. The goal of the attacker is then to find a different piece of data that hashes to that same d</w:t>
      </w:r>
      <w:r w:rsidR="00451D8C">
        <w:t>igest</w:t>
      </w:r>
      <w:r>
        <w:t>.</w:t>
      </w:r>
      <w:r w:rsidR="00451D8C">
        <w:t xml:space="preserve"> The process for this</w:t>
      </w:r>
      <w:r w:rsidR="00C26609">
        <w:t xml:space="preserve"> attack</w:t>
      </w:r>
      <w:r w:rsidR="00451D8C">
        <w:t xml:space="preserve"> is usually to generate a digest on </w:t>
      </w:r>
      <w:r w:rsidR="0055643E">
        <w:t xml:space="preserve">some </w:t>
      </w:r>
      <w:r w:rsidR="00451D8C">
        <w:t xml:space="preserve">new data, </w:t>
      </w:r>
      <w:r w:rsidR="0055643E">
        <w:t>compare it to</w:t>
      </w:r>
      <w:r w:rsidR="00451D8C">
        <w:t xml:space="preserve"> the goal, and repeat until </w:t>
      </w:r>
      <w:r w:rsidR="0055643E">
        <w:t>a</w:t>
      </w:r>
      <w:r w:rsidR="00451D8C">
        <w:t xml:space="preserve"> new digest</w:t>
      </w:r>
      <w:r w:rsidR="0055643E">
        <w:t xml:space="preserve"> is found that</w:t>
      </w:r>
      <w:r w:rsidR="00451D8C">
        <w:t xml:space="preserve"> matches the goal. This process takes approximately 2</w:t>
      </w:r>
      <w:r w:rsidR="00451D8C" w:rsidRPr="00451D8C">
        <w:rPr>
          <w:vertAlign w:val="superscript"/>
        </w:rPr>
        <w:t>n</w:t>
      </w:r>
      <w:r w:rsidR="00451D8C">
        <w:t xml:space="preserve"> guesses, where n is the size of the digest, in bits (160 for SHA-1). For a full SHA-1 hash system, it would take on average 1.46 x 10</w:t>
      </w:r>
      <w:r w:rsidR="00451D8C">
        <w:rPr>
          <w:vertAlign w:val="superscript"/>
        </w:rPr>
        <w:t>48</w:t>
      </w:r>
      <w:r w:rsidR="00451D8C">
        <w:t xml:space="preserve"> attempts</w:t>
      </w:r>
      <w:r w:rsidR="00154038">
        <w:t xml:space="preserve"> for this attack to be successful</w:t>
      </w:r>
      <w:r w:rsidR="00451D8C">
        <w:t>.</w:t>
      </w:r>
    </w:p>
    <w:p w14:paraId="3D5F347F" w14:textId="47079EFB" w:rsidR="00451D8C" w:rsidRDefault="00451D8C" w:rsidP="00E02743">
      <w:pPr>
        <w:pStyle w:val="NoSpacing"/>
        <w:spacing w:line="480" w:lineRule="auto"/>
        <w:ind w:firstLine="720"/>
      </w:pPr>
      <w:r>
        <w:t xml:space="preserve">Collision attacks are attacks where the goal is to find any two messages that </w:t>
      </w:r>
      <w:r w:rsidR="00154038">
        <w:t>map to</w:t>
      </w:r>
      <w:r>
        <w:t xml:space="preserve"> the same hash value. This is done by generating a hash of some data, and then storing th</w:t>
      </w:r>
      <w:r w:rsidR="00483A1B">
        <w:t>at</w:t>
      </w:r>
      <w:r>
        <w:t xml:space="preserve"> hash</w:t>
      </w:r>
      <w:r w:rsidR="00483A1B">
        <w:t xml:space="preserve"> value</w:t>
      </w:r>
      <w:r>
        <w:t>. Another hash is then generated, at which point it is compared with all stored hash values.</w:t>
      </w:r>
      <w:r w:rsidR="00483A1B">
        <w:t xml:space="preserve"> If it doesn’t match any digests in the store,</w:t>
      </w:r>
      <w:r w:rsidR="008F5FA7">
        <w:t xml:space="preserve"> it is stored, and</w:t>
      </w:r>
      <w:r w:rsidR="00483A1B">
        <w:t xml:space="preserve"> </w:t>
      </w:r>
      <w:r w:rsidR="008F5FA7">
        <w:t>the process is repeated.</w:t>
      </w:r>
      <w:r>
        <w:t xml:space="preserve"> </w:t>
      </w:r>
      <w:r w:rsidR="00483A1B">
        <w:t>Once any</w:t>
      </w:r>
      <w:r>
        <w:t xml:space="preserve"> match is found, the attack is successful. This is significantly easier computationally than a pre-image attack, since in this instance the </w:t>
      </w:r>
      <w:r>
        <w:lastRenderedPageBreak/>
        <w:t xml:space="preserve">goal is to find </w:t>
      </w:r>
      <w:r>
        <w:rPr>
          <w:i/>
          <w:iCs/>
        </w:rPr>
        <w:t>any</w:t>
      </w:r>
      <w:r>
        <w:t xml:space="preserve"> match, not a specific one. On average, this attack requires 2</w:t>
      </w:r>
      <w:r>
        <w:rPr>
          <w:vertAlign w:val="superscript"/>
        </w:rPr>
        <w:t>n/2</w:t>
      </w:r>
      <w:r>
        <w:t xml:space="preserve"> attempts. So, for the 160-bit SHA-1 system, it would take</w:t>
      </w:r>
      <w:r w:rsidR="000718AB">
        <w:t xml:space="preserve"> around</w:t>
      </w:r>
      <w:r>
        <w:t xml:space="preserve"> 1.21 x 10</w:t>
      </w:r>
      <w:r>
        <w:rPr>
          <w:vertAlign w:val="superscript"/>
        </w:rPr>
        <w:t>24</w:t>
      </w:r>
      <w:r>
        <w:t xml:space="preserve"> guesses.</w:t>
      </w:r>
    </w:p>
    <w:p w14:paraId="052CFBFB" w14:textId="0EB66F3E" w:rsidR="00040016" w:rsidRDefault="008D46E3" w:rsidP="004B3F03">
      <w:pPr>
        <w:pStyle w:val="NoSpacing"/>
        <w:spacing w:line="480" w:lineRule="auto"/>
        <w:ind w:firstLine="720"/>
      </w:pPr>
      <w:r>
        <w:t>For both of these attacks, the difficulty of a successful attack increases exponentially with the size of the digest generated. To test this</w:t>
      </w:r>
      <w:r w:rsidR="00F61873">
        <w:t xml:space="preserve"> idea</w:t>
      </w:r>
      <w:r>
        <w:t xml:space="preserve">, I ran 50 experiments </w:t>
      </w:r>
      <w:r w:rsidR="00040016">
        <w:t>for</w:t>
      </w:r>
      <w:r>
        <w:t xml:space="preserve"> 8</w:t>
      </w:r>
      <w:r w:rsidR="00040016">
        <w:t xml:space="preserve">-, 10-, 12-, 14-, 16-, 18-, 20-, and 22-bit digests for both pre-image attacks and collision attacks. </w:t>
      </w:r>
      <w:r w:rsidR="000A663F">
        <w:t xml:space="preserve">These smaller digests were obtained by finding a SHA-1 hash </w:t>
      </w:r>
      <w:r w:rsidR="006A2F10">
        <w:t xml:space="preserve">for the string and then truncating the bits to the requested length. </w:t>
      </w:r>
      <w:r w:rsidR="00040016">
        <w:t>My experimental results, along with the theoretical results, are shown in the table below</w:t>
      </w:r>
      <w:r w:rsidR="00E02743">
        <w:t>.</w:t>
      </w:r>
    </w:p>
    <w:tbl>
      <w:tblPr>
        <w:tblW w:w="9645" w:type="dxa"/>
        <w:tblLook w:val="04A0" w:firstRow="1" w:lastRow="0" w:firstColumn="1" w:lastColumn="0" w:noHBand="0" w:noVBand="1"/>
      </w:tblPr>
      <w:tblGrid>
        <w:gridCol w:w="1287"/>
        <w:gridCol w:w="2080"/>
        <w:gridCol w:w="2081"/>
        <w:gridCol w:w="2097"/>
        <w:gridCol w:w="2100"/>
      </w:tblGrid>
      <w:tr w:rsidR="00040016" w:rsidRPr="00040016" w14:paraId="73B86989" w14:textId="77777777" w:rsidTr="00040016">
        <w:trPr>
          <w:trHeight w:val="300"/>
        </w:trPr>
        <w:tc>
          <w:tcPr>
            <w:tcW w:w="96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7E211" w14:textId="77777777" w:rsidR="00040016" w:rsidRPr="00040016" w:rsidRDefault="00040016" w:rsidP="00040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>Average # of Attempts Until Successful Attack</w:t>
            </w:r>
          </w:p>
        </w:tc>
      </w:tr>
      <w:tr w:rsidR="00040016" w:rsidRPr="00040016" w14:paraId="5006DF0C" w14:textId="77777777" w:rsidTr="00040016">
        <w:trPr>
          <w:trHeight w:val="300"/>
        </w:trPr>
        <w:tc>
          <w:tcPr>
            <w:tcW w:w="128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4B591ED" w14:textId="77777777" w:rsidR="00040016" w:rsidRPr="00040016" w:rsidRDefault="00040016" w:rsidP="00040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>Digest Length (n)</w:t>
            </w:r>
          </w:p>
        </w:tc>
        <w:tc>
          <w:tcPr>
            <w:tcW w:w="41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44ABECF7" w14:textId="77777777" w:rsidR="00040016" w:rsidRPr="00040016" w:rsidRDefault="00040016" w:rsidP="00040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>Pre-image</w:t>
            </w:r>
          </w:p>
        </w:tc>
        <w:tc>
          <w:tcPr>
            <w:tcW w:w="41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12AE9E98" w14:textId="77777777" w:rsidR="00040016" w:rsidRPr="00040016" w:rsidRDefault="00040016" w:rsidP="00040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>Collision</w:t>
            </w:r>
          </w:p>
        </w:tc>
      </w:tr>
      <w:tr w:rsidR="00040016" w:rsidRPr="00040016" w14:paraId="13C1163C" w14:textId="77777777" w:rsidTr="00040016">
        <w:trPr>
          <w:trHeight w:val="360"/>
        </w:trPr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A7A12F" w14:textId="77777777" w:rsidR="00040016" w:rsidRPr="00040016" w:rsidRDefault="00040016" w:rsidP="000400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3DF4909" w14:textId="77777777" w:rsidR="00040016" w:rsidRPr="00040016" w:rsidRDefault="00040016" w:rsidP="00040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>Experimental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801CA9F" w14:textId="77777777" w:rsidR="00040016" w:rsidRPr="00040016" w:rsidRDefault="00040016" w:rsidP="00040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>Theoretical (2</w:t>
            </w:r>
            <w:r w:rsidRPr="00040016">
              <w:rPr>
                <w:rFonts w:ascii="Calibri" w:eastAsia="Times New Roman" w:hAnsi="Calibri" w:cs="Calibri"/>
                <w:color w:val="000000"/>
                <w:vertAlign w:val="superscript"/>
              </w:rPr>
              <w:t>n</w:t>
            </w:r>
            <w:r w:rsidRPr="0004001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7C6DBE6" w14:textId="77777777" w:rsidR="00040016" w:rsidRPr="00040016" w:rsidRDefault="00040016" w:rsidP="00040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>Experimental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2EEF1DA" w14:textId="77777777" w:rsidR="00040016" w:rsidRPr="00040016" w:rsidRDefault="00040016" w:rsidP="00040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>Theoretical (2</w:t>
            </w:r>
            <w:r w:rsidRPr="00040016">
              <w:rPr>
                <w:rFonts w:ascii="Calibri" w:eastAsia="Times New Roman" w:hAnsi="Calibri" w:cs="Calibri"/>
                <w:color w:val="000000"/>
                <w:vertAlign w:val="superscript"/>
              </w:rPr>
              <w:t>n/2</w:t>
            </w:r>
            <w:r w:rsidRPr="0004001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040016" w:rsidRPr="00040016" w14:paraId="72D873FA" w14:textId="77777777" w:rsidTr="00040016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7EADB2" w14:textId="77777777" w:rsidR="00040016" w:rsidRPr="00040016" w:rsidRDefault="00040016" w:rsidP="00040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A84D2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   293.74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62935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   256.00 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A396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      20.10 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B4FFD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      16.00 </w:t>
            </w:r>
          </w:p>
        </w:tc>
      </w:tr>
      <w:tr w:rsidR="00040016" w:rsidRPr="00040016" w14:paraId="2DD95391" w14:textId="77777777" w:rsidTr="00040016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E627D7" w14:textId="77777777" w:rsidR="00040016" w:rsidRPr="00040016" w:rsidRDefault="00040016" w:rsidP="00040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6435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   685.96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1DE4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1,024.00 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FAF77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      39.78 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109E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      32.00 </w:t>
            </w:r>
          </w:p>
        </w:tc>
      </w:tr>
      <w:tr w:rsidR="00040016" w:rsidRPr="00040016" w14:paraId="0AECBFAE" w14:textId="77777777" w:rsidTr="00040016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67B72C" w14:textId="77777777" w:rsidR="00040016" w:rsidRPr="00040016" w:rsidRDefault="00040016" w:rsidP="00040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D01F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4,553.50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F3DDC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4,096.00 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4D97D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      81.36 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95EE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      64.00 </w:t>
            </w:r>
          </w:p>
        </w:tc>
      </w:tr>
      <w:tr w:rsidR="00040016" w:rsidRPr="00040016" w14:paraId="7CC6F321" w14:textId="77777777" w:rsidTr="00040016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821F1F" w14:textId="77777777" w:rsidR="00040016" w:rsidRPr="00040016" w:rsidRDefault="00040016" w:rsidP="00040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C8D9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18,402.38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5E57A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16,384.00 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5F72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   153.08 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885C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   128.00 </w:t>
            </w:r>
          </w:p>
        </w:tc>
      </w:tr>
      <w:tr w:rsidR="00040016" w:rsidRPr="00040016" w14:paraId="056B3043" w14:textId="77777777" w:rsidTr="00040016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6A44A7" w14:textId="77777777" w:rsidR="00040016" w:rsidRPr="00040016" w:rsidRDefault="00040016" w:rsidP="00040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AAB0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45,061.12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EAB2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65,536.00 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7074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   330.76 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D80D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   256.00 </w:t>
            </w:r>
          </w:p>
        </w:tc>
      </w:tr>
      <w:tr w:rsidR="00040016" w:rsidRPr="00040016" w14:paraId="7572F0DA" w14:textId="77777777" w:rsidTr="00040016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271D07" w14:textId="77777777" w:rsidR="00040016" w:rsidRPr="00040016" w:rsidRDefault="00040016" w:rsidP="00040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19992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331,986.88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D2B9E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262,144.00 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FB02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   708.36 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2E75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   512.00 </w:t>
            </w:r>
          </w:p>
        </w:tc>
      </w:tr>
      <w:tr w:rsidR="00040016" w:rsidRPr="00040016" w14:paraId="147C0EAF" w14:textId="77777777" w:rsidTr="00040016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8EDDCB" w14:textId="77777777" w:rsidR="00040016" w:rsidRPr="00040016" w:rsidRDefault="00040016" w:rsidP="00040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FA5A9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1,064,303.42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3A54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1,048,576.00 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1A4FA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1,234.12 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B30E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1,024.00 </w:t>
            </w:r>
          </w:p>
        </w:tc>
      </w:tr>
      <w:tr w:rsidR="00040016" w:rsidRPr="00040016" w14:paraId="4F2C8B94" w14:textId="77777777" w:rsidTr="00040016">
        <w:trPr>
          <w:trHeight w:val="30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4C06F1" w14:textId="77777777" w:rsidR="00040016" w:rsidRPr="00040016" w:rsidRDefault="00040016" w:rsidP="000400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354AB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3,718,136.20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40D8C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4,194,304.00 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7D23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2,432.34 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59A48" w14:textId="77777777" w:rsidR="00040016" w:rsidRPr="00040016" w:rsidRDefault="00040016" w:rsidP="000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0016">
              <w:rPr>
                <w:rFonts w:ascii="Calibri" w:eastAsia="Times New Roman" w:hAnsi="Calibri" w:cs="Calibri"/>
                <w:color w:val="000000"/>
              </w:rPr>
              <w:t xml:space="preserve">                                  2,048.00 </w:t>
            </w:r>
          </w:p>
        </w:tc>
      </w:tr>
    </w:tbl>
    <w:p w14:paraId="4ECCF5F3" w14:textId="563D2C65" w:rsidR="00040016" w:rsidRDefault="00040016" w:rsidP="00040016">
      <w:pPr>
        <w:pStyle w:val="NoSpacing"/>
        <w:spacing w:line="360" w:lineRule="auto"/>
      </w:pPr>
    </w:p>
    <w:p w14:paraId="03DCFE3B" w14:textId="7B23F913" w:rsidR="00E02743" w:rsidRPr="004B3F03" w:rsidRDefault="00E02743" w:rsidP="004A5EB0">
      <w:pPr>
        <w:pStyle w:val="NoSpacing"/>
        <w:spacing w:line="480" w:lineRule="auto"/>
      </w:pPr>
      <w:r>
        <w:tab/>
        <w:t xml:space="preserve">Due to the nature of this experiment, it is very possible that any one trial will take substantially more, or fewer, attempts than is predicted. </w:t>
      </w:r>
      <w:r w:rsidR="004B3F03">
        <w:t>However, this is balanced out quite nicely by running 50 experiments of each attack type/digest length combination. As we can see in the table, the experimental results are remarkabl</w:t>
      </w:r>
      <w:r w:rsidR="00E37D43">
        <w:t>y</w:t>
      </w:r>
      <w:r w:rsidR="004B3F03">
        <w:t xml:space="preserve"> close to what we had expected (the ‘theoretical’ columns). For the pre-image attacks, the experimental data is higher than anticipated at some digest sizes, and lower at others. For the collision attacks, the experimental data is consistently</w:t>
      </w:r>
      <w:r w:rsidR="00771F0F">
        <w:t xml:space="preserve"> slightly</w:t>
      </w:r>
      <w:r w:rsidR="004B3F03">
        <w:t xml:space="preserve"> higher along all digest sizes, however </w:t>
      </w:r>
      <w:r w:rsidR="004B3F03">
        <w:lastRenderedPageBreak/>
        <w:t>the variance is not enough to raise concerns. We can confidently say that the theoretical speed estimates (2</w:t>
      </w:r>
      <w:r w:rsidR="004B3F03">
        <w:rPr>
          <w:vertAlign w:val="superscript"/>
        </w:rPr>
        <w:t>n</w:t>
      </w:r>
      <w:r w:rsidR="004B3F03">
        <w:t xml:space="preserve"> for pre-image, 2</w:t>
      </w:r>
      <w:r w:rsidR="004B3F03">
        <w:rPr>
          <w:vertAlign w:val="superscript"/>
        </w:rPr>
        <w:t>n/2</w:t>
      </w:r>
      <w:r w:rsidR="004B3F03">
        <w:t xml:space="preserve"> for collision) are accurate representations of reality. Below, </w:t>
      </w:r>
      <w:r w:rsidR="00E509EF">
        <w:t>these results are graphed on a logarithmic scale</w:t>
      </w:r>
      <w:r w:rsidR="004A5EB0">
        <w:t xml:space="preserve">. </w:t>
      </w:r>
    </w:p>
    <w:p w14:paraId="436F6218" w14:textId="6DACA774" w:rsidR="00E02743" w:rsidRDefault="00E02743" w:rsidP="004A5EB0">
      <w:pPr>
        <w:pStyle w:val="NoSpacing"/>
        <w:spacing w:line="480" w:lineRule="auto"/>
      </w:pPr>
      <w:r>
        <w:rPr>
          <w:noProof/>
        </w:rPr>
        <w:drawing>
          <wp:inline distT="0" distB="0" distL="0" distR="0" wp14:anchorId="2FD5A383" wp14:editId="6A99F4A6">
            <wp:extent cx="6067425" cy="336232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78640D1-77BB-444B-872A-C0FF99420C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A0ED94" w14:textId="49F36E29" w:rsidR="004A5EB0" w:rsidRDefault="004A5EB0" w:rsidP="00B43136">
      <w:pPr>
        <w:pStyle w:val="NoSpacing"/>
        <w:spacing w:line="480" w:lineRule="auto"/>
        <w:ind w:firstLine="720"/>
      </w:pPr>
      <w:r>
        <w:t xml:space="preserve">In conclusion, </w:t>
      </w:r>
      <w:r w:rsidR="00B43136">
        <w:t xml:space="preserve">one of the most important aspects of a hashing algorithm is </w:t>
      </w:r>
      <w:r w:rsidR="0036514E">
        <w:t xml:space="preserve">the size of the output digest. Simply put, the larger the digest size, the more possible outputs there are, so the </w:t>
      </w:r>
      <w:r w:rsidR="00EC141D">
        <w:t xml:space="preserve">likelihood of two </w:t>
      </w:r>
      <w:r w:rsidR="005E04A4">
        <w:t>inputs</w:t>
      </w:r>
      <w:r w:rsidR="00EC141D">
        <w:t xml:space="preserve"> having the same output is diminished. </w:t>
      </w:r>
      <w:r w:rsidR="002D15BC">
        <w:t>My</w:t>
      </w:r>
      <w:r w:rsidR="005261F4">
        <w:t xml:space="preserve"> results strongly confirm this concept.</w:t>
      </w:r>
      <w:r w:rsidR="00E61B0E">
        <w:t xml:space="preserve"> This explains why most cryptographical hash functions introduced after SHA-1 </w:t>
      </w:r>
      <w:r w:rsidR="00E2085A">
        <w:t>produce larger digests.</w:t>
      </w:r>
    </w:p>
    <w:p w14:paraId="04A191FF" w14:textId="1B0F662B" w:rsidR="005C536A" w:rsidRDefault="005C536A" w:rsidP="005C536A">
      <w:pPr>
        <w:pStyle w:val="NoSpacing"/>
        <w:spacing w:line="480" w:lineRule="auto"/>
      </w:pPr>
    </w:p>
    <w:p w14:paraId="38CF4D66" w14:textId="0C33E9E8" w:rsidR="005C536A" w:rsidRPr="005C536A" w:rsidRDefault="005C536A" w:rsidP="005C536A">
      <w:pPr>
        <w:pStyle w:val="NoSpacing"/>
        <w:spacing w:line="480" w:lineRule="auto"/>
        <w:rPr>
          <w:b/>
          <w:bCs/>
        </w:rPr>
      </w:pPr>
      <w:r>
        <w:rPr>
          <w:b/>
          <w:bCs/>
        </w:rPr>
        <w:t>Reviewed by Ed Ringger, BYU ACME graduate</w:t>
      </w:r>
      <w:r w:rsidR="00D2466D">
        <w:rPr>
          <w:b/>
          <w:bCs/>
        </w:rPr>
        <w:t xml:space="preserve"> (CS minor)</w:t>
      </w:r>
    </w:p>
    <w:sectPr w:rsidR="005C536A" w:rsidRPr="005C53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BCE4F" w14:textId="77777777" w:rsidR="00C22553" w:rsidRDefault="00C22553" w:rsidP="00C5207E">
      <w:pPr>
        <w:spacing w:after="0" w:line="240" w:lineRule="auto"/>
      </w:pPr>
      <w:r>
        <w:separator/>
      </w:r>
    </w:p>
  </w:endnote>
  <w:endnote w:type="continuationSeparator" w:id="0">
    <w:p w14:paraId="6CFA595E" w14:textId="77777777" w:rsidR="00C22553" w:rsidRDefault="00C22553" w:rsidP="00C52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10018" w14:textId="77777777" w:rsidR="00C22553" w:rsidRDefault="00C22553" w:rsidP="00C5207E">
      <w:pPr>
        <w:spacing w:after="0" w:line="240" w:lineRule="auto"/>
      </w:pPr>
      <w:r>
        <w:separator/>
      </w:r>
    </w:p>
  </w:footnote>
  <w:footnote w:type="continuationSeparator" w:id="0">
    <w:p w14:paraId="35AAA991" w14:textId="77777777" w:rsidR="00C22553" w:rsidRDefault="00C22553" w:rsidP="00C52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3889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B0137C" w14:textId="743C56BF" w:rsidR="00C5207E" w:rsidRDefault="00C5207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B04D86" w14:textId="77777777" w:rsidR="00C5207E" w:rsidRDefault="00C520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5E"/>
    <w:rsid w:val="00040016"/>
    <w:rsid w:val="000401AD"/>
    <w:rsid w:val="000718AB"/>
    <w:rsid w:val="000A663F"/>
    <w:rsid w:val="00101B32"/>
    <w:rsid w:val="00154038"/>
    <w:rsid w:val="0019518F"/>
    <w:rsid w:val="00296C89"/>
    <w:rsid w:val="002D15BC"/>
    <w:rsid w:val="0036514E"/>
    <w:rsid w:val="00451D8C"/>
    <w:rsid w:val="00483A1B"/>
    <w:rsid w:val="004A5EB0"/>
    <w:rsid w:val="004B3F03"/>
    <w:rsid w:val="004B7276"/>
    <w:rsid w:val="005261F4"/>
    <w:rsid w:val="0055643E"/>
    <w:rsid w:val="005C536A"/>
    <w:rsid w:val="005D747E"/>
    <w:rsid w:val="005E04A4"/>
    <w:rsid w:val="006A2F10"/>
    <w:rsid w:val="006D17AB"/>
    <w:rsid w:val="00722ADD"/>
    <w:rsid w:val="00771F0F"/>
    <w:rsid w:val="008D46E3"/>
    <w:rsid w:val="008F5FA7"/>
    <w:rsid w:val="009F7EBC"/>
    <w:rsid w:val="00B43136"/>
    <w:rsid w:val="00C22553"/>
    <w:rsid w:val="00C26609"/>
    <w:rsid w:val="00C5207E"/>
    <w:rsid w:val="00CE115E"/>
    <w:rsid w:val="00D22E2C"/>
    <w:rsid w:val="00D2466D"/>
    <w:rsid w:val="00D6649B"/>
    <w:rsid w:val="00E02743"/>
    <w:rsid w:val="00E2085A"/>
    <w:rsid w:val="00E37D43"/>
    <w:rsid w:val="00E509EF"/>
    <w:rsid w:val="00E61B0E"/>
    <w:rsid w:val="00E70271"/>
    <w:rsid w:val="00EC141D"/>
    <w:rsid w:val="00F61873"/>
    <w:rsid w:val="00FA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6D0A"/>
  <w15:chartTrackingRefBased/>
  <w15:docId w15:val="{05C40377-3ACF-4D44-87D0-90BB2553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15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2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07E"/>
  </w:style>
  <w:style w:type="paragraph" w:styleId="Footer">
    <w:name w:val="footer"/>
    <w:basedOn w:val="Normal"/>
    <w:link w:val="FooterChar"/>
    <w:uiPriority w:val="99"/>
    <w:unhideWhenUsed/>
    <w:rsid w:val="00C52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07E"/>
  </w:style>
  <w:style w:type="character" w:styleId="CommentReference">
    <w:name w:val="annotation reference"/>
    <w:basedOn w:val="DefaultParagraphFont"/>
    <w:uiPriority w:val="99"/>
    <w:semiHidden/>
    <w:unhideWhenUsed/>
    <w:rsid w:val="00E702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2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2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2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2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Theoretical</a:t>
            </a:r>
            <a:r>
              <a:rPr lang="en-US" baseline="0"/>
              <a:t> vs Experimental Log # of Attempts Required for Successful Hash Attacks on SHA-1 Digests of Varying Lengths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Sheet1!$B$2:$B$3</c:f>
              <c:strCache>
                <c:ptCount val="2"/>
                <c:pt idx="0">
                  <c:v>Pre-image</c:v>
                </c:pt>
                <c:pt idx="1">
                  <c:v>Experimental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Sheet1!$A$4:$A$11</c:f>
              <c:numCache>
                <c:formatCode>General</c:formatCode>
                <c:ptCount val="8"/>
                <c:pt idx="0">
                  <c:v>8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22</c:v>
                </c:pt>
              </c:numCache>
            </c:numRef>
          </c:cat>
          <c:val>
            <c:numRef>
              <c:f>Sheet1!$B$4:$B$11</c:f>
              <c:numCache>
                <c:formatCode>_(* #,##0.00_);_(* \(#,##0.00\);_(* "-"??_);_(@_)</c:formatCode>
                <c:ptCount val="8"/>
                <c:pt idx="0">
                  <c:v>293.74</c:v>
                </c:pt>
                <c:pt idx="1">
                  <c:v>685.96</c:v>
                </c:pt>
                <c:pt idx="2">
                  <c:v>4553.5</c:v>
                </c:pt>
                <c:pt idx="3">
                  <c:v>18402.38</c:v>
                </c:pt>
                <c:pt idx="4">
                  <c:v>45061.120000000003</c:v>
                </c:pt>
                <c:pt idx="5">
                  <c:v>331986.88</c:v>
                </c:pt>
                <c:pt idx="6">
                  <c:v>1064303.42</c:v>
                </c:pt>
                <c:pt idx="7">
                  <c:v>3718136.2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D3-4FAA-94E5-FC2077996F28}"/>
            </c:ext>
          </c:extLst>
        </c:ser>
        <c:ser>
          <c:idx val="1"/>
          <c:order val="1"/>
          <c:tx>
            <c:strRef>
              <c:f>Sheet1!$C$2:$C$3</c:f>
              <c:strCache>
                <c:ptCount val="2"/>
                <c:pt idx="0">
                  <c:v>Pre-image</c:v>
                </c:pt>
                <c:pt idx="1">
                  <c:v>Theoretical (2n)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Sheet1!$A$4:$A$11</c:f>
              <c:numCache>
                <c:formatCode>General</c:formatCode>
                <c:ptCount val="8"/>
                <c:pt idx="0">
                  <c:v>8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22</c:v>
                </c:pt>
              </c:numCache>
            </c:numRef>
          </c:cat>
          <c:val>
            <c:numRef>
              <c:f>Sheet1!$C$4:$C$11</c:f>
              <c:numCache>
                <c:formatCode>_(* #,##0.00_);_(* \(#,##0.00\);_(* "-"??_);_(@_)</c:formatCode>
                <c:ptCount val="8"/>
                <c:pt idx="0">
                  <c:v>256</c:v>
                </c:pt>
                <c:pt idx="1">
                  <c:v>1024</c:v>
                </c:pt>
                <c:pt idx="2">
                  <c:v>4096</c:v>
                </c:pt>
                <c:pt idx="3">
                  <c:v>16384</c:v>
                </c:pt>
                <c:pt idx="4">
                  <c:v>65536</c:v>
                </c:pt>
                <c:pt idx="5">
                  <c:v>262144</c:v>
                </c:pt>
                <c:pt idx="6">
                  <c:v>1048576</c:v>
                </c:pt>
                <c:pt idx="7">
                  <c:v>4194304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D3-4FAA-94E5-FC2077996F28}"/>
            </c:ext>
          </c:extLst>
        </c:ser>
        <c:ser>
          <c:idx val="2"/>
          <c:order val="2"/>
          <c:tx>
            <c:strRef>
              <c:f>Sheet1!$D$2:$D$3</c:f>
              <c:strCache>
                <c:ptCount val="2"/>
                <c:pt idx="0">
                  <c:v>Collision</c:v>
                </c:pt>
                <c:pt idx="1">
                  <c:v>Experimental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Sheet1!$A$4:$A$11</c:f>
              <c:numCache>
                <c:formatCode>General</c:formatCode>
                <c:ptCount val="8"/>
                <c:pt idx="0">
                  <c:v>8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22</c:v>
                </c:pt>
              </c:numCache>
            </c:numRef>
          </c:cat>
          <c:val>
            <c:numRef>
              <c:f>Sheet1!$D$4:$D$11</c:f>
              <c:numCache>
                <c:formatCode>_(* #,##0.00_);_(* \(#,##0.00\);_(* "-"??_);_(@_)</c:formatCode>
                <c:ptCount val="8"/>
                <c:pt idx="0">
                  <c:v>20.100000000000001</c:v>
                </c:pt>
                <c:pt idx="1">
                  <c:v>39.78</c:v>
                </c:pt>
                <c:pt idx="2">
                  <c:v>81.36</c:v>
                </c:pt>
                <c:pt idx="3">
                  <c:v>153.08000000000001</c:v>
                </c:pt>
                <c:pt idx="4">
                  <c:v>330.76</c:v>
                </c:pt>
                <c:pt idx="5">
                  <c:v>708.36</c:v>
                </c:pt>
                <c:pt idx="6">
                  <c:v>1234.1199999999999</c:v>
                </c:pt>
                <c:pt idx="7">
                  <c:v>2432.34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D3-4FAA-94E5-FC2077996F28}"/>
            </c:ext>
          </c:extLst>
        </c:ser>
        <c:ser>
          <c:idx val="3"/>
          <c:order val="3"/>
          <c:tx>
            <c:strRef>
              <c:f>Sheet1!$E$2:$E$3</c:f>
              <c:strCache>
                <c:ptCount val="2"/>
                <c:pt idx="0">
                  <c:v>Collision</c:v>
                </c:pt>
                <c:pt idx="1">
                  <c:v>Theoretical (2n/2)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Sheet1!$A$4:$A$11</c:f>
              <c:numCache>
                <c:formatCode>General</c:formatCode>
                <c:ptCount val="8"/>
                <c:pt idx="0">
                  <c:v>8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22</c:v>
                </c:pt>
              </c:numCache>
            </c:numRef>
          </c:cat>
          <c:val>
            <c:numRef>
              <c:f>Sheet1!$E$4:$E$11</c:f>
              <c:numCache>
                <c:formatCode>_(* #,##0.00_);_(* \(#,##0.00\);_(* "-"??_);_(@_)</c:formatCode>
                <c:ptCount val="8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0D3-4FAA-94E5-FC2077996F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5378848"/>
        <c:axId val="1755380512"/>
      </c:lineChart>
      <c:catAx>
        <c:axId val="1755378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Digest</a:t>
                </a:r>
                <a:r>
                  <a:rPr lang="en-US" baseline="0"/>
                  <a:t> Length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5380512"/>
        <c:crosses val="autoZero"/>
        <c:auto val="1"/>
        <c:lblAlgn val="ctr"/>
        <c:lblOffset val="100"/>
        <c:noMultiLvlLbl val="0"/>
      </c:catAx>
      <c:valAx>
        <c:axId val="175538051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Attempts Until</a:t>
                </a:r>
                <a:r>
                  <a:rPr lang="en-US" baseline="0"/>
                  <a:t> Collision (Log)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5378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Howard</dc:creator>
  <cp:keywords/>
  <dc:description/>
  <cp:lastModifiedBy>Stephen Howard</cp:lastModifiedBy>
  <cp:revision>34</cp:revision>
  <dcterms:created xsi:type="dcterms:W3CDTF">2021-09-17T19:07:00Z</dcterms:created>
  <dcterms:modified xsi:type="dcterms:W3CDTF">2021-09-17T22:15:00Z</dcterms:modified>
</cp:coreProperties>
</file>