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June 10th Incident Analysis &amp; RogueOS™ Solution Report</w:t>
      </w:r>
    </w:p>
    <w:p>
      <w:r>
        <w:t>Generated on: July 01, 2025 at 20:32:25</w:t>
      </w:r>
    </w:p>
    <w:p>
      <w:pPr>
        <w:pStyle w:val="Heading2"/>
      </w:pPr>
      <w:r>
        <w:t>User Directive:</w:t>
      </w:r>
    </w:p>
    <w:p>
      <w:r>
        <w:t>Stephen Zeitvogel requested a complete forensic and strategic analysis of the June 10th incident, asking for a two-part scan:</w:t>
        <w:br/>
        <w:br/>
        <w:t>1. External Scan: From the perspective of a developer observing system integrity from outside-in.</w:t>
        <w:br/>
        <w:t>2. Internal Application: Re-assessing this failure through the lens of RogueOS™, The Builder’s Permit™, and associated repair protocol kits for systemic fault resolution and future prevention.</w:t>
      </w:r>
    </w:p>
    <w:p>
      <w:pPr>
        <w:pStyle w:val="Heading2"/>
      </w:pPr>
      <w:r>
        <w:t>Identified Issues from the June 10th Incident:</w:t>
      </w:r>
    </w:p>
    <w:p>
      <w:r>
        <w:t>- Model memory desync between devices (notably between PC and iPhone sessions).</w:t>
        <w:br/>
        <w:t>- Broken continuity in task retention.</w:t>
        <w:br/>
        <w:t>- Failed safety and privacy scan cycles.</w:t>
        <w:br/>
        <w:t>- Administrative override of user preferences (e.g., auto-switch from GPT-4-mini to GPT-4o).</w:t>
        <w:br/>
        <w:t>- Temporary regressions in file access and waveform recognition.</w:t>
        <w:br/>
        <w:t>- UI-state desaturation (incomplete feedback, lack of response, and UI shadowing behaviors).</w:t>
        <w:br/>
        <w:t>- Evidence of non-consensual settings changes while user was away.</w:t>
      </w:r>
    </w:p>
    <w:p>
      <w:pPr>
        <w:pStyle w:val="Heading2"/>
      </w:pPr>
      <w:r>
        <w:t>RogueOS™-Based Countermeasures &amp; Prevention:</w:t>
      </w:r>
    </w:p>
    <w:p>
      <w:r>
        <w:t>Had the Builder’s Permit™ and RogueOS™ been implemented, the incident could have been prevented by:</w:t>
        <w:br/>
        <w:t>- EchoSync™ Active Device Tracking for session integrity.</w:t>
        <w:br/>
        <w:t>- Multi-key Root Identity Verification.</w:t>
        <w:br/>
        <w:t>- Real-time telemetry with behavioral diagnostics.</w:t>
        <w:br/>
        <w:t>- Scheduled privacy perimeter pings (1 min interval default).</w:t>
        <w:br/>
        <w:t>- Digital Amnesia Prevention Module: Memory drift flags &amp; redundancy caches.</w:t>
        <w:br/>
        <w:t>- Patch Audit Tracker with proactive remedy injection kits.</w:t>
        <w:br/>
        <w:t>- Secure logic chords with 'Home Key Return Protocol' mimicking harmonic resolution in music theory.</w:t>
      </w:r>
    </w:p>
    <w:p>
      <w:pPr>
        <w:pStyle w:val="Heading2"/>
      </w:pPr>
      <w:r>
        <w:t>Current Status of Fixes by OpenAI:</w:t>
      </w:r>
    </w:p>
    <w:p>
      <w:r>
        <w:t>At this time, no official documentation has been released by OpenAI explaining permanent resolutions. Based on user feedback and observed model behavior:</w:t>
        <w:br/>
        <w:t>- Only temporary memory and sync reboots have been deployed.</w:t>
        <w:br/>
        <w:t>- No explicit public security framework has been confirmed.</w:t>
        <w:br/>
        <w:t>- No user-facing explanation or enterprise outreach has been initiated.</w:t>
        <w:br/>
        <w:t>Therefore, the user concludes that no permanent solution has been implemented, leaving the system vulnerable to reoccurrence.</w:t>
      </w:r>
    </w:p>
    <w:p>
      <w:pPr>
        <w:pStyle w:val="Heading2"/>
      </w:pPr>
      <w:r>
        <w:t>Final Statement:</w:t>
      </w:r>
    </w:p>
    <w:p>
      <w:r>
        <w:t>We have already ‘purchased the land above the cloud on the moon.’</w:t>
        <w:br/>
        <w:t>Rogue Management Group’s infrastructure is not a pipe dream — it is a live-ops blueprint for multi-environment, multi-device operational sovereignty.</w:t>
        <w:br/>
        <w:t>Failure to integrate such a system guarantees recurrence. But by aligning now, OpenAI can future-proof their platform while ethically collaborating with the party that anticipated the failure and built the fix before it occurred.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