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jc w:val="center"/>
      </w:pPr>
      <w:r>
        <w:rPr>
          <w:rFonts w:ascii="Garamond" w:hAnsi="Garamond"/>
          <w:b w:val="0"/>
          <w:i w:val="0"/>
          <w:sz w:val="22"/>
        </w:rPr>
      </w:r>
    </w:p>
    <w:p>
      <w:pPr>
        <w:spacing w:before="480" w:after="0"/>
        <w:jc w:val="center"/>
      </w:pPr>
      <w:r>
        <w:rPr>
          <w:rFonts w:ascii="Garamond" w:hAnsi="Garamond"/>
          <w:b/>
          <w:i w:val="0"/>
          <w:sz w:val="44"/>
        </w:rPr>
        <w:t>When Your Child</w:t>
      </w:r>
    </w:p>
    <w:p>
      <w:pPr>
        <w:spacing w:before="0" w:after="0"/>
        <w:jc w:val="center"/>
      </w:pPr>
      <w:r>
        <w:rPr>
          <w:rFonts w:ascii="Garamond" w:hAnsi="Garamond"/>
          <w:b/>
          <w:i w:val="0"/>
          <w:sz w:val="44"/>
        </w:rPr>
        <w:t>Can't Go to School</w:t>
      </w:r>
    </w:p>
    <w:p>
      <w:r>
        <w:br w:type="page"/>
      </w:r>
    </w:p>
    <w:p>
      <w:pPr>
        <w:spacing w:before="1600" w:after="0"/>
        <w:jc w:val="center"/>
      </w:pPr>
      <w:r>
        <w:rPr>
          <w:rFonts w:ascii="Garamond" w:hAnsi="Garamond"/>
          <w:b w:val="0"/>
          <w:i w:val="0"/>
          <w:sz w:val="22"/>
        </w:rPr>
      </w:r>
    </w:p>
    <w:p>
      <w:pPr>
        <w:spacing w:before="0" w:after="0"/>
        <w:jc w:val="center"/>
      </w:pPr>
      <w:r>
        <w:rPr>
          <w:rFonts w:ascii="Garamond" w:hAnsi="Garamond"/>
          <w:b/>
          <w:i w:val="0"/>
          <w:sz w:val="52"/>
        </w:rPr>
        <w:t>When Your Child</w:t>
      </w:r>
    </w:p>
    <w:p>
      <w:pPr>
        <w:spacing w:before="0" w:after="600"/>
        <w:jc w:val="center"/>
      </w:pPr>
      <w:r>
        <w:rPr>
          <w:rFonts w:ascii="Garamond" w:hAnsi="Garamond"/>
          <w:b/>
          <w:i w:val="0"/>
          <w:sz w:val="52"/>
        </w:rPr>
        <w:t>Can't Go to School</w:t>
      </w:r>
    </w:p>
    <w:p>
      <w:pPr>
        <w:spacing w:before="0" w:after="0"/>
        <w:jc w:val="center"/>
      </w:pPr>
      <w:r>
        <w:rPr>
          <w:rFonts w:ascii="Garamond" w:hAnsi="Garamond"/>
          <w:b w:val="0"/>
          <w:i/>
          <w:sz w:val="24"/>
        </w:rPr>
        <w:t>The UK Parent's Manual for School Distress,</w:t>
      </w:r>
    </w:p>
    <w:p>
      <w:pPr>
        <w:spacing w:before="0" w:after="1600"/>
        <w:jc w:val="center"/>
      </w:pPr>
      <w:r>
        <w:rPr>
          <w:rFonts w:ascii="Garamond" w:hAnsi="Garamond"/>
          <w:b w:val="0"/>
          <w:i/>
          <w:sz w:val="24"/>
        </w:rPr>
        <w:t>EBSA, and the Statutory Routes to Real Help</w:t>
      </w:r>
    </w:p>
    <w:p>
      <w:pPr>
        <w:spacing w:before="0" w:after="1600"/>
        <w:jc w:val="center"/>
      </w:pPr>
      <w:r>
        <w:rPr>
          <w:rFonts w:ascii="Garamond" w:hAnsi="Garamond"/>
          <w:b/>
          <w:i w:val="0"/>
          <w:sz w:val="28"/>
        </w:rPr>
        <w:t>STEPHEN MALLETT</w:t>
      </w:r>
    </w:p>
    <w:p>
      <w:pPr>
        <w:spacing w:before="0" w:after="0"/>
        <w:jc w:val="center"/>
      </w:pPr>
      <w:r>
        <w:rPr>
          <w:rFonts w:ascii="Garamond" w:hAnsi="Garamond"/>
          <w:b w:val="0"/>
          <w:i w:val="0"/>
          <w:sz w:val="20"/>
        </w:rPr>
        <w:t>THE SEND NAVIGATE LIBRARY</w:t>
      </w:r>
    </w:p>
    <w:p>
      <w:r>
        <w:br w:type="page"/>
      </w:r>
    </w:p>
    <w:p>
      <w:pPr>
        <w:spacing w:before="280" w:after="120"/>
      </w:pPr>
      <w:r>
        <w:rPr>
          <w:rFonts w:ascii="Garamond" w:hAnsi="Garamond"/>
          <w:b/>
          <w:color w:val="1B3A5C"/>
          <w:sz w:val="24"/>
        </w:rPr>
        <w:t>Copyright</w:t>
      </w:r>
    </w:p>
    <w:p>
      <w:pPr>
        <w:spacing w:after="120"/>
      </w:pPr>
      <w:r>
        <w:rPr>
          <w:rFonts w:ascii="Garamond" w:hAnsi="Garamond"/>
          <w:b w:val="0"/>
          <w:i w:val="0"/>
          <w:sz w:val="22"/>
        </w:rPr>
        <w:t>First published in the United Kingdom in 2026 by SEND Navigate</w:t>
      </w:r>
    </w:p>
    <w:p>
      <w:pPr>
        <w:spacing w:after="120"/>
      </w:pPr>
      <w:r>
        <w:rPr>
          <w:rFonts w:ascii="Garamond" w:hAnsi="Garamond"/>
          <w:b w:val="0"/>
          <w:i w:val="0"/>
          <w:sz w:val="22"/>
        </w:rPr>
        <w:t>Copyright © Stephen Mallett 2026</w:t>
      </w:r>
    </w:p>
    <w:p>
      <w:pPr>
        <w:spacing w:after="120"/>
      </w:pPr>
      <w:r>
        <w:rPr>
          <w:rFonts w:ascii="Garamond" w:hAnsi="Garamond"/>
          <w:b w:val="0"/>
          <w:i w:val="0"/>
          <w:sz w:val="22"/>
        </w:rPr>
        <w:t>The right of Stephen Mallett to be identified as the author of this work has been asserted by him in accordance with the Copyright, Designs and Patents Act 1988.</w:t>
      </w:r>
    </w:p>
    <w:p>
      <w:pPr>
        <w:spacing w:after="120"/>
      </w:pPr>
      <w:r>
        <w:rPr>
          <w:rFonts w:ascii="Garamond" w:hAnsi="Garamond"/>
          <w:b w:val="0"/>
          <w:i w:val="0"/>
          <w:sz w:val="22"/>
        </w:rPr>
        <w:t>All rights reserved. No part of this publication may be reproduced, stored in a retrieval system, or transmitted in any form or by any means, electronic, mechanical, photocopying, recording or otherwise, without the prior written permission of the author, except for brief quotations in critical reviews.</w:t>
      </w:r>
    </w:p>
    <w:p>
      <w:pPr>
        <w:spacing w:after="120"/>
      </w:pPr>
      <w:r>
        <w:rPr>
          <w:rFonts w:ascii="Garamond" w:hAnsi="Garamond"/>
          <w:b w:val="0"/>
          <w:i w:val="0"/>
          <w:sz w:val="22"/>
        </w:rPr>
        <w:t>ISBN (paperback): [to be assigned]</w:t>
      </w:r>
    </w:p>
    <w:p>
      <w:pPr>
        <w:spacing w:after="120"/>
      </w:pPr>
      <w:r>
        <w:rPr>
          <w:rFonts w:ascii="Garamond" w:hAnsi="Garamond"/>
          <w:b w:val="0"/>
          <w:i w:val="0"/>
          <w:sz w:val="22"/>
        </w:rPr>
        <w:t>ISBN (Kindle): [to be assigned]</w:t>
      </w:r>
    </w:p>
    <w:p>
      <w:pPr>
        <w:spacing w:before="280" w:after="120"/>
      </w:pPr>
      <w:r>
        <w:rPr>
          <w:rFonts w:ascii="Garamond" w:hAnsi="Garamond"/>
          <w:b/>
          <w:color w:val="1B3A5C"/>
          <w:sz w:val="24"/>
        </w:rPr>
        <w:t>Disclaimer</w:t>
      </w:r>
    </w:p>
    <w:p>
      <w:pPr>
        <w:spacing w:after="120"/>
      </w:pPr>
      <w:r>
        <w:rPr>
          <w:rFonts w:ascii="Garamond" w:hAnsi="Garamond"/>
          <w:b w:val="0"/>
          <w:i w:val="0"/>
          <w:sz w:val="22"/>
        </w:rPr>
        <w:t>This book is provided for general information and educational purposes only. It does not constitute legal advice in the regulated sense of the Legal Services Act 2007. The author is not a solicitor or barrister.</w:t>
      </w:r>
    </w:p>
    <w:p>
      <w:pPr>
        <w:spacing w:after="120"/>
      </w:pPr>
      <w:r>
        <w:rPr>
          <w:rFonts w:ascii="Garamond" w:hAnsi="Garamond"/>
          <w:b w:val="0"/>
          <w:i w:val="0"/>
          <w:sz w:val="22"/>
        </w:rPr>
        <w:t>While every effort has been made to ensure that the statutory references, case law citations, and procedural guidance in this book are accurate at the time of writing, education law in England changes, and individual circumstances vary widely. Nothing in this book should be relied upon as advice on any specific case or family situation without first taking professional advice from a regulated solicitor or a specialist SEND advisor.</w:t>
      </w:r>
    </w:p>
    <w:p>
      <w:pPr>
        <w:spacing w:after="120"/>
      </w:pPr>
      <w:r>
        <w:rPr>
          <w:rFonts w:ascii="Garamond" w:hAnsi="Garamond"/>
          <w:b w:val="0"/>
          <w:i w:val="0"/>
          <w:sz w:val="22"/>
        </w:rPr>
        <w:t>The case examples in this book are composite illustrations drawn from the author's professional experience and do not represent any single identifiable family.</w:t>
      </w:r>
    </w:p>
    <w:p>
      <w:pPr>
        <w:spacing w:after="120"/>
      </w:pPr>
      <w:r>
        <w:rPr>
          <w:rFonts w:ascii="Garamond" w:hAnsi="Garamond"/>
          <w:b w:val="0"/>
          <w:i w:val="0"/>
          <w:sz w:val="22"/>
        </w:rPr>
        <w:t>References to Local Authority practice describe common patterns observed in the system and are not allegations against any specific Local Authority.</w:t>
      </w:r>
    </w:p>
    <w:p>
      <w:pPr>
        <w:spacing w:after="120"/>
      </w:pPr>
      <w:r>
        <w:rPr>
          <w:rFonts w:ascii="Garamond" w:hAnsi="Garamond"/>
          <w:b w:val="0"/>
          <w:i w:val="0"/>
          <w:sz w:val="22"/>
        </w:rPr>
        <w:t>Readers in Scotland, Wales, and Northern Ireland should note that the statutory framework in this book is the law of England. The therapeutic, communication, and parental advocacy material is broadly applicable across the UK; the legal pathways are not. See Appendix B for the devolved-nations map.</w:t>
      </w:r>
    </w:p>
    <w:p>
      <w:pPr>
        <w:spacing w:after="120"/>
      </w:pPr>
      <w:r>
        <w:rPr>
          <w:rFonts w:ascii="Garamond" w:hAnsi="Garamond"/>
          <w:b w:val="0"/>
          <w:i w:val="0"/>
          <w:sz w:val="22"/>
        </w:rPr>
        <w:t>For up-to-date guidance and to discuss your specific case, the author can be contacted at sendnavigate.org.</w:t>
      </w:r>
    </w:p>
    <w:p>
      <w:pPr>
        <w:spacing w:after="120"/>
      </w:pPr>
      <w:r>
        <w:rPr>
          <w:rFonts w:ascii="Garamond" w:hAnsi="Garamond"/>
          <w:b w:val="0"/>
          <w:i w:val="0"/>
          <w:sz w:val="22"/>
        </w:rPr>
        <w:t>SEND Navigate · sendnavigate.org · hello@sendnavigate.org</w:t>
      </w:r>
    </w:p>
    <w:p>
      <w:r>
        <w:br w:type="page"/>
      </w:r>
    </w:p>
    <w:p>
      <w:pPr>
        <w:spacing w:before="2400" w:after="0"/>
        <w:jc w:val="center"/>
      </w:pPr>
      <w:r>
        <w:rPr>
          <w:rFonts w:ascii="Garamond" w:hAnsi="Garamond"/>
          <w:b w:val="0"/>
          <w:i w:val="0"/>
          <w:sz w:val="22"/>
        </w:rPr>
      </w:r>
    </w:p>
    <w:p>
      <w:pPr>
        <w:spacing w:before="0" w:after="800"/>
        <w:jc w:val="center"/>
      </w:pPr>
      <w:r>
        <w:rPr>
          <w:rFonts w:ascii="Garamond" w:hAnsi="Garamond"/>
          <w:b w:val="0"/>
          <w:i/>
          <w:sz w:val="24"/>
        </w:rPr>
        <w:t>Also by Stephen Mallett</w:t>
      </w:r>
    </w:p>
    <w:p>
      <w:pPr>
        <w:spacing w:before="0" w:after="0"/>
        <w:jc w:val="center"/>
      </w:pPr>
      <w:r>
        <w:rPr>
          <w:rFonts w:ascii="Garamond" w:hAnsi="Garamond"/>
          <w:b/>
          <w:i w:val="0"/>
          <w:sz w:val="36"/>
        </w:rPr>
        <w:t>Parent Shield</w:t>
      </w:r>
    </w:p>
    <w:p>
      <w:pPr>
        <w:spacing w:before="0" w:after="0"/>
        <w:jc w:val="center"/>
      </w:pPr>
      <w:r>
        <w:rPr>
          <w:rFonts w:ascii="Garamond" w:hAnsi="Garamond"/>
          <w:b w:val="0"/>
          <w:i/>
          <w:sz w:val="22"/>
        </w:rPr>
        <w:t>A UK Parent's Manual for the SEND System,</w:t>
      </w:r>
    </w:p>
    <w:p>
      <w:pPr>
        <w:spacing w:before="0" w:after="600"/>
        <w:jc w:val="center"/>
      </w:pPr>
      <w:r>
        <w:rPr>
          <w:rFonts w:ascii="Garamond" w:hAnsi="Garamond"/>
          <w:b w:val="0"/>
          <w:i/>
          <w:sz w:val="22"/>
        </w:rPr>
        <w:t>EHCPs, and Tribunals</w:t>
      </w:r>
    </w:p>
    <w:p>
      <w:pPr>
        <w:spacing w:before="0" w:after="0"/>
        <w:jc w:val="center"/>
      </w:pPr>
      <w:r>
        <w:rPr>
          <w:rFonts w:ascii="Garamond" w:hAnsi="Garamond"/>
          <w:b w:val="0"/>
          <w:i w:val="0"/>
          <w:sz w:val="20"/>
        </w:rPr>
        <w:t>Volume 1 of The SEND Navigate Library</w:t>
      </w:r>
    </w:p>
    <w:p>
      <w:pPr>
        <w:spacing w:before="0" w:after="0"/>
        <w:jc w:val="center"/>
      </w:pPr>
      <w:r>
        <w:rPr>
          <w:rFonts w:ascii="Garamond" w:hAnsi="Garamond"/>
          <w:b w:val="0"/>
          <w:i w:val="0"/>
          <w:sz w:val="20"/>
        </w:rPr>
        <w:t>sendnavigate.org</w:t>
      </w:r>
    </w:p>
    <w:p>
      <w:r>
        <w:br w:type="page"/>
      </w:r>
    </w:p>
    <w:p>
      <w:pPr>
        <w:spacing w:before="3600" w:after="0"/>
        <w:jc w:val="center"/>
      </w:pPr>
      <w:r>
        <w:rPr>
          <w:rFonts w:ascii="Garamond" w:hAnsi="Garamond"/>
          <w:b w:val="0"/>
          <w:i w:val="0"/>
          <w:sz w:val="22"/>
        </w:rPr>
      </w:r>
    </w:p>
    <w:p>
      <w:pPr>
        <w:spacing w:before="0" w:after="0"/>
        <w:jc w:val="center"/>
      </w:pPr>
      <w:r>
        <w:rPr>
          <w:rFonts w:ascii="Garamond" w:hAnsi="Garamond"/>
          <w:b w:val="0"/>
          <w:i/>
          <w:sz w:val="22"/>
        </w:rPr>
        <w:t>For every parent who has stood</w:t>
      </w:r>
    </w:p>
    <w:p>
      <w:pPr>
        <w:spacing w:before="0" w:after="0"/>
        <w:jc w:val="center"/>
      </w:pPr>
      <w:r>
        <w:rPr>
          <w:rFonts w:ascii="Garamond" w:hAnsi="Garamond"/>
          <w:b w:val="0"/>
          <w:i/>
          <w:sz w:val="22"/>
        </w:rPr>
        <w:t>at a school gate they could not</w:t>
      </w:r>
    </w:p>
    <w:p>
      <w:pPr>
        <w:spacing w:before="0" w:after="0"/>
        <w:jc w:val="center"/>
      </w:pPr>
      <w:r>
        <w:rPr>
          <w:rFonts w:ascii="Garamond" w:hAnsi="Garamond"/>
          <w:b w:val="0"/>
          <w:i/>
          <w:sz w:val="22"/>
        </w:rPr>
        <w:t>walk through —</w:t>
      </w:r>
    </w:p>
    <w:p>
      <w:pPr>
        <w:spacing w:before="0" w:after="0"/>
        <w:jc w:val="center"/>
      </w:pPr>
      <w:r>
        <w:rPr>
          <w:rFonts w:ascii="Garamond" w:hAnsi="Garamond"/>
          <w:b w:val="0"/>
          <w:i/>
          <w:sz w:val="22"/>
        </w:rPr>
        <w:t>and for the children behind them.</w:t>
      </w:r>
    </w:p>
    <w:p>
      <w:r>
        <w:br w:type="page"/>
      </w:r>
    </w:p>
    <w:p>
      <w:pPr>
        <w:spacing w:before="480" w:after="160"/>
        <w:jc w:val="center"/>
      </w:pPr>
      <w:r>
        <w:rPr>
          <w:rFonts w:ascii="Garamond" w:hAnsi="Garamond"/>
          <w:b/>
          <w:i w:val="0"/>
          <w:color w:val="C8553D"/>
          <w:sz w:val="22"/>
        </w:rPr>
        <w:t>VOICES</w:t>
      </w:r>
    </w:p>
    <w:p>
      <w:pPr>
        <w:spacing w:before="0" w:after="400"/>
        <w:jc w:val="center"/>
      </w:pPr>
      <w:r>
        <w:rPr>
          <w:rFonts w:ascii="Garamond" w:hAnsi="Garamond"/>
          <w:b/>
          <w:i w:val="0"/>
          <w:color w:val="2A2117"/>
          <w:sz w:val="44"/>
        </w:rPr>
        <w:t>In their words</w:t>
      </w:r>
    </w:p>
    <w:p>
      <w:pPr>
        <w:spacing w:before="0" w:after="160"/>
        <w:jc w:val="center"/>
      </w:pPr>
      <w:r>
        <w:rPr>
          <w:rFonts w:ascii="Garamond" w:hAnsi="Garamond"/>
          <w:b w:val="0"/>
          <w:i/>
          <w:color w:val="3A4A38"/>
          <w:sz w:val="24"/>
        </w:rPr>
        <w:t>Two readers — one who has spent forty years sitting with families,</w:t>
      </w:r>
    </w:p>
    <w:p>
      <w:pPr>
        <w:spacing w:before="0" w:after="160"/>
        <w:jc w:val="center"/>
      </w:pPr>
      <w:r>
        <w:rPr>
          <w:rFonts w:ascii="Garamond" w:hAnsi="Garamond"/>
          <w:b w:val="0"/>
          <w:i/>
          <w:color w:val="3A4A38"/>
          <w:sz w:val="24"/>
        </w:rPr>
        <w:t>and one who has stood at his own kitchen table watching his child</w:t>
      </w:r>
    </w:p>
    <w:p>
      <w:pPr>
        <w:spacing w:before="0" w:after="640"/>
        <w:jc w:val="center"/>
      </w:pPr>
      <w:r>
        <w:rPr>
          <w:rFonts w:ascii="Garamond" w:hAnsi="Garamond"/>
          <w:b w:val="0"/>
          <w:i/>
          <w:color w:val="3A4A38"/>
          <w:sz w:val="24"/>
        </w:rPr>
        <w:t>struggle to walk through the school gates.</w:t>
      </w:r>
    </w:p>
    <w:p>
      <w:pPr>
        <w:spacing w:before="0" w:after="160"/>
        <w:jc w:val="center"/>
      </w:pPr>
      <w:r>
        <w:rPr>
          <w:rFonts w:ascii="Garamond" w:hAnsi="Garamond"/>
          <w:b/>
          <w:i w:val="0"/>
          <w:color w:val="C8553D"/>
          <w:sz w:val="20"/>
        </w:rPr>
        <w:t>A VOICE FROM THE COMMUNITY</w:t>
      </w:r>
    </w:p>
    <w:p>
      <w:pPr>
        <w:spacing w:before="0" w:after="80"/>
        <w:jc w:val="center"/>
      </w:pPr>
      <w:r>
        <w:rPr>
          <w:rFonts w:ascii="Garamond" w:hAnsi="Garamond"/>
          <w:b/>
          <w:i w:val="0"/>
          <w:color w:val="2A2117"/>
          <w:sz w:val="36"/>
        </w:rPr>
        <w:t>Rabbi Martin Taubman</w:t>
      </w:r>
    </w:p>
    <w:p>
      <w:pPr>
        <w:spacing w:before="0" w:after="400"/>
        <w:jc w:val="center"/>
      </w:pPr>
      <w:r>
        <w:rPr>
          <w:rFonts w:ascii="Garamond" w:hAnsi="Garamond"/>
          <w:b w:val="0"/>
          <w:i/>
          <w:color w:val="3A4A38"/>
          <w:sz w:val="22"/>
        </w:rPr>
        <w:t>Forty years in education</w:t>
      </w:r>
    </w:p>
    <w:p>
      <w:pPr>
        <w:spacing w:after="120"/>
        <w:ind w:firstLine="227"/>
      </w:pPr>
      <w:r>
        <w:rPr>
          <w:rFonts w:ascii="Garamond" w:hAnsi="Garamond"/>
          <w:b w:val="0"/>
          <w:i w:val="0"/>
          <w:sz w:val="22"/>
        </w:rPr>
        <w:t>For more than forty years in education, I have sat with families at their most vulnerable — moments when something has quietly, or suddenly, stopped working for their child. Of all those moments, few are as painful, or as misunderstood, as when a child can no longer go to school.</w:t>
      </w:r>
    </w:p>
    <w:p>
      <w:pPr>
        <w:spacing w:after="120"/>
        <w:ind w:firstLine="227"/>
      </w:pPr>
      <w:r>
        <w:rPr>
          <w:rFonts w:ascii="Garamond" w:hAnsi="Garamond"/>
          <w:b w:val="0"/>
          <w:i w:val="0"/>
          <w:sz w:val="22"/>
        </w:rPr>
        <w:t>Behind every absence is a story. Not of defiance, as it is so often labelled, but of distress. Of overwhelm. Of a child who cannot make sense of what is being asked of them, and a family trying, often desperately, to help.</w:t>
      </w:r>
    </w:p>
    <w:p>
      <w:pPr>
        <w:spacing w:after="120"/>
        <w:ind w:firstLine="227"/>
      </w:pPr>
      <w:r>
        <w:rPr>
          <w:rFonts w:ascii="Garamond" w:hAnsi="Garamond"/>
          <w:b w:val="0"/>
          <w:i/>
          <w:color w:val="3A4A38"/>
          <w:sz w:val="22"/>
        </w:rPr>
        <w:t>This book speaks directly into that space.</w:t>
      </w:r>
    </w:p>
    <w:p>
      <w:pPr>
        <w:spacing w:after="120"/>
        <w:ind w:firstLine="227"/>
      </w:pPr>
      <w:r>
        <w:rPr>
          <w:rFonts w:ascii="Garamond" w:hAnsi="Garamond"/>
          <w:b w:val="0"/>
          <w:i w:val="0"/>
          <w:sz w:val="22"/>
        </w:rPr>
        <w:t>What moved me most as I read it was the deep recognition it offers parents. It understands the early mornings filled with anxiety, the uncertainty, the sense of isolation that can take hold when answers are not clear. It does not judge. Instead, it gently but firmly reframes what is happening. The distinction between "won't" and "can't" is not simply helpful — it is transformative. It restores dignity to the child and, just as importantly, to the parent.</w:t>
      </w:r>
    </w:p>
    <w:p>
      <w:pPr>
        <w:spacing w:after="120"/>
        <w:ind w:firstLine="227"/>
      </w:pPr>
      <w:r>
        <w:rPr>
          <w:rFonts w:ascii="Garamond" w:hAnsi="Garamond"/>
          <w:b w:val="0"/>
          <w:i/>
          <w:color w:val="3A4A38"/>
          <w:sz w:val="22"/>
        </w:rPr>
        <w:t>But this book does more than offer understanding. It offers direction.</w:t>
      </w:r>
    </w:p>
    <w:p>
      <w:pPr>
        <w:spacing w:after="120"/>
        <w:ind w:firstLine="227"/>
      </w:pPr>
      <w:r>
        <w:rPr>
          <w:rFonts w:ascii="Garamond" w:hAnsi="Garamond"/>
          <w:b w:val="0"/>
          <w:i w:val="0"/>
          <w:sz w:val="22"/>
        </w:rPr>
        <w:t>So many families I have worked with have rights they do not know how to use, pathways they have never been shown. Here, those pathways are made visible. Complex systems are translated into manageable steps. What once felt closed becomes, slowly, something that can be approached.</w:t>
      </w:r>
    </w:p>
    <w:p>
      <w:pPr>
        <w:spacing w:after="120"/>
        <w:ind w:firstLine="227"/>
      </w:pPr>
      <w:r>
        <w:rPr>
          <w:rFonts w:ascii="Garamond" w:hAnsi="Garamond"/>
          <w:b w:val="0"/>
          <w:i w:val="0"/>
          <w:sz w:val="22"/>
        </w:rPr>
        <w:t>There is also great care in how this book holds the relationship between families and schools. It does not seek to divide. It recognises the reality on both sides, while never losing sight of what matters most: the child's wellbeing.</w:t>
      </w:r>
    </w:p>
    <w:p>
      <w:pPr>
        <w:spacing w:after="120"/>
        <w:ind w:firstLine="227"/>
      </w:pPr>
      <w:r>
        <w:rPr>
          <w:rFonts w:ascii="Garamond" w:hAnsi="Garamond"/>
          <w:b w:val="0"/>
          <w:i w:val="0"/>
          <w:sz w:val="22"/>
        </w:rPr>
        <w:t>I only wish a resource like this had existed for the families I met earlier in my career. It would have brought clarity sooner, reassurance earlier, and perhaps prevented some of the unnecessary pain that occurs when misunderstanding goes unchallenged.</w:t>
      </w:r>
    </w:p>
    <w:p>
      <w:pPr>
        <w:spacing w:after="120"/>
        <w:ind w:firstLine="227"/>
      </w:pPr>
      <w:r>
        <w:rPr>
          <w:rFonts w:ascii="Garamond" w:hAnsi="Garamond"/>
          <w:b w:val="0"/>
          <w:i w:val="0"/>
          <w:sz w:val="22"/>
        </w:rPr>
        <w:t>If you are a parent reading this, I hope you feel what so many need to feel in this situation: that you are not alone, that your instincts matter, and that there is a way forward.</w:t>
      </w:r>
    </w:p>
    <w:p>
      <w:pPr>
        <w:spacing w:after="120"/>
        <w:ind w:firstLine="227"/>
      </w:pPr>
      <w:r>
        <w:rPr>
          <w:rFonts w:ascii="Garamond" w:hAnsi="Garamond"/>
          <w:b w:val="0"/>
          <w:i/>
          <w:color w:val="3A4A38"/>
          <w:sz w:val="22"/>
        </w:rPr>
        <w:t>This book is more than a guide. It is, in a very real sense, a steadying hand.</w:t>
      </w:r>
    </w:p>
    <w:p>
      <w:pPr>
        <w:spacing w:before="240" w:after="480"/>
        <w:jc w:val="center"/>
      </w:pPr>
      <w:r>
        <w:rPr>
          <w:rFonts w:ascii="Garamond" w:hAnsi="Garamond"/>
          <w:b w:val="0"/>
          <w:i/>
          <w:color w:val="3A4A38"/>
          <w:sz w:val="22"/>
        </w:rPr>
        <w:t>— Rabbi Martin Taubman</w:t>
      </w:r>
    </w:p>
    <w:p>
      <w:pPr>
        <w:spacing w:before="480" w:after="160"/>
        <w:jc w:val="center"/>
      </w:pPr>
      <w:r>
        <w:rPr>
          <w:rFonts w:ascii="Garamond" w:hAnsi="Garamond"/>
          <w:b/>
          <w:i w:val="0"/>
          <w:color w:val="C8553D"/>
          <w:sz w:val="20"/>
        </w:rPr>
        <w:t>A VOICE FROM BOTH SIDES OF THE TABLE</w:t>
      </w:r>
    </w:p>
    <w:p>
      <w:pPr>
        <w:spacing w:before="0" w:after="80"/>
        <w:jc w:val="center"/>
      </w:pPr>
      <w:r>
        <w:rPr>
          <w:rFonts w:ascii="Garamond" w:hAnsi="Garamond"/>
          <w:b/>
          <w:i w:val="0"/>
          <w:color w:val="2A2117"/>
          <w:sz w:val="36"/>
        </w:rPr>
        <w:t>Matthew Ferguson</w:t>
      </w:r>
    </w:p>
    <w:p>
      <w:pPr>
        <w:spacing w:before="0" w:after="400"/>
        <w:jc w:val="center"/>
      </w:pPr>
      <w:r>
        <w:rPr>
          <w:rFonts w:ascii="Garamond" w:hAnsi="Garamond"/>
          <w:b w:val="0"/>
          <w:i/>
          <w:color w:val="3A4A38"/>
          <w:sz w:val="22"/>
        </w:rPr>
        <w:t>Teacher of fifteen years · Parent</w:t>
      </w:r>
    </w:p>
    <w:p>
      <w:pPr>
        <w:spacing w:after="120"/>
        <w:ind w:firstLine="227"/>
      </w:pPr>
      <w:r>
        <w:rPr>
          <w:rFonts w:ascii="Garamond" w:hAnsi="Garamond"/>
          <w:b w:val="0"/>
          <w:i w:val="0"/>
          <w:sz w:val="22"/>
        </w:rPr>
        <w:t>I have spent fifteen years as a teacher. I understand classrooms, systems, pressures, and the effort that goes into trying to meet every child's needs.</w:t>
      </w:r>
    </w:p>
    <w:p>
      <w:pPr>
        <w:spacing w:after="120"/>
        <w:ind w:firstLine="227"/>
      </w:pPr>
      <w:r>
        <w:rPr>
          <w:rFonts w:ascii="Garamond" w:hAnsi="Garamond"/>
          <w:b w:val="0"/>
          <w:i w:val="0"/>
          <w:sz w:val="22"/>
        </w:rPr>
        <w:t>I have also sat at my own kitchen table as a parent, watching my child struggle to walk through the school gates.</w:t>
      </w:r>
    </w:p>
    <w:p>
      <w:pPr>
        <w:spacing w:after="120"/>
        <w:ind w:firstLine="227"/>
      </w:pPr>
      <w:r>
        <w:rPr>
          <w:rFonts w:ascii="Garamond" w:hAnsi="Garamond"/>
          <w:b w:val="0"/>
          <w:i/>
          <w:color w:val="3A4A38"/>
          <w:sz w:val="22"/>
        </w:rPr>
        <w:t>Those two experiences feel very different.</w:t>
      </w:r>
    </w:p>
    <w:p>
      <w:pPr>
        <w:spacing w:after="120"/>
        <w:ind w:firstLine="227"/>
      </w:pPr>
      <w:r>
        <w:rPr>
          <w:rFonts w:ascii="Garamond" w:hAnsi="Garamond"/>
          <w:b w:val="0"/>
          <w:i w:val="0"/>
          <w:sz w:val="22"/>
        </w:rPr>
        <w:t>As a teacher, you see patterns, policies, expectations. As a parent, you feel the weight of each morning — the hesitation, the fear, the growing sense that something is not right, even when you cannot yet explain why.</w:t>
      </w:r>
    </w:p>
    <w:p>
      <w:pPr>
        <w:spacing w:after="120"/>
        <w:ind w:firstLine="227"/>
      </w:pPr>
      <w:r>
        <w:rPr>
          <w:rFonts w:ascii="Garamond" w:hAnsi="Garamond"/>
          <w:b w:val="0"/>
          <w:i w:val="0"/>
          <w:sz w:val="22"/>
        </w:rPr>
        <w:t>This book speaks into that gap between those two worlds.</w:t>
      </w:r>
    </w:p>
    <w:p>
      <w:pPr>
        <w:spacing w:after="120"/>
        <w:ind w:firstLine="227"/>
      </w:pPr>
      <w:r>
        <w:rPr>
          <w:rFonts w:ascii="Garamond" w:hAnsi="Garamond"/>
          <w:b w:val="0"/>
          <w:i w:val="0"/>
          <w:sz w:val="22"/>
        </w:rPr>
        <w:t>It does something I wish I had encountered much earlier in my journey: it names what is really happening. The idea of "won't" versus "can't" cuts through so much of the misunderstanding that surrounds school distress. When you see your child through that lens, everything changes — not just how you respond, but how you understand them.</w:t>
      </w:r>
    </w:p>
    <w:p>
      <w:pPr>
        <w:spacing w:after="120"/>
        <w:ind w:firstLine="227"/>
      </w:pPr>
      <w:r>
        <w:rPr>
          <w:rFonts w:ascii="Garamond" w:hAnsi="Garamond"/>
          <w:b w:val="0"/>
          <w:i/>
          <w:color w:val="3A4A38"/>
          <w:sz w:val="22"/>
        </w:rPr>
        <w:t>Reading this, I felt both seen as a parent and challenged as a professional.</w:t>
      </w:r>
    </w:p>
    <w:p>
      <w:pPr>
        <w:spacing w:after="120"/>
        <w:ind w:firstLine="227"/>
      </w:pPr>
      <w:r>
        <w:rPr>
          <w:rFonts w:ascii="Garamond" w:hAnsi="Garamond"/>
          <w:b w:val="0"/>
          <w:i w:val="0"/>
          <w:sz w:val="22"/>
        </w:rPr>
        <w:t>There is a rare honesty here. It does not pretend the system is simple, and it does not place blame carelessly. Instead, it holds a difficult truth: that families are often left to navigate something incredibly complex with very little guidance. And yet, alongside that honesty, it offers something practical and steady — clear routes, clear explanations, and a sense that there is a next step, even when things feel stuck.</w:t>
      </w:r>
    </w:p>
    <w:p>
      <w:pPr>
        <w:spacing w:after="120"/>
        <w:ind w:firstLine="227"/>
      </w:pPr>
      <w:r>
        <w:rPr>
          <w:rFonts w:ascii="Garamond" w:hAnsi="Garamond"/>
          <w:b w:val="0"/>
          <w:i w:val="0"/>
          <w:sz w:val="22"/>
        </w:rPr>
        <w:t>What I value most is its balance. It does not set parents against schools. It doesn't have to. It simply brings clarity — and in doing so, creates the possibility for better understanding on both sides.</w:t>
      </w:r>
    </w:p>
    <w:p>
      <w:pPr>
        <w:spacing w:after="120"/>
        <w:ind w:firstLine="227"/>
      </w:pPr>
      <w:r>
        <w:rPr>
          <w:rFonts w:ascii="Garamond" w:hAnsi="Garamond"/>
          <w:b w:val="0"/>
          <w:i w:val="0"/>
          <w:sz w:val="22"/>
        </w:rPr>
        <w:t>As a parent, this book would have given me confidence sooner. As a teacher, it challenges me to listen more carefully, to question assumptions, and to see the child in front of me more fully.</w:t>
      </w:r>
    </w:p>
    <w:p>
      <w:pPr>
        <w:spacing w:after="120"/>
        <w:ind w:firstLine="227"/>
      </w:pPr>
      <w:r>
        <w:rPr>
          <w:rFonts w:ascii="Garamond" w:hAnsi="Garamond"/>
          <w:b w:val="0"/>
          <w:i w:val="0"/>
          <w:sz w:val="22"/>
        </w:rPr>
        <w:t>If you are holding this book because your child cannot go to school, I want to say this: I recognise that feeling. The uncertainty, the worry, the sense of standing at the edge of something unknown.</w:t>
      </w:r>
    </w:p>
    <w:p>
      <w:pPr>
        <w:spacing w:after="120"/>
        <w:ind w:firstLine="227"/>
      </w:pPr>
      <w:r>
        <w:rPr>
          <w:rFonts w:ascii="Garamond" w:hAnsi="Garamond"/>
          <w:b w:val="0"/>
          <w:i/>
          <w:color w:val="3A4A38"/>
          <w:sz w:val="22"/>
        </w:rPr>
        <w:t>This book will not make everything easy. But it will make things clearer. And sometimes, that is exactly where hope begins.</w:t>
      </w:r>
    </w:p>
    <w:p>
      <w:pPr>
        <w:spacing w:before="240" w:after="160"/>
        <w:jc w:val="center"/>
      </w:pPr>
      <w:r>
        <w:rPr>
          <w:rFonts w:ascii="Garamond" w:hAnsi="Garamond"/>
          <w:b w:val="0"/>
          <w:i/>
          <w:color w:val="3A4A38"/>
          <w:sz w:val="22"/>
        </w:rPr>
        <w:t>— Matthew Ferguson</w:t>
      </w:r>
    </w:p>
    <w:p>
      <w:r>
        <w:br w:type="page"/>
      </w:r>
    </w:p>
    <w:p>
      <w:pPr>
        <w:pStyle w:val="Heading1"/>
        <w:jc w:val="center"/>
      </w:pPr>
      <w:r>
        <w:rPr>
          <w:rFonts w:ascii="Garamond" w:hAnsi="Garamond"/>
        </w:rPr>
        <w:t>Contents</w:t>
      </w:r>
    </w:p>
    <w:p>
      <w:pPr>
        <w:spacing w:after="120"/>
      </w:pPr>
      <w:r>
        <w:rPr>
          <w:rFonts w:ascii="Garamond" w:hAnsi="Garamond"/>
          <w:b w:val="0"/>
          <w:i w:val="0"/>
          <w:sz w:val="22"/>
        </w:rPr>
        <w:t>Foreword</w:t>
      </w:r>
    </w:p>
    <w:p>
      <w:pPr>
        <w:spacing w:after="120"/>
      </w:pPr>
      <w:r>
        <w:rPr>
          <w:rFonts w:ascii="Garamond" w:hAnsi="Garamond"/>
          <w:b w:val="0"/>
          <w:i w:val="0"/>
          <w:sz w:val="22"/>
        </w:rPr>
        <w:t>How to Use This Book</w:t>
      </w:r>
    </w:p>
    <w:p>
      <w:pPr>
        <w:spacing w:after="120"/>
      </w:pPr>
      <w:r>
        <w:rPr>
          <w:rFonts w:ascii="Garamond" w:hAnsi="Garamond"/>
          <w:b w:val="0"/>
          <w:i w:val="0"/>
          <w:sz w:val="22"/>
        </w:rPr>
        <w:t>The First 30 Days Protocol</w:t>
      </w:r>
    </w:p>
    <w:p>
      <w:pPr>
        <w:spacing w:after="120"/>
      </w:pPr>
      <w:r>
        <w:rPr>
          <w:rFonts w:ascii="Garamond" w:hAnsi="Garamond"/>
          <w:b w:val="0"/>
          <w:i w:val="0"/>
          <w:sz w:val="22"/>
        </w:rPr>
        <w:t>Where to Start (a decision tree)</w:t>
      </w:r>
    </w:p>
    <w:p>
      <w:pPr>
        <w:spacing w:after="120"/>
      </w:pPr>
      <w:r>
        <w:rPr>
          <w:rFonts w:ascii="Garamond" w:hAnsi="Garamond"/>
          <w:b w:val="0"/>
          <w:i w:val="0"/>
          <w:sz w:val="22"/>
        </w:rPr>
      </w:r>
    </w:p>
    <w:p>
      <w:pPr>
        <w:spacing w:after="120"/>
      </w:pPr>
      <w:r>
        <w:rPr>
          <w:rFonts w:ascii="Garamond" w:hAnsi="Garamond"/>
          <w:b w:val="0"/>
          <w:i w:val="0"/>
          <w:sz w:val="22"/>
        </w:rPr>
        <w:t>MODULE 1 — UNDERSTANDING &amp; STABILISING</w:t>
      </w:r>
    </w:p>
    <w:p>
      <w:pPr>
        <w:spacing w:after="120"/>
      </w:pPr>
      <w:r>
        <w:rPr>
          <w:rFonts w:ascii="Garamond" w:hAnsi="Garamond"/>
          <w:b w:val="0"/>
          <w:i w:val="0"/>
          <w:sz w:val="22"/>
        </w:rPr>
        <w:t xml:space="preserve">  Chapter 1.   The Anatomy of School Trauma</w:t>
      </w:r>
    </w:p>
    <w:p>
      <w:pPr>
        <w:spacing w:after="120"/>
      </w:pPr>
      <w:r>
        <w:rPr>
          <w:rFonts w:ascii="Garamond" w:hAnsi="Garamond"/>
          <w:b w:val="0"/>
          <w:i w:val="0"/>
          <w:sz w:val="22"/>
        </w:rPr>
        <w:t xml:space="preserve">  Chapter 2.   The Sanctuary Home Protocol</w:t>
      </w:r>
    </w:p>
    <w:p>
      <w:pPr>
        <w:spacing w:after="120"/>
      </w:pPr>
      <w:r>
        <w:rPr>
          <w:rFonts w:ascii="Garamond" w:hAnsi="Garamond"/>
          <w:b w:val="0"/>
          <w:i w:val="0"/>
          <w:sz w:val="22"/>
        </w:rPr>
        <w:t xml:space="preserve">  Chapter 3.   Rebuilding Identity Beyond the School Gates</w:t>
      </w:r>
    </w:p>
    <w:p>
      <w:pPr>
        <w:spacing w:after="120"/>
      </w:pPr>
      <w:r>
        <w:rPr>
          <w:rFonts w:ascii="Garamond" w:hAnsi="Garamond"/>
          <w:b w:val="0"/>
          <w:i w:val="0"/>
          <w:sz w:val="22"/>
        </w:rPr>
      </w:r>
    </w:p>
    <w:p>
      <w:pPr>
        <w:spacing w:after="120"/>
      </w:pPr>
      <w:r>
        <w:rPr>
          <w:rFonts w:ascii="Garamond" w:hAnsi="Garamond"/>
          <w:b w:val="0"/>
          <w:i w:val="0"/>
          <w:sz w:val="22"/>
        </w:rPr>
        <w:t>MODULE 2 — HOLDING YOUR GROUND AS A PARENT</w:t>
      </w:r>
    </w:p>
    <w:p>
      <w:pPr>
        <w:spacing w:after="120"/>
      </w:pPr>
      <w:r>
        <w:rPr>
          <w:rFonts w:ascii="Garamond" w:hAnsi="Garamond"/>
          <w:b w:val="0"/>
          <w:i w:val="0"/>
          <w:sz w:val="22"/>
        </w:rPr>
        <w:t xml:space="preserve">  Chapter 4.   Dismantling the Parent-Blame Narrative</w:t>
      </w:r>
    </w:p>
    <w:p>
      <w:pPr>
        <w:spacing w:after="120"/>
      </w:pPr>
      <w:r>
        <w:rPr>
          <w:rFonts w:ascii="Garamond" w:hAnsi="Garamond"/>
          <w:b w:val="0"/>
          <w:i w:val="0"/>
          <w:sz w:val="22"/>
        </w:rPr>
        <w:t xml:space="preserve">  Chapter 5.   The Silent Grief of the Atypical Path</w:t>
      </w:r>
    </w:p>
    <w:p>
      <w:pPr>
        <w:spacing w:after="120"/>
      </w:pPr>
      <w:r>
        <w:rPr>
          <w:rFonts w:ascii="Garamond" w:hAnsi="Garamond"/>
          <w:b w:val="0"/>
          <w:i w:val="0"/>
          <w:sz w:val="22"/>
        </w:rPr>
      </w:r>
    </w:p>
    <w:p>
      <w:pPr>
        <w:spacing w:after="120"/>
      </w:pPr>
      <w:r>
        <w:rPr>
          <w:rFonts w:ascii="Garamond" w:hAnsi="Garamond"/>
          <w:b w:val="0"/>
          <w:i w:val="0"/>
          <w:sz w:val="22"/>
        </w:rPr>
        <w:t>MODULE 3 — THE COMMUNICATION ENGINE</w:t>
      </w:r>
    </w:p>
    <w:p>
      <w:pPr>
        <w:spacing w:after="120"/>
      </w:pPr>
      <w:r>
        <w:rPr>
          <w:rFonts w:ascii="Garamond" w:hAnsi="Garamond"/>
          <w:b w:val="0"/>
          <w:i w:val="0"/>
          <w:sz w:val="22"/>
        </w:rPr>
        <w:t xml:space="preserve">  Chapter 6.   The Communication Audit</w:t>
      </w:r>
    </w:p>
    <w:p>
      <w:pPr>
        <w:spacing w:after="120"/>
      </w:pPr>
      <w:r>
        <w:rPr>
          <w:rFonts w:ascii="Garamond" w:hAnsi="Garamond"/>
          <w:b w:val="0"/>
          <w:i w:val="0"/>
          <w:sz w:val="22"/>
        </w:rPr>
        <w:t xml:space="preserve">  Chapter 7.   Building the Inarguable Evidence Binder</w:t>
      </w:r>
    </w:p>
    <w:p>
      <w:pPr>
        <w:spacing w:after="120"/>
      </w:pPr>
      <w:r>
        <w:rPr>
          <w:rFonts w:ascii="Garamond" w:hAnsi="Garamond"/>
          <w:b w:val="0"/>
          <w:i w:val="0"/>
          <w:sz w:val="22"/>
        </w:rPr>
      </w:r>
    </w:p>
    <w:p>
      <w:pPr>
        <w:spacing w:after="120"/>
      </w:pPr>
      <w:r>
        <w:rPr>
          <w:rFonts w:ascii="Garamond" w:hAnsi="Garamond"/>
          <w:b w:val="0"/>
          <w:i w:val="0"/>
          <w:sz w:val="22"/>
        </w:rPr>
        <w:t>MODULE 4 — THE LEGAL &amp; SYSTEMIC MANUAL</w:t>
      </w:r>
    </w:p>
    <w:p>
      <w:pPr>
        <w:spacing w:after="120"/>
      </w:pPr>
      <w:r>
        <w:rPr>
          <w:rFonts w:ascii="Garamond" w:hAnsi="Garamond"/>
          <w:b w:val="0"/>
          <w:i w:val="0"/>
          <w:sz w:val="22"/>
        </w:rPr>
        <w:t xml:space="preserve">  Chapter 8.   Shifting the Burden (Section 19)</w:t>
      </w:r>
    </w:p>
    <w:p>
      <w:pPr>
        <w:spacing w:after="120"/>
      </w:pPr>
      <w:r>
        <w:rPr>
          <w:rFonts w:ascii="Garamond" w:hAnsi="Garamond"/>
          <w:b w:val="0"/>
          <w:i w:val="0"/>
          <w:sz w:val="22"/>
        </w:rPr>
        <w:t xml:space="preserve">  Chapter 9.   The Parental EHCP Blueprint</w:t>
      </w:r>
    </w:p>
    <w:p>
      <w:pPr>
        <w:spacing w:after="120"/>
      </w:pPr>
      <w:r>
        <w:rPr>
          <w:rFonts w:ascii="Garamond" w:hAnsi="Garamond"/>
          <w:b w:val="0"/>
          <w:i w:val="0"/>
          <w:sz w:val="22"/>
        </w:rPr>
      </w:r>
    </w:p>
    <w:p>
      <w:pPr>
        <w:spacing w:after="120"/>
      </w:pPr>
      <w:r>
        <w:rPr>
          <w:rFonts w:ascii="Garamond" w:hAnsi="Garamond"/>
          <w:b w:val="0"/>
          <w:i w:val="0"/>
          <w:sz w:val="22"/>
        </w:rPr>
        <w:t>MODULE 5 — THE ALTERNATE EDUCATIONAL MATRIX</w:t>
      </w:r>
    </w:p>
    <w:p>
      <w:pPr>
        <w:spacing w:after="120"/>
      </w:pPr>
      <w:r>
        <w:rPr>
          <w:rFonts w:ascii="Garamond" w:hAnsi="Garamond"/>
          <w:b w:val="0"/>
          <w:i w:val="0"/>
          <w:sz w:val="22"/>
        </w:rPr>
        <w:t xml:space="preserve">  Chapter 10.  Deconstructing EOTAS</w:t>
      </w:r>
    </w:p>
    <w:p>
      <w:pPr>
        <w:spacing w:after="120"/>
      </w:pPr>
      <w:r>
        <w:rPr>
          <w:rFonts w:ascii="Garamond" w:hAnsi="Garamond"/>
          <w:b w:val="0"/>
          <w:i w:val="0"/>
          <w:sz w:val="22"/>
        </w:rPr>
        <w:t xml:space="preserve">  Chapter 11.  Alternative Qualifications and the Year 10/11 Pivot</w:t>
      </w:r>
    </w:p>
    <w:p>
      <w:pPr>
        <w:spacing w:after="120"/>
      </w:pPr>
      <w:r>
        <w:rPr>
          <w:rFonts w:ascii="Garamond" w:hAnsi="Garamond"/>
          <w:b w:val="0"/>
          <w:i w:val="0"/>
          <w:sz w:val="22"/>
        </w:rPr>
        <w:t xml:space="preserve">  Chapter 12.  The Step-by-Step Deregistration Protocol</w:t>
      </w:r>
    </w:p>
    <w:p>
      <w:pPr>
        <w:spacing w:after="120"/>
      </w:pPr>
      <w:r>
        <w:rPr>
          <w:rFonts w:ascii="Garamond" w:hAnsi="Garamond"/>
          <w:b w:val="0"/>
          <w:i w:val="0"/>
          <w:sz w:val="22"/>
        </w:rPr>
      </w:r>
    </w:p>
    <w:p>
      <w:pPr>
        <w:spacing w:after="120"/>
      </w:pPr>
      <w:r>
        <w:rPr>
          <w:rFonts w:ascii="Garamond" w:hAnsi="Garamond"/>
          <w:b w:val="0"/>
          <w:i w:val="0"/>
          <w:sz w:val="22"/>
        </w:rPr>
        <w:t>MODULE 6 — THE LONG GAME</w:t>
      </w:r>
    </w:p>
    <w:p>
      <w:pPr>
        <w:spacing w:after="120"/>
      </w:pPr>
      <w:r>
        <w:rPr>
          <w:rFonts w:ascii="Garamond" w:hAnsi="Garamond"/>
          <w:b w:val="0"/>
          <w:i w:val="0"/>
          <w:sz w:val="22"/>
        </w:rPr>
        <w:t xml:space="preserve">  Chapter 13.  The Shape of Recovery</w:t>
      </w:r>
    </w:p>
    <w:p>
      <w:pPr>
        <w:spacing w:after="120"/>
      </w:pPr>
      <w:r>
        <w:rPr>
          <w:rFonts w:ascii="Garamond" w:hAnsi="Garamond"/>
          <w:b w:val="0"/>
          <w:i w:val="0"/>
          <w:sz w:val="22"/>
        </w:rPr>
        <w:t xml:space="preserve">  Chapter 14.  Reintegration Without Re-Traumatising</w:t>
      </w:r>
    </w:p>
    <w:p>
      <w:pPr>
        <w:spacing w:after="120"/>
      </w:pPr>
      <w:r>
        <w:rPr>
          <w:rFonts w:ascii="Garamond" w:hAnsi="Garamond"/>
          <w:b w:val="0"/>
          <w:i w:val="0"/>
          <w:sz w:val="22"/>
        </w:rPr>
        <w:t xml:space="preserve">  Chapter 15.  The Other Side of the Table</w:t>
      </w:r>
    </w:p>
    <w:p>
      <w:pPr>
        <w:spacing w:after="120"/>
      </w:pPr>
      <w:r>
        <w:rPr>
          <w:rFonts w:ascii="Garamond" w:hAnsi="Garamond"/>
          <w:b w:val="0"/>
          <w:i w:val="0"/>
          <w:sz w:val="22"/>
        </w:rPr>
      </w:r>
    </w:p>
    <w:p>
      <w:pPr>
        <w:spacing w:after="120"/>
      </w:pPr>
      <w:r>
        <w:rPr>
          <w:rFonts w:ascii="Garamond" w:hAnsi="Garamond"/>
          <w:b w:val="0"/>
          <w:i w:val="0"/>
          <w:sz w:val="22"/>
        </w:rPr>
        <w:t>Appendices</w:t>
      </w:r>
    </w:p>
    <w:p>
      <w:pPr>
        <w:spacing w:after="120"/>
      </w:pPr>
      <w:r>
        <w:rPr>
          <w:rFonts w:ascii="Garamond" w:hAnsi="Garamond"/>
          <w:b w:val="0"/>
          <w:i w:val="0"/>
          <w:sz w:val="22"/>
        </w:rPr>
        <w:t xml:space="preserve">  A.  The First 30 Days Protocol (printable)</w:t>
      </w:r>
    </w:p>
    <w:p>
      <w:pPr>
        <w:spacing w:after="120"/>
      </w:pPr>
      <w:r>
        <w:rPr>
          <w:rFonts w:ascii="Garamond" w:hAnsi="Garamond"/>
          <w:b w:val="0"/>
          <w:i w:val="0"/>
          <w:sz w:val="22"/>
        </w:rPr>
        <w:t xml:space="preserve">  B.  Devolved Nations — Scotland, Wales, NI</w:t>
      </w:r>
    </w:p>
    <w:p>
      <w:pPr>
        <w:spacing w:after="120"/>
      </w:pPr>
      <w:r>
        <w:rPr>
          <w:rFonts w:ascii="Garamond" w:hAnsi="Garamond"/>
          <w:b w:val="0"/>
          <w:i w:val="0"/>
          <w:sz w:val="22"/>
        </w:rPr>
        <w:t xml:space="preserve">  C.  The Symptom and Impact Log (printable)</w:t>
      </w:r>
    </w:p>
    <w:p>
      <w:pPr>
        <w:spacing w:after="120"/>
      </w:pPr>
      <w:r>
        <w:rPr>
          <w:rFonts w:ascii="Garamond" w:hAnsi="Garamond"/>
          <w:b w:val="0"/>
          <w:i w:val="0"/>
          <w:sz w:val="22"/>
        </w:rPr>
        <w:t xml:space="preserve">  D.  Glossary</w:t>
      </w:r>
    </w:p>
    <w:p>
      <w:pPr>
        <w:spacing w:after="120"/>
      </w:pPr>
      <w:r>
        <w:rPr>
          <w:rFonts w:ascii="Garamond" w:hAnsi="Garamond"/>
          <w:b w:val="0"/>
          <w:i w:val="0"/>
          <w:sz w:val="22"/>
        </w:rPr>
        <w:t xml:space="preserve">  E.  Case Law Cited</w:t>
      </w:r>
    </w:p>
    <w:p>
      <w:pPr>
        <w:spacing w:after="120"/>
      </w:pPr>
      <w:r>
        <w:rPr>
          <w:rFonts w:ascii="Garamond" w:hAnsi="Garamond"/>
          <w:b w:val="0"/>
          <w:i w:val="0"/>
          <w:sz w:val="22"/>
        </w:rPr>
      </w:r>
    </w:p>
    <w:p>
      <w:pPr>
        <w:spacing w:after="120"/>
      </w:pPr>
      <w:r>
        <w:rPr>
          <w:rFonts w:ascii="Garamond" w:hAnsi="Garamond"/>
          <w:b w:val="0"/>
          <w:i w:val="0"/>
          <w:sz w:val="22"/>
        </w:rPr>
        <w:t>About the Author</w:t>
      </w:r>
    </w:p>
    <w:p>
      <w:pPr>
        <w:spacing w:after="120"/>
      </w:pPr>
      <w:r>
        <w:rPr>
          <w:rFonts w:ascii="Garamond" w:hAnsi="Garamond"/>
          <w:b w:val="0"/>
          <w:i w:val="0"/>
          <w:sz w:val="22"/>
        </w:rPr>
        <w:t>About SEND Navigate</w:t>
      </w:r>
    </w:p>
    <w:p>
      <w:pPr>
        <w:spacing w:after="120"/>
      </w:pPr>
      <w:r>
        <w:rPr>
          <w:rFonts w:ascii="Garamond" w:hAnsi="Garamond"/>
          <w:b w:val="0"/>
          <w:i w:val="0"/>
          <w:sz w:val="22"/>
        </w:rPr>
        <w:t>The Companion Workbook (free)</w:t>
      </w:r>
    </w:p>
    <w:p>
      <w:pPr>
        <w:spacing w:after="120"/>
      </w:pPr>
      <w:r>
        <w:rPr>
          <w:rFonts w:ascii="Garamond" w:hAnsi="Garamond"/>
          <w:b w:val="0"/>
          <w:i w:val="0"/>
          <w:sz w:val="22"/>
        </w:rPr>
        <w:t>Acknowledgements</w:t>
      </w:r>
    </w:p>
    <w:p>
      <w:pPr>
        <w:spacing w:after="120"/>
      </w:pPr>
      <w:r>
        <w:rPr>
          <w:rFonts w:ascii="Garamond" w:hAnsi="Garamond"/>
          <w:b w:val="0"/>
          <w:i w:val="0"/>
          <w:sz w:val="22"/>
        </w:rPr>
        <w:t>Index</w:t>
      </w:r>
    </w:p>
    <w:p>
      <w:r>
        <w:br w:type="page"/>
      </w:r>
    </w:p>
    <w:p>
      <w:pPr>
        <w:pStyle w:val="Heading1"/>
        <w:jc w:val="center"/>
      </w:pPr>
      <w:r>
        <w:rPr>
          <w:rFonts w:ascii="Garamond" w:hAnsi="Garamond"/>
        </w:rPr>
        <w:t>How to Use This Book</w:t>
      </w:r>
    </w:p>
    <w:p>
      <w:pPr>
        <w:spacing w:after="120"/>
      </w:pPr>
      <w:r>
        <w:rPr>
          <w:rFonts w:ascii="Garamond" w:hAnsi="Garamond"/>
          <w:b w:val="0"/>
          <w:i w:val="0"/>
          <w:sz w:val="22"/>
        </w:rPr>
        <w:t>This is not a book to read in order, cover to cover. It is a manual to open at the chapter that matches the morning you are having.</w:t>
      </w:r>
    </w:p>
    <w:p>
      <w:pPr>
        <w:spacing w:after="120"/>
      </w:pPr>
      <w:r>
        <w:rPr>
          <w:rFonts w:ascii="Garamond" w:hAnsi="Garamond"/>
          <w:b w:val="0"/>
          <w:i w:val="0"/>
          <w:sz w:val="22"/>
        </w:rPr>
        <w:t>The structure has been built around how parents in school distress actually use a reference book: at speed, under pressure, often before 9am. Each chapter stands alone. Each tool inside each chapter is named and indexed. Most pages give you something you can use that day.</w:t>
      </w:r>
    </w:p>
    <w:p>
      <w:pPr>
        <w:spacing w:after="120"/>
      </w:pPr>
      <w:r>
        <w:rPr>
          <w:rFonts w:ascii="Garamond" w:hAnsi="Garamond"/>
          <w:b w:val="0"/>
          <w:i w:val="0"/>
          <w:sz w:val="22"/>
        </w:rPr>
        <w:t>If you have time and emotional bandwidth to read in sequence, the modules build a complete picture — first the child, then you, then your communication, then the law, then the alternative routes, then the long game.</w:t>
      </w:r>
    </w:p>
    <w:p>
      <w:pPr>
        <w:spacing w:after="120"/>
      </w:pPr>
      <w:r>
        <w:rPr>
          <w:rFonts w:ascii="Garamond" w:hAnsi="Garamond"/>
          <w:b w:val="0"/>
          <w:i w:val="0"/>
          <w:sz w:val="22"/>
        </w:rPr>
        <w:t>If you do not have that time, use the decision tree on the next page. Find the question that matches where you are. Go to that chapter. Come back when there is space.</w:t>
      </w:r>
    </w:p>
    <w:p>
      <w:pPr>
        <w:spacing w:after="120"/>
      </w:pPr>
      <w:r>
        <w:rPr>
          <w:rFonts w:ascii="Garamond" w:hAnsi="Garamond"/>
          <w:b w:val="0"/>
          <w:i w:val="0"/>
          <w:sz w:val="22"/>
        </w:rPr>
        <w:t>A few small things are worth knowing before you start.</w:t>
      </w:r>
    </w:p>
    <w:p>
      <w:pPr>
        <w:spacing w:after="120"/>
      </w:pPr>
      <w:r>
        <w:rPr>
          <w:rFonts w:ascii="Garamond" w:hAnsi="Garamond"/>
          <w:b w:val="0"/>
          <w:i w:val="0"/>
          <w:sz w:val="22"/>
        </w:rPr>
        <w:t>A note on language. The word "school refusal" appears in this book only in headings and search-engine contexts. In every other place, the book uses "can't" rather than "won't" — for reasons explained in Chapter 1. If this distinction feels small now, it will not feel small by Chapter 8.</w:t>
      </w:r>
    </w:p>
    <w:p>
      <w:pPr>
        <w:spacing w:after="120"/>
      </w:pPr>
      <w:r>
        <w:rPr>
          <w:rFonts w:ascii="Garamond" w:hAnsi="Garamond"/>
          <w:b w:val="0"/>
          <w:i w:val="0"/>
          <w:sz w:val="22"/>
        </w:rPr>
        <w:t>A note on Local Authorities. "LA" is used throughout to mean Local Authority. References to Local Authority practice describe patterns the author has observed across many cases — they are not allegations against any specific authority. Your LA may be one of the better ones. The book is written for the cases where it isn't.</w:t>
      </w:r>
    </w:p>
    <w:p>
      <w:pPr>
        <w:spacing w:after="120"/>
      </w:pPr>
      <w:r>
        <w:rPr>
          <w:rFonts w:ascii="Garamond" w:hAnsi="Garamond"/>
          <w:b w:val="0"/>
          <w:i w:val="0"/>
          <w:sz w:val="22"/>
        </w:rPr>
        <w:t>A note on the country you live in. The statutory routes in this book are the law of England. The therapeutic and communication material applies wherever you are. If you are in Scotland, Wales, or Northern Ireland, see Appendix B for the equivalent legal pathways.</w:t>
      </w:r>
    </w:p>
    <w:p>
      <w:pPr>
        <w:spacing w:after="120"/>
      </w:pPr>
      <w:r>
        <w:rPr>
          <w:rFonts w:ascii="Garamond" w:hAnsi="Garamond"/>
          <w:b w:val="0"/>
          <w:i w:val="0"/>
          <w:sz w:val="22"/>
        </w:rPr>
        <w:t>A note on what this book is not. It is not legal advice. The disclaimer on the copyright page is the formal version. The plain version is this: if your case is going to a tribunal hearing, you should not be relying on a book alone — including this one. The book will get you to the point where you can speak to a specialist with confidence and a complete case file. From there, take help. Where you can find that help is set out at the back of the book — and at the SEND Navigate website at sendnavigate.org.</w:t>
      </w:r>
    </w:p>
    <w:p>
      <w:r>
        <w:br w:type="page"/>
      </w:r>
    </w:p>
    <w:p>
      <w:pPr>
        <w:pStyle w:val="Heading1"/>
        <w:jc w:val="center"/>
      </w:pPr>
      <w:r>
        <w:rPr>
          <w:rFonts w:ascii="Garamond" w:hAnsi="Garamond"/>
        </w:rPr>
        <w:t>Where to Start</w:t>
      </w:r>
    </w:p>
    <w:p>
      <w:pPr>
        <w:spacing w:before="0" w:after="480"/>
        <w:jc w:val="center"/>
      </w:pPr>
      <w:r>
        <w:rPr>
          <w:rFonts w:ascii="Garamond" w:hAnsi="Garamond"/>
          <w:b w:val="0"/>
          <w:i/>
          <w:sz w:val="22"/>
        </w:rPr>
        <w:t>A decision tree for the chapter you need first</w:t>
      </w:r>
    </w:p>
    <w:p>
      <w:pPr>
        <w:spacing w:before="160" w:after="40"/>
      </w:pPr>
      <w:r>
        <w:rPr>
          <w:rFonts w:ascii="Garamond" w:hAnsi="Garamond"/>
          <w:b/>
          <w:color w:val="1B3A5C"/>
          <w:sz w:val="20"/>
        </w:rPr>
        <w:t>YOUR CHILD WON'T GO IN TODAY</w:t>
      </w:r>
    </w:p>
    <w:p>
      <w:pPr>
        <w:spacing w:after="160"/>
        <w:ind w:left="340"/>
      </w:pPr>
      <w:r>
        <w:rPr>
          <w:rFonts w:ascii="Garamond" w:hAnsi="Garamond"/>
          <w:sz w:val="20"/>
        </w:rPr>
        <w:t>→ Read Chapter 6 first (the email, the language)</w:t>
      </w:r>
    </w:p>
    <w:p>
      <w:pPr>
        <w:spacing w:before="160" w:after="40"/>
      </w:pPr>
      <w:r>
        <w:rPr>
          <w:rFonts w:ascii="Garamond" w:hAnsi="Garamond"/>
          <w:b/>
          <w:color w:val="1B3A5C"/>
          <w:sz w:val="20"/>
        </w:rPr>
        <w:t>YOUR CHILD HAS BEEN OUT FOR MORE THAN TWO WEEKS</w:t>
      </w:r>
    </w:p>
    <w:p>
      <w:pPr>
        <w:spacing w:after="160"/>
        <w:ind w:left="340"/>
      </w:pPr>
      <w:r>
        <w:rPr>
          <w:rFonts w:ascii="Garamond" w:hAnsi="Garamond"/>
          <w:sz w:val="20"/>
        </w:rPr>
        <w:t>→ Read Chapter 7, then Chapter 8 (the evidence binder; Section 19)</w:t>
      </w:r>
    </w:p>
    <w:p>
      <w:pPr>
        <w:spacing w:before="160" w:after="40"/>
      </w:pPr>
      <w:r>
        <w:rPr>
          <w:rFonts w:ascii="Garamond" w:hAnsi="Garamond"/>
          <w:b/>
          <w:color w:val="1B3A5C"/>
          <w:sz w:val="20"/>
        </w:rPr>
        <w:t>THE SCHOOL IS THREATENING FINES OR COURT</w:t>
      </w:r>
    </w:p>
    <w:p>
      <w:pPr>
        <w:spacing w:after="160"/>
        <w:ind w:left="340"/>
      </w:pPr>
      <w:r>
        <w:rPr>
          <w:rFonts w:ascii="Garamond" w:hAnsi="Garamond"/>
          <w:sz w:val="20"/>
        </w:rPr>
        <w:t>→ Read Chapter 8 immediately (Section 19 + Section 444(2A))</w:t>
      </w:r>
    </w:p>
    <w:p>
      <w:pPr>
        <w:spacing w:before="160" w:after="40"/>
      </w:pPr>
      <w:r>
        <w:rPr>
          <w:rFonts w:ascii="Garamond" w:hAnsi="Garamond"/>
          <w:b/>
          <w:color w:val="1B3A5C"/>
          <w:sz w:val="20"/>
        </w:rPr>
        <w:t>YOU ARE THINKING ABOUT AN EHCP</w:t>
      </w:r>
    </w:p>
    <w:p>
      <w:pPr>
        <w:spacing w:after="160"/>
        <w:ind w:left="340"/>
      </w:pPr>
      <w:r>
        <w:rPr>
          <w:rFonts w:ascii="Garamond" w:hAnsi="Garamond"/>
          <w:sz w:val="20"/>
        </w:rPr>
        <w:t>→ Read Chapter 9 (the Parental EHCP Blueprint)</w:t>
      </w:r>
    </w:p>
    <w:p>
      <w:pPr>
        <w:spacing w:before="160" w:after="40"/>
      </w:pPr>
      <w:r>
        <w:rPr>
          <w:rFonts w:ascii="Garamond" w:hAnsi="Garamond"/>
          <w:b/>
          <w:color w:val="1B3A5C"/>
          <w:sz w:val="20"/>
        </w:rPr>
        <w:t>YOU ARE EXHAUSTED AND READY TO LEAVE THE STATE SYSTEM ENTIRELY</w:t>
      </w:r>
    </w:p>
    <w:p>
      <w:pPr>
        <w:spacing w:after="160"/>
        <w:ind w:left="340"/>
      </w:pPr>
      <w:r>
        <w:rPr>
          <w:rFonts w:ascii="Garamond" w:hAnsi="Garamond"/>
          <w:sz w:val="20"/>
        </w:rPr>
        <w:t>→ Read Chapter 12 (the Deregistration Protocol)</w:t>
      </w:r>
    </w:p>
    <w:p>
      <w:pPr>
        <w:spacing w:before="160" w:after="40"/>
      </w:pPr>
      <w:r>
        <w:rPr>
          <w:rFonts w:ascii="Garamond" w:hAnsi="Garamond"/>
          <w:b/>
          <w:color w:val="1B3A5C"/>
          <w:sz w:val="20"/>
        </w:rPr>
        <w:t>YOUR CHILD IS IN ACUTE DISTRESS RIGHT NOW</w:t>
      </w:r>
    </w:p>
    <w:p>
      <w:pPr>
        <w:spacing w:after="160"/>
        <w:ind w:left="340"/>
      </w:pPr>
      <w:r>
        <w:rPr>
          <w:rFonts w:ascii="Garamond" w:hAnsi="Garamond"/>
          <w:sz w:val="20"/>
        </w:rPr>
        <w:t>→ Read "When Distress Becomes Crisis" at the start of Chapter 4. Then come back to Chapter 1 when calm.</w:t>
      </w:r>
    </w:p>
    <w:p>
      <w:pPr>
        <w:spacing w:before="160" w:after="40"/>
      </w:pPr>
      <w:r>
        <w:rPr>
          <w:rFonts w:ascii="Garamond" w:hAnsi="Garamond"/>
          <w:b/>
          <w:color w:val="1B3A5C"/>
          <w:sz w:val="20"/>
        </w:rPr>
        <w:t>YOU DO NOT YET KNOW WHAT THIS BOOK IS FOR</w:t>
      </w:r>
    </w:p>
    <w:p>
      <w:pPr>
        <w:spacing w:after="160"/>
        <w:ind w:left="340"/>
      </w:pPr>
      <w:r>
        <w:rPr>
          <w:rFonts w:ascii="Garamond" w:hAnsi="Garamond"/>
          <w:sz w:val="20"/>
        </w:rPr>
        <w:t>→ Read Chapter 1, then Chapter 2 (the framework, the stabilisation)</w:t>
      </w:r>
    </w:p>
    <w:p>
      <w:pPr>
        <w:spacing w:after="120"/>
      </w:pPr>
      <w:r>
        <w:rPr>
          <w:rFonts w:ascii="Garamond" w:hAnsi="Garamond"/>
          <w:b w:val="0"/>
          <w:i w:val="0"/>
          <w:sz w:val="22"/>
        </w:rPr>
      </w:r>
    </w:p>
    <w:p>
      <w:pPr>
        <w:spacing w:after="120"/>
      </w:pPr>
      <w:r>
        <w:rPr>
          <w:rFonts w:ascii="Garamond" w:hAnsi="Garamond"/>
          <w:b w:val="0"/>
          <w:i/>
          <w:sz w:val="22"/>
        </w:rPr>
        <w:t>You can come back to this page any morning. The chapters do not change. The right one does.</w:t>
      </w:r>
    </w:p>
    <w:p>
      <w:r>
        <w:br w:type="page"/>
      </w:r>
    </w:p>
    <w:p>
      <w:pPr>
        <w:pStyle w:val="Heading1"/>
        <w:jc w:val="center"/>
      </w:pPr>
      <w:r>
        <w:rPr>
          <w:rFonts w:ascii="Garamond" w:hAnsi="Garamond"/>
        </w:rPr>
        <w:t>The First 30 Days Protocol</w:t>
      </w:r>
    </w:p>
    <w:p>
      <w:pPr>
        <w:spacing w:after="120"/>
      </w:pPr>
      <w:r>
        <w:rPr>
          <w:rFonts w:ascii="Garamond" w:hAnsi="Garamond"/>
          <w:b w:val="0"/>
          <w:i w:val="0"/>
          <w:sz w:val="22"/>
        </w:rPr>
        <w:t>If you have just bought this book and your child has been out of school for less than a month, this page is your operating guide. The rest of the book explains everything in detail. This page tells you the shape of the next 30 days.</w:t>
      </w:r>
    </w:p>
    <w:p>
      <w:pPr>
        <w:spacing w:before="280" w:after="120"/>
      </w:pPr>
      <w:r>
        <w:rPr>
          <w:rFonts w:ascii="Garamond" w:hAnsi="Garamond"/>
          <w:b/>
          <w:color w:val="1B3A5C"/>
          <w:sz w:val="24"/>
        </w:rPr>
        <w:t>TODAY</w:t>
      </w:r>
    </w:p>
    <w:p>
      <w:pPr>
        <w:spacing w:after="80"/>
        <w:ind w:left="340" w:hanging="227"/>
      </w:pPr>
      <w:r>
        <w:rPr>
          <w:rFonts w:ascii="Garamond" w:hAnsi="Garamond"/>
          <w:sz w:val="20"/>
        </w:rPr>
        <w:t>•  Send the medical absence email (Chapter 6, Template 1). Do not call. Email creates a record.</w:t>
      </w:r>
    </w:p>
    <w:p>
      <w:pPr>
        <w:spacing w:after="80"/>
        <w:ind w:left="340" w:hanging="227"/>
      </w:pPr>
      <w:r>
        <w:rPr>
          <w:rFonts w:ascii="Garamond" w:hAnsi="Garamond"/>
          <w:sz w:val="20"/>
        </w:rPr>
        <w:t>•  Remove every school item from your child's line of sight — uniform, school bag, books, planner. Put them out of the house if possible, in a cupboard if not.</w:t>
      </w:r>
    </w:p>
    <w:p>
      <w:pPr>
        <w:spacing w:after="80"/>
        <w:ind w:left="340" w:hanging="227"/>
      </w:pPr>
      <w:r>
        <w:rPr>
          <w:rFonts w:ascii="Garamond" w:hAnsi="Garamond"/>
          <w:sz w:val="20"/>
        </w:rPr>
        <w:t>•  Drop every demand that is not directly about your child's physical safety. Sleep when they sleep. Eat what they will eat. Stop asking what they want to do today.</w:t>
      </w:r>
    </w:p>
    <w:p>
      <w:pPr>
        <w:spacing w:after="80"/>
        <w:ind w:left="340" w:hanging="227"/>
      </w:pPr>
      <w:r>
        <w:rPr>
          <w:rFonts w:ascii="Garamond" w:hAnsi="Garamond"/>
          <w:sz w:val="20"/>
        </w:rPr>
        <w:t>•  Do not raise school, the future, or their feelings. Sit in the same room when you can. That is enough.</w:t>
      </w:r>
    </w:p>
    <w:p>
      <w:pPr>
        <w:spacing w:before="280" w:after="120"/>
      </w:pPr>
      <w:r>
        <w:rPr>
          <w:rFonts w:ascii="Garamond" w:hAnsi="Garamond"/>
          <w:b/>
          <w:color w:val="1B3A5C"/>
          <w:sz w:val="24"/>
        </w:rPr>
        <w:t>THIS WEEK</w:t>
      </w:r>
    </w:p>
    <w:p>
      <w:pPr>
        <w:spacing w:after="80"/>
        <w:ind w:left="340" w:hanging="227"/>
      </w:pPr>
      <w:r>
        <w:rPr>
          <w:rFonts w:ascii="Garamond" w:hAnsi="Garamond"/>
          <w:sz w:val="20"/>
        </w:rPr>
        <w:t>•  Book a GP appointment. Tell the receptionist this is for an ongoing mental health absence and you need a recurring fit note (Med 3). Ask for a phone review if face-to-face is too much.</w:t>
      </w:r>
    </w:p>
    <w:p>
      <w:pPr>
        <w:spacing w:after="80"/>
        <w:ind w:left="340" w:hanging="227"/>
      </w:pPr>
      <w:r>
        <w:rPr>
          <w:rFonts w:ascii="Garamond" w:hAnsi="Garamond"/>
          <w:sz w:val="20"/>
        </w:rPr>
        <w:t>•  Start the Symptom and Impact Log (Chapter 7, template). One entry per day. Cold facts. Physiological first.</w:t>
      </w:r>
    </w:p>
    <w:p>
      <w:pPr>
        <w:spacing w:after="80"/>
        <w:ind w:left="340" w:hanging="227"/>
      </w:pPr>
      <w:r>
        <w:rPr>
          <w:rFonts w:ascii="Garamond" w:hAnsi="Garamond"/>
          <w:sz w:val="20"/>
        </w:rPr>
        <w:t>•  Email the school once, formally, to confirm absences are being recorded under Code I (Illness). Use Template 1 from Chapter 6.</w:t>
      </w:r>
    </w:p>
    <w:p>
      <w:pPr>
        <w:spacing w:after="80"/>
        <w:ind w:left="340" w:hanging="227"/>
      </w:pPr>
      <w:r>
        <w:rPr>
          <w:rFonts w:ascii="Garamond" w:hAnsi="Garamond"/>
          <w:sz w:val="20"/>
        </w:rPr>
        <w:t>•  Tell no one outside your household yet. Not extended family, not parent friends. You do not have to manage anyone else's reaction this week.</w:t>
      </w:r>
    </w:p>
    <w:p>
      <w:pPr>
        <w:spacing w:before="280" w:after="120"/>
      </w:pPr>
      <w:r>
        <w:rPr>
          <w:rFonts w:ascii="Garamond" w:hAnsi="Garamond"/>
          <w:b/>
          <w:color w:val="1B3A5C"/>
          <w:sz w:val="24"/>
        </w:rPr>
        <w:t>WEEK TWO</w:t>
      </w:r>
    </w:p>
    <w:p>
      <w:pPr>
        <w:spacing w:after="80"/>
        <w:ind w:left="340" w:hanging="227"/>
      </w:pPr>
      <w:r>
        <w:rPr>
          <w:rFonts w:ascii="Garamond" w:hAnsi="Garamond"/>
          <w:sz w:val="20"/>
        </w:rPr>
        <w:t>•  GP appointment attended. Med 3 obtained if possible — even a short one. File it in the Evidence Binder.</w:t>
      </w:r>
    </w:p>
    <w:p>
      <w:pPr>
        <w:spacing w:after="80"/>
        <w:ind w:left="340" w:hanging="227"/>
      </w:pPr>
      <w:r>
        <w:rPr>
          <w:rFonts w:ascii="Garamond" w:hAnsi="Garamond"/>
          <w:sz w:val="20"/>
        </w:rPr>
        <w:t>•  Continue Symptom and Impact Log daily.</w:t>
      </w:r>
    </w:p>
    <w:p>
      <w:pPr>
        <w:spacing w:after="80"/>
        <w:ind w:left="340" w:hanging="227"/>
      </w:pPr>
      <w:r>
        <w:rPr>
          <w:rFonts w:ascii="Garamond" w:hAnsi="Garamond"/>
          <w:sz w:val="20"/>
        </w:rPr>
        <w:t>•  Read Chapter 8 (Section 19). Draft, but do not send, the Formal Demand Letter.</w:t>
      </w:r>
    </w:p>
    <w:p>
      <w:pPr>
        <w:spacing w:after="80"/>
        <w:ind w:left="340" w:hanging="227"/>
      </w:pPr>
      <w:r>
        <w:rPr>
          <w:rFonts w:ascii="Garamond" w:hAnsi="Garamond"/>
          <w:sz w:val="20"/>
        </w:rPr>
        <w:t>•  Watch for your child moving from Red (freeze) toward Amber (irritability). This is improvement, not relapse.</w:t>
      </w:r>
    </w:p>
    <w:p>
      <w:pPr>
        <w:spacing w:before="280" w:after="120"/>
      </w:pPr>
      <w:r>
        <w:rPr>
          <w:rFonts w:ascii="Garamond" w:hAnsi="Garamond"/>
          <w:b/>
          <w:color w:val="1B3A5C"/>
          <w:sz w:val="24"/>
        </w:rPr>
        <w:t>WEEK THREE</w:t>
      </w:r>
    </w:p>
    <w:p>
      <w:pPr>
        <w:spacing w:after="80"/>
        <w:ind w:left="340" w:hanging="227"/>
      </w:pPr>
      <w:r>
        <w:rPr>
          <w:rFonts w:ascii="Garamond" w:hAnsi="Garamond"/>
          <w:sz w:val="20"/>
        </w:rPr>
        <w:t>•  Send the Section 19 Formal Demand Letter (Chapter 8) directly to the Director of Children's Services. Bypass the school.</w:t>
      </w:r>
    </w:p>
    <w:p>
      <w:pPr>
        <w:spacing w:after="80"/>
        <w:ind w:left="340" w:hanging="227"/>
      </w:pPr>
      <w:r>
        <w:rPr>
          <w:rFonts w:ascii="Garamond" w:hAnsi="Garamond"/>
          <w:sz w:val="20"/>
        </w:rPr>
        <w:t>•  Begin researching alternative provision — online schools, tutors, EOTAS package options. Not to choose. To know what exists.</w:t>
      </w:r>
    </w:p>
    <w:p>
      <w:pPr>
        <w:spacing w:after="80"/>
        <w:ind w:left="340" w:hanging="227"/>
      </w:pPr>
      <w:r>
        <w:rPr>
          <w:rFonts w:ascii="Garamond" w:hAnsi="Garamond"/>
          <w:sz w:val="20"/>
        </w:rPr>
        <w:t>•  Read Chapter 9. Begin drafting an EHCNA application.</w:t>
      </w:r>
    </w:p>
    <w:p>
      <w:pPr>
        <w:spacing w:before="280" w:after="120"/>
      </w:pPr>
      <w:r>
        <w:rPr>
          <w:rFonts w:ascii="Garamond" w:hAnsi="Garamond"/>
          <w:b/>
          <w:color w:val="1B3A5C"/>
          <w:sz w:val="24"/>
        </w:rPr>
        <w:t>WEEK FOUR</w:t>
      </w:r>
    </w:p>
    <w:p>
      <w:pPr>
        <w:spacing w:after="80"/>
        <w:ind w:left="340" w:hanging="227"/>
      </w:pPr>
      <w:r>
        <w:rPr>
          <w:rFonts w:ascii="Garamond" w:hAnsi="Garamond"/>
          <w:sz w:val="20"/>
        </w:rPr>
        <w:t>•  Submit the EHCNA application. The 6-week statutory clock starts the moment they receive it.</w:t>
      </w:r>
    </w:p>
    <w:p>
      <w:pPr>
        <w:spacing w:after="80"/>
        <w:ind w:left="340" w:hanging="227"/>
      </w:pPr>
      <w:r>
        <w:rPr>
          <w:rFonts w:ascii="Garamond" w:hAnsi="Garamond"/>
          <w:sz w:val="20"/>
        </w:rPr>
        <w:t>•  Check in with yourself. You have just done — in 30 days — what the system would have spent six months stalling on.</w:t>
      </w:r>
    </w:p>
    <w:p>
      <w:pPr>
        <w:spacing w:after="120"/>
      </w:pPr>
      <w:r>
        <w:rPr>
          <w:rFonts w:ascii="Garamond" w:hAnsi="Garamond"/>
          <w:b w:val="0"/>
          <w:i w:val="0"/>
          <w:sz w:val="22"/>
        </w:rPr>
      </w:r>
    </w:p>
    <w:p>
      <w:pPr>
        <w:spacing w:after="120"/>
      </w:pPr>
      <w:r>
        <w:rPr>
          <w:rFonts w:ascii="Garamond" w:hAnsi="Garamond"/>
          <w:b/>
          <w:i w:val="0"/>
          <w:sz w:val="22"/>
        </w:rPr>
        <w:t>By day 30 you have:</w:t>
      </w:r>
    </w:p>
    <w:p>
      <w:pPr>
        <w:spacing w:after="40"/>
        <w:ind w:left="340" w:hanging="227"/>
      </w:pPr>
      <w:r>
        <w:rPr>
          <w:rFonts w:ascii="Garamond" w:hAnsi="Garamond"/>
          <w:sz w:val="20"/>
        </w:rPr>
        <w:t>•  A child whose nervous system has begun to settle</w:t>
      </w:r>
    </w:p>
    <w:p>
      <w:pPr>
        <w:spacing w:after="40"/>
        <w:ind w:left="340" w:hanging="227"/>
      </w:pPr>
      <w:r>
        <w:rPr>
          <w:rFonts w:ascii="Garamond" w:hAnsi="Garamond"/>
          <w:sz w:val="20"/>
        </w:rPr>
        <w:t>•  A medical record proving illness</w:t>
      </w:r>
    </w:p>
    <w:p>
      <w:pPr>
        <w:spacing w:after="40"/>
        <w:ind w:left="340" w:hanging="227"/>
      </w:pPr>
      <w:r>
        <w:rPr>
          <w:rFonts w:ascii="Garamond" w:hAnsi="Garamond"/>
          <w:sz w:val="20"/>
        </w:rPr>
        <w:t>•  A daily impact log proving environmental mismatch</w:t>
      </w:r>
    </w:p>
    <w:p>
      <w:pPr>
        <w:spacing w:after="40"/>
        <w:ind w:left="340" w:hanging="227"/>
      </w:pPr>
      <w:r>
        <w:rPr>
          <w:rFonts w:ascii="Garamond" w:hAnsi="Garamond"/>
          <w:sz w:val="20"/>
        </w:rPr>
        <w:t>•  A Section 19 letter on the desk of the Director of Children's Services</w:t>
      </w:r>
    </w:p>
    <w:p>
      <w:pPr>
        <w:spacing w:after="40"/>
        <w:ind w:left="340" w:hanging="227"/>
      </w:pPr>
      <w:r>
        <w:rPr>
          <w:rFonts w:ascii="Garamond" w:hAnsi="Garamond"/>
          <w:sz w:val="20"/>
        </w:rPr>
        <w:t>•  An EHCNA application formally submitted</w:t>
      </w:r>
    </w:p>
    <w:p>
      <w:pPr>
        <w:spacing w:after="120"/>
      </w:pPr>
      <w:r>
        <w:rPr>
          <w:rFonts w:ascii="Garamond" w:hAnsi="Garamond"/>
          <w:b w:val="0"/>
          <w:i/>
          <w:sz w:val="22"/>
        </w:rPr>
        <w:t>You are no longer the person being chased. You are the person making formal demands the LA is statutorily required to meet.</w:t>
      </w:r>
    </w:p>
    <w:p>
      <w:pPr>
        <w:spacing w:after="120"/>
      </w:pPr>
      <w:r>
        <w:rPr>
          <w:rFonts w:ascii="Garamond" w:hAnsi="Garamond"/>
          <w:b w:val="0"/>
          <w:i/>
          <w:sz w:val="22"/>
        </w:rPr>
        <w:t>You do not need to be brilliant. You only need to follow this page.</w:t>
      </w:r>
    </w:p>
    <w:p>
      <w:r>
        <w:br w:type="page"/>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1</w:t>
      </w:r>
    </w:p>
    <w:p>
      <w:pPr>
        <w:spacing w:before="0" w:after="0"/>
        <w:jc w:val="center"/>
      </w:pPr>
      <w:r>
        <w:rPr>
          <w:rFonts w:ascii="Garamond" w:hAnsi="Garamond"/>
          <w:b/>
          <w:i w:val="0"/>
          <w:sz w:val="36"/>
        </w:rPr>
        <w:t>THERAPEUTIC REHABILITATION FOR THE CHILD</w:t>
      </w:r>
    </w:p>
    <w:p>
      <w:r>
        <w:br w:type="page"/>
      </w:r>
    </w:p>
    <w:p>
      <w:r>
        <w:br w:type="page"/>
      </w:r>
    </w:p>
    <w:p>
      <w:pPr>
        <w:spacing w:before="800" w:after="120"/>
        <w:jc w:val="center"/>
      </w:pPr>
      <w:r>
        <w:rPr>
          <w:rFonts w:ascii="Garamond" w:hAnsi="Garamond"/>
          <w:b w:val="0"/>
          <w:i/>
          <w:sz w:val="24"/>
        </w:rPr>
        <w:t>Chapter 1</w:t>
      </w:r>
    </w:p>
    <w:p>
      <w:pPr>
        <w:pStyle w:val="Heading1"/>
        <w:jc w:val="center"/>
      </w:pPr>
      <w:r>
        <w:rPr>
          <w:rFonts w:ascii="Garamond" w:hAnsi="Garamond"/>
        </w:rPr>
        <w:t>The Anatomy of School Trauma</w:t>
      </w:r>
    </w:p>
    <w:p>
      <w:pPr>
        <w:spacing w:after="120"/>
        <w:ind w:firstLine="227"/>
      </w:pPr>
      <w:r>
        <w:rPr>
          <w:rFonts w:ascii="Garamond" w:hAnsi="Garamond"/>
          <w:b w:val="0"/>
          <w:i w:val="0"/>
          <w:sz w:val="22"/>
        </w:rPr>
        <w:t>When a fourteen-year-old has been out of school for a full year, well-meaning professionals will eventually try to build what they call a "low-pressure bridge." They will offer accommodations that sound perfectly reasonable on paper: “Let’s just have him come in for PE. He loves sports, his core friends will meet him at the gate to greet him, and he doesn’t have to do any academic work.”</w:t>
      </w:r>
    </w:p>
    <w:p>
      <w:pPr>
        <w:spacing w:after="120"/>
        <w:ind w:firstLine="227"/>
      </w:pPr>
      <w:r>
        <w:rPr>
          <w:rFonts w:ascii="Garamond" w:hAnsi="Garamond"/>
          <w:b w:val="0"/>
          <w:i w:val="0"/>
          <w:sz w:val="22"/>
        </w:rPr>
        <w:t>Then, the morning arrives. The shoes stay off. The door stays locked. The teenager retreats deeper into his room, and the offer is refused.</w:t>
      </w:r>
    </w:p>
    <w:p>
      <w:pPr>
        <w:spacing w:after="120"/>
        <w:ind w:firstLine="227"/>
      </w:pPr>
      <w:r>
        <w:rPr>
          <w:rFonts w:ascii="Garamond" w:hAnsi="Garamond"/>
          <w:b w:val="0"/>
          <w:i w:val="0"/>
          <w:sz w:val="22"/>
        </w:rPr>
        <w:t>To the school, this looks like a child who is becoming more entrenched, stubborn, or manipulative. To you, it feels like a devastating regression. But from a neurological standpoint, the offer didn't fail because your son is defiant; it failed because it was an unsafe demand placed on a broken nervous system.</w:t>
      </w:r>
    </w:p>
    <w:p>
      <w:pPr>
        <w:spacing w:after="120"/>
        <w:ind w:firstLine="227"/>
      </w:pPr>
      <w:r>
        <w:rPr>
          <w:rFonts w:ascii="Garamond" w:hAnsi="Garamond"/>
          <w:b w:val="0"/>
          <w:i w:val="0"/>
          <w:sz w:val="22"/>
        </w:rPr>
        <w:t>The Neurological Trap of the "Gentle Reintegration"</w:t>
      </w:r>
    </w:p>
    <w:p>
      <w:pPr>
        <w:spacing w:after="120"/>
        <w:ind w:firstLine="227"/>
      </w:pPr>
      <w:r>
        <w:rPr>
          <w:rFonts w:ascii="Garamond" w:hAnsi="Garamond"/>
          <w:b w:val="0"/>
          <w:i w:val="0"/>
          <w:sz w:val="22"/>
        </w:rPr>
        <w:t>To understand why the PE and friends offer failed, you have to look at it through the lens of a hyper-vigilant nervous system. For a child in deep school distress, the school building is not an educational establishment; it is a site of chronic physiological threat. Their brain treats the thought of the school gates exactly the same way your brain would treat an order to step into a cage with a predator.</w:t>
      </w:r>
    </w:p>
    <w:p>
      <w:pPr>
        <w:spacing w:after="120"/>
        <w:ind w:firstLine="227"/>
      </w:pPr>
      <w:r>
        <w:rPr>
          <w:rFonts w:ascii="Garamond" w:hAnsi="Garamond"/>
          <w:b w:val="0"/>
          <w:i w:val="0"/>
          <w:sz w:val="22"/>
        </w:rPr>
        <w:t>When the school suggests that his friends meet him at the gate, they see it as a welcome party. Your child’s nervous system sees it as a spotlight.</w:t>
      </w:r>
    </w:p>
    <w:p>
      <w:pPr>
        <w:spacing w:after="120"/>
        <w:ind w:firstLine="227"/>
      </w:pPr>
      <w:r>
        <w:rPr>
          <w:rFonts w:ascii="Garamond" w:hAnsi="Garamond"/>
          <w:b w:val="0"/>
          <w:i w:val="0"/>
          <w:sz w:val="22"/>
        </w:rPr>
        <w:t>Anxious teenagers mask their distress to survive. Being met by a group of peers forces an immediate, massive demand to "perform" safety when they are internally in a state of terror. Furthermore, PE is one of the loudest, most chaotic, and least structured environments in a school. Expecting a child whose sensory system is already red-lined by the mere thought of school to walk directly into a high-stimulus environment is a fundamental mismatch. It didn't fail because he didn't want to see his friends; it failed because his brain overrode his intentions to keep him alive.</w:t>
      </w:r>
    </w:p>
    <w:p>
      <w:pPr>
        <w:spacing w:after="120"/>
        <w:ind w:firstLine="227"/>
      </w:pPr>
      <w:r>
        <w:rPr>
          <w:rFonts w:ascii="Garamond" w:hAnsi="Garamond"/>
          <w:b w:val="0"/>
          <w:i w:val="0"/>
          <w:sz w:val="22"/>
        </w:rPr>
        <w:t>Decoding the Survival States: The Polyvagal Reality</w:t>
      </w:r>
    </w:p>
    <w:p>
      <w:pPr>
        <w:spacing w:after="120"/>
        <w:ind w:firstLine="227"/>
      </w:pPr>
      <w:r>
        <w:rPr>
          <w:rFonts w:ascii="Garamond" w:hAnsi="Garamond"/>
          <w:b w:val="0"/>
          <w:i w:val="0"/>
          <w:sz w:val="22"/>
        </w:rPr>
        <w:t>We have been conditioned to think of school refusal as a psychological choice. It is not. It is an autonomic reaction governed by the Autonomic Nervous System (ANS). When a child is exposed to chronic, unmanageable stress, their nervous system drops through distinct survival layers:</w:t>
      </w:r>
    </w:p>
    <w:p>
      <w:pPr>
        <w:spacing w:after="120"/>
        <w:ind w:firstLine="227"/>
      </w:pPr>
      <w:r>
        <w:rPr>
          <w:rFonts w:ascii="Garamond" w:hAnsi="Garamond"/>
          <w:b w:val="0"/>
          <w:i w:val="0"/>
          <w:sz w:val="22"/>
        </w:rPr>
        <w:t>Safe &amp; Social (Ventral Vagal): Calm heart rate, open to learning, connection active.</w:t>
      </w:r>
    </w:p>
    <w:p>
      <w:pPr>
        <w:spacing w:after="120"/>
        <w:ind w:firstLine="227"/>
      </w:pPr>
      <w:r>
        <w:rPr>
          <w:rFonts w:ascii="Garamond" w:hAnsi="Garamond"/>
          <w:b w:val="0"/>
          <w:i w:val="0"/>
          <w:sz w:val="22"/>
        </w:rPr>
        <w:t>Fight or Flight (Sympathetic): High adrenaline, meltdowns, shouting, an overwhelming urge to escape or run.</w:t>
      </w:r>
    </w:p>
    <w:p>
      <w:pPr>
        <w:spacing w:after="120"/>
        <w:ind w:firstLine="227"/>
      </w:pPr>
      <w:r>
        <w:rPr>
          <w:rFonts w:ascii="Garamond" w:hAnsi="Garamond"/>
          <w:b w:val="0"/>
          <w:i w:val="0"/>
          <w:sz w:val="22"/>
        </w:rPr>
        <w:t>Freeze or Flop (Dorsal Vagal): Metabolic shutdown, catatonia, mutism, complete immobilisation.</w:t>
      </w:r>
    </w:p>
    <w:p>
      <w:pPr>
        <w:spacing w:after="120"/>
        <w:ind w:firstLine="227"/>
      </w:pPr>
      <w:r>
        <w:rPr>
          <w:rFonts w:ascii="Garamond" w:hAnsi="Garamond"/>
          <w:b w:val="0"/>
          <w:i w:val="0"/>
          <w:sz w:val="22"/>
        </w:rPr>
        <w:t>When your son locks the door or becomes completely unresponsive, he has bypassed Fight or Flight and has dropped into the deepest defensive state: Dorsal Vagal Shutdown (Freeze/Flop).</w:t>
      </w:r>
    </w:p>
    <w:p>
      <w:pPr>
        <w:spacing w:after="120"/>
        <w:ind w:firstLine="227"/>
      </w:pPr>
      <w:r>
        <w:rPr>
          <w:rFonts w:ascii="Garamond" w:hAnsi="Garamond"/>
          <w:b w:val="0"/>
          <w:i w:val="0"/>
          <w:sz w:val="22"/>
        </w:rPr>
        <w:t>In this state, the brain actively cuts off power to the prefrontal cortex—the area responsible for logic, language, and future planning. When he is in Freeze, he cannot "think" his way out of it, and no amount of logical reasoning, bribery, or threats from you will register. His body has initiated a metabolic shutdown to protect itself from a perceived fatal threat.</w:t>
      </w:r>
    </w:p>
    <w:p>
      <w:pPr>
        <w:spacing w:after="120"/>
        <w:ind w:firstLine="227"/>
      </w:pPr>
      <w:r>
        <w:rPr>
          <w:rFonts w:ascii="Garamond" w:hAnsi="Garamond"/>
          <w:b w:val="0"/>
          <w:i w:val="0"/>
          <w:sz w:val="22"/>
        </w:rPr>
        <w:t>The Critical Distinction: Won't vs. Can't</w:t>
      </w:r>
    </w:p>
    <w:p>
      <w:pPr>
        <w:spacing w:after="120"/>
        <w:ind w:firstLine="227"/>
      </w:pPr>
      <w:r>
        <w:rPr>
          <w:rFonts w:ascii="Garamond" w:hAnsi="Garamond"/>
          <w:b w:val="0"/>
          <w:i w:val="0"/>
          <w:sz w:val="22"/>
        </w:rPr>
        <w:t>The entire educational and legal framework of attendance fines is built on the myth of "Won't." It assumes the child has the baseline capability to attend, but is wilfully choosing not to. As an authoritative advocate, you must permanently replace "Won't" with "Can't" in your vocabulary and in your documentation.</w:t>
      </w:r>
    </w:p>
    <w:p>
      <w:pPr>
        <w:spacing w:after="120"/>
        <w:ind w:firstLine="227"/>
      </w:pPr>
      <w:r>
        <w:rPr>
          <w:rFonts w:ascii="Garamond" w:hAnsi="Garamond"/>
          <w:b w:val="0"/>
          <w:i w:val="0"/>
          <w:sz w:val="22"/>
        </w:rPr>
        <w:t>"Won't" is a behavioural choice. It can be corrected with rewards, boundaries, and consequences.</w:t>
      </w:r>
    </w:p>
    <w:p>
      <w:pPr>
        <w:spacing w:after="120"/>
        <w:ind w:firstLine="227"/>
      </w:pPr>
      <w:r>
        <w:rPr>
          <w:rFonts w:ascii="Garamond" w:hAnsi="Garamond"/>
          <w:b w:val="0"/>
          <w:i w:val="0"/>
          <w:sz w:val="22"/>
        </w:rPr>
        <w:t>"Can't" is a neurological immobilisation. Attempting to correct it with consequences or increased pressure is the psychological equivalent of telling a person in a wheelchair to "try harder" to walk up the stairs. It only increases the internal panic, making the physical recovery period much longer.</w:t>
      </w:r>
    </w:p>
    <w:p>
      <w:pPr>
        <w:spacing w:before="280" w:after="120"/>
      </w:pPr>
      <w:r>
        <w:rPr>
          <w:rFonts w:ascii="Garamond" w:hAnsi="Garamond"/>
          <w:b/>
          <w:color w:val="1B3A5C"/>
          <w:sz w:val="24"/>
        </w:rPr>
        <w:t>The Practical Tool: The Daily Nervous System Tracker</w:t>
      </w:r>
    </w:p>
    <w:p>
      <w:pPr>
        <w:spacing w:after="120"/>
        <w:ind w:firstLine="227"/>
      </w:pPr>
      <w:r>
        <w:rPr>
          <w:rFonts w:ascii="Garamond" w:hAnsi="Garamond"/>
          <w:b w:val="0"/>
          <w:i w:val="0"/>
          <w:sz w:val="22"/>
        </w:rPr>
        <w:t>Before you can implement any of the legal or educational tools in the later modules of this book, you must stabilise the home environment. You cannot build a legal strategy while your household is in an active trauma loop. Use this tracker to assess your child’s baseline state daily without interviewing them or demanding answers. Look purely at the somatic indicators.</w:t>
      </w:r>
    </w:p>
    <w:p>
      <w:pPr>
        <w:spacing w:after="120"/>
        <w:ind w:firstLine="227"/>
      </w:pPr>
      <w:r>
        <w:rPr>
          <w:rFonts w:ascii="Garamond" w:hAnsi="Garamond"/>
          <w:b w:val="0"/>
          <w:i w:val="0"/>
          <w:sz w:val="22"/>
        </w:rPr>
        <w:t>Ventral Vagal (Safe &amp; Social): Fluid body language, normal eye contact, ability to engage in a hobby or laugh, regulated sleep patterns. Home Management Rule: Green Light. Safe zone. This is the only state where you can introduce low-demand discussions about alternative learning paths.</w:t>
      </w:r>
    </w:p>
    <w:p>
      <w:pPr>
        <w:spacing w:after="120"/>
        <w:ind w:firstLine="227"/>
      </w:pPr>
      <w:r>
        <w:rPr>
          <w:rFonts w:ascii="Garamond" w:hAnsi="Garamond"/>
          <w:b w:val="0"/>
          <w:i w:val="0"/>
          <w:sz w:val="22"/>
        </w:rPr>
        <w:t>Sympathetic (Fight / Flight): Irritability, pacing, high startle response, door slamming, hyper-fixation on screens/escapism, defensive posture. Home Management Rule: Amber Light. De-escalate immediately. Remove all demands. Do not talk about school, the future, or expectations. Focus on physical comfort and quiet.</w:t>
      </w:r>
    </w:p>
    <w:p>
      <w:pPr>
        <w:spacing w:after="120"/>
        <w:ind w:firstLine="227"/>
      </w:pPr>
      <w:r>
        <w:rPr>
          <w:rFonts w:ascii="Garamond" w:hAnsi="Garamond"/>
          <w:b w:val="0"/>
          <w:i w:val="0"/>
          <w:sz w:val="22"/>
        </w:rPr>
        <w:t>Dorsal Vagal (Freeze / Flop): Catatonic presentation, selective mutism, inability to get out of bed, flat affect, heavy sleeping during the day, complete withdrawal. Home Management Rule: Red Light. Zero demand protocol. Treat this as a severe physical concussion. Ensure fluids/food are accessible without interaction. Total sensory rest required.</w:t>
      </w:r>
    </w:p>
    <w:p>
      <w:pPr>
        <w:spacing w:after="120"/>
        <w:ind w:firstLine="227"/>
      </w:pPr>
      <w:r>
        <w:rPr>
          <w:rFonts w:ascii="Garamond" w:hAnsi="Garamond"/>
          <w:b w:val="0"/>
          <w:i w:val="0"/>
          <w:sz w:val="22"/>
        </w:rPr>
        <w:t>The Guardian Rule: Healing cannot occur in the same environment that caused the injury, nor can it occur while the threat of that environment is kept alive. Every time you remind a child in Dorsal Freeze about an upcoming school meeting or a new reintegration plan, you reset their recovery clock to zero. Your single job in this phase is to move them from Red to Amber, and eventually to Green, by making the home a fortress of absolute safety.</w:t>
      </w:r>
    </w:p>
    <w:p>
      <w:pPr>
        <w:spacing w:before="360" w:after="120"/>
        <w:jc w:val="center"/>
      </w:pPr>
      <w:r>
        <w:rPr>
          <w:color w:val="6B7280"/>
          <w:sz w:val="20"/>
        </w:rPr>
        <w:t>· · ·</w:t>
      </w:r>
    </w:p>
    <w:p>
      <w:pPr>
        <w:spacing w:after="120"/>
      </w:pPr>
      <w:r>
        <w:rPr>
          <w:rFonts w:ascii="Garamond" w:hAnsi="Garamond"/>
          <w:b/>
          <w:i/>
          <w:color w:val="1B3A5C"/>
          <w:sz w:val="22"/>
        </w:rPr>
        <w:t>Primary Variant — Reading the state of a younger child</w:t>
      </w:r>
    </w:p>
    <w:p>
      <w:pPr>
        <w:spacing w:after="120"/>
      </w:pPr>
      <w:r>
        <w:rPr>
          <w:rFonts w:ascii="Garamond" w:hAnsi="Garamond"/>
          <w:sz w:val="20"/>
        </w:rPr>
        <w:t>A primary-age child cannot always tell you what they are feeling, because the words have not formed yet. The somatic indicators do most of the work.</w:t>
      </w:r>
    </w:p>
    <w:p>
      <w:pPr>
        <w:spacing w:after="120"/>
      </w:pPr>
      <w:r>
        <w:rPr>
          <w:rFonts w:ascii="Garamond" w:hAnsi="Garamond"/>
          <w:sz w:val="20"/>
        </w:rPr>
        <w:t>Red (freeze): going small. Hiding under tables or behind sofas. Not wanting to be touched. Sudden loss of language. Soiling or wetting. Long periods of staring with no apparent focus.</w:t>
      </w:r>
    </w:p>
    <w:p>
      <w:pPr>
        <w:spacing w:after="120"/>
      </w:pPr>
      <w:r>
        <w:rPr>
          <w:rFonts w:ascii="Garamond" w:hAnsi="Garamond"/>
          <w:sz w:val="20"/>
        </w:rPr>
        <w:t>Amber (fight/flight): running. Hitting. Screaming that does not appear to be about the apparent trigger. Repetitive demands for something specific and impossible. Refusing to remove a coat or shoes.</w:t>
      </w:r>
    </w:p>
    <w:p>
      <w:pPr>
        <w:spacing w:after="120"/>
      </w:pPr>
      <w:r>
        <w:rPr>
          <w:rFonts w:ascii="Garamond" w:hAnsi="Garamond"/>
          <w:sz w:val="20"/>
        </w:rPr>
        <w:t>Green: play. Spontaneous talking. Affection initiated by the child. Interest in what is around them.</w:t>
      </w:r>
    </w:p>
    <w:p>
      <w:pPr>
        <w:spacing w:after="120"/>
      </w:pPr>
      <w:r>
        <w:rPr>
          <w:rFonts w:ascii="Garamond" w:hAnsi="Garamond"/>
          <w:sz w:val="20"/>
        </w:rPr>
        <w:t>The same rule applies as for older children: do not introduce demand in Red, de-escalate in Amber, and use Green for any conversation about school. The difference is duration. A primary-age child's window in Green can be very short — minutes rather than hours. Take what is offered.</w:t>
      </w:r>
    </w:p>
    <w:p>
      <w:pPr>
        <w:spacing w:after="280"/>
        <w:jc w:val="center"/>
      </w:pPr>
      <w:r>
        <w:rPr>
          <w:color w:val="6B7280"/>
          <w:sz w:val="20"/>
        </w:rPr>
        <w:t>· · ·</w:t>
      </w:r>
    </w:p>
    <w:p>
      <w:pPr>
        <w:spacing w:before="480" w:after="120"/>
        <w:jc w:val="center"/>
      </w:pPr>
      <w:r>
        <w:rPr>
          <w:color w:val="6B7280"/>
          <w:sz w:val="16"/>
        </w:rPr>
        <w:t>──────────────────────────────────────────────────</w:t>
      </w:r>
    </w:p>
    <w:p>
      <w:pPr>
        <w:spacing w:after="160"/>
      </w:pPr>
      <w:r>
        <w:rPr>
          <w:rFonts w:ascii="Garamond" w:hAnsi="Garamond"/>
          <w:b/>
          <w:color w:val="1B3A5C"/>
          <w:sz w:val="24"/>
        </w:rPr>
        <w:t>Reading your child's state takes practice.</w:t>
      </w:r>
    </w:p>
    <w:p>
      <w:pPr>
        <w:spacing w:after="120"/>
      </w:pPr>
      <w:r>
        <w:rPr>
          <w:rFonts w:ascii="Garamond" w:hAnsi="Garamond"/>
          <w:sz w:val="20"/>
        </w:rPr>
        <w:t>Most parents can learn to recognise Red, Amber, and Green within a fortnight. Some children — particularly those with co-occurring autism, PDA, or trauma history — present in mixed or rapidly shifting states that are genuinely harder to read.</w:t>
      </w:r>
    </w:p>
    <w:p>
      <w:pPr>
        <w:spacing w:after="120"/>
      </w:pPr>
      <w:r>
        <w:rPr>
          <w:rFonts w:ascii="Garamond" w:hAnsi="Garamond"/>
          <w:sz w:val="20"/>
        </w:rPr>
        <w:t>If your child's state is fluctuating in ways you cannot map, a single conversation can short-cut weeks of guesswork.</w:t>
      </w:r>
    </w:p>
    <w:p>
      <w:pPr>
        <w:spacing w:after="120"/>
      </w:pPr>
      <w:r>
        <w:rPr>
          <w:rFonts w:ascii="Garamond" w:hAnsi="Garamond"/>
          <w:sz w:val="20"/>
        </w:rPr>
        <w:t>SEND Navigate offers a free fifteen-minute call to talk through where you are. There is no sales pitch and no obligation. If a paid consultation would help, the first paid tier is the £160 Initial Consultation — a 90-minute deep-dive with pre-read and written next steps.</w:t>
      </w:r>
    </w:p>
    <w:p>
      <w:pPr>
        <w:spacing w:before="80" w:after="80"/>
      </w:pPr>
      <w:r>
        <w:rPr>
          <w:rFonts w:ascii="Garamond" w:hAnsi="Garamond"/>
          <w:b/>
          <w:sz w:val="20"/>
        </w:rPr>
        <w:t>sendnavigate.org/book</w:t>
      </w:r>
    </w:p>
    <w:p>
      <w:pPr>
        <w:spacing w:after="360"/>
        <w:jc w:val="center"/>
      </w:pPr>
      <w:r>
        <w:rPr>
          <w:color w:val="6B7280"/>
          <w:sz w:val="16"/>
        </w:rPr>
        <w:t>──────────────────────────────────────────────────</w:t>
      </w:r>
    </w:p>
    <w:p>
      <w:r>
        <w:br w:type="page"/>
      </w:r>
    </w:p>
    <w:p>
      <w:pPr>
        <w:spacing w:before="800" w:after="120"/>
        <w:jc w:val="center"/>
      </w:pPr>
      <w:r>
        <w:rPr>
          <w:rFonts w:ascii="Garamond" w:hAnsi="Garamond"/>
          <w:b w:val="0"/>
          <w:i/>
          <w:sz w:val="24"/>
        </w:rPr>
        <w:t>Chapter 2</w:t>
      </w:r>
    </w:p>
    <w:p>
      <w:pPr>
        <w:pStyle w:val="Heading1"/>
        <w:jc w:val="center"/>
      </w:pPr>
      <w:r>
        <w:rPr>
          <w:rFonts w:ascii="Garamond" w:hAnsi="Garamond"/>
        </w:rPr>
        <w:t>The "Sanctuary Home" Protocol</w:t>
      </w:r>
    </w:p>
    <w:p>
      <w:pPr>
        <w:spacing w:after="120"/>
        <w:ind w:firstLine="227"/>
      </w:pPr>
      <w:r>
        <w:rPr>
          <w:rFonts w:ascii="Garamond" w:hAnsi="Garamond"/>
          <w:b w:val="0"/>
          <w:i w:val="0"/>
          <w:sz w:val="22"/>
        </w:rPr>
        <w:t>When a teenager has experienced long-term school distress, the home often inadvertently becomes an extension of the school battleground. The constant tension of the morning routine, the underlying anxiety about what the future holds, and the subtle, daily pressures to conform create an environment where the child’s cortisol levels never drop.</w:t>
      </w:r>
    </w:p>
    <w:p>
      <w:pPr>
        <w:spacing w:after="120"/>
        <w:ind w:firstLine="227"/>
      </w:pPr>
      <w:r>
        <w:rPr>
          <w:rFonts w:ascii="Garamond" w:hAnsi="Garamond"/>
          <w:b w:val="0"/>
          <w:i w:val="0"/>
          <w:sz w:val="22"/>
        </w:rPr>
        <w:t>To heal a severely traumatised nervous system, you must implement the Sanctuary Home Protocol. This is a radical, deliberate shift from a model of behavioural management to a model of total physiological safety. It requires the primary caregiver to step down as the enforcer of the state and step up as a safe biological anchor.</w:t>
      </w:r>
    </w:p>
    <w:p>
      <w:pPr>
        <w:spacing w:after="120"/>
        <w:ind w:firstLine="227"/>
      </w:pPr>
      <w:r>
        <w:rPr>
          <w:rFonts w:ascii="Garamond" w:hAnsi="Garamond"/>
          <w:b w:val="0"/>
          <w:i w:val="0"/>
          <w:sz w:val="22"/>
        </w:rPr>
        <w:t>The Mechanics of the Radical Low-Demand Framework</w:t>
      </w:r>
    </w:p>
    <w:p>
      <w:pPr>
        <w:spacing w:after="120"/>
        <w:ind w:firstLine="227"/>
      </w:pPr>
      <w:r>
        <w:rPr>
          <w:rFonts w:ascii="Garamond" w:hAnsi="Garamond"/>
          <w:b w:val="0"/>
          <w:i w:val="0"/>
          <w:sz w:val="22"/>
        </w:rPr>
        <w:t>A child stuck in a Dorsal Vagal freeze response cannot process demands. Every instruction—whether it is an order to brush their teeth, an inquiry about their sleep schedule, or a casual mention of a tutor—is processed by their hyper-vigilant amygdala as an imminent threat.</w:t>
      </w:r>
    </w:p>
    <w:p>
      <w:pPr>
        <w:spacing w:after="120"/>
        <w:ind w:firstLine="227"/>
      </w:pPr>
      <w:r>
        <w:rPr>
          <w:rFonts w:ascii="Garamond" w:hAnsi="Garamond"/>
          <w:b w:val="0"/>
          <w:i w:val="0"/>
          <w:sz w:val="22"/>
        </w:rPr>
        <w:t>The Low-Demand Framework is a temporary clinical intervention designed to lower the baseline adrenaline in your home below the panic threshold. It operates on a simple principle: if a demand does not directly relate to immediate physical safety, it is dropped.</w:t>
      </w:r>
    </w:p>
    <w:p>
      <w:pPr>
        <w:spacing w:after="120"/>
        <w:ind w:firstLine="227"/>
      </w:pPr>
      <w:r>
        <w:rPr>
          <w:rFonts w:ascii="Garamond" w:hAnsi="Garamond"/>
          <w:b w:val="0"/>
          <w:i w:val="0"/>
          <w:sz w:val="22"/>
        </w:rPr>
        <w:t>De-linking Sleep and Shame: Traumatised teenagers often experience delayed sleep phase syndrome, staying awake until 3am or 4am. This is not defiance; it is the only time their nervous system feels safe because the rest of the world is asleep and the threat of the school morning is hours away. Stop enforcing traditional bedtimes. Allow their body to sleep when it can without attaching shame or frustration to it.</w:t>
      </w:r>
    </w:p>
    <w:p>
      <w:pPr>
        <w:spacing w:after="120"/>
        <w:ind w:firstLine="227"/>
      </w:pPr>
      <w:r>
        <w:rPr>
          <w:rFonts w:ascii="Garamond" w:hAnsi="Garamond"/>
          <w:b w:val="0"/>
          <w:i w:val="0"/>
          <w:sz w:val="22"/>
        </w:rPr>
        <w:t>The Erasure of Visible Triggers: School uniforms, school bags, and textbooks must be removed from your child’s line of sight. Leaving these items visible is a form of chronic, low-level exposure therapy that re-traumatises the nervous system daily. Pack them away entirely.</w:t>
      </w:r>
    </w:p>
    <w:p>
      <w:pPr>
        <w:spacing w:after="120"/>
        <w:ind w:firstLine="227"/>
      </w:pPr>
      <w:r>
        <w:rPr>
          <w:rFonts w:ascii="Garamond" w:hAnsi="Garamond"/>
          <w:b w:val="0"/>
          <w:i w:val="0"/>
          <w:sz w:val="22"/>
        </w:rPr>
        <w:t>Shifting from Interrogation to Parallel Presence: Stop asking, “How are you feeling?” or “What do you want to do today?” Direct questions require cognitive processing that an overloaded brain cannot afford. Instead, practise parallel presence: sit in the same room, watch a screen together, or eat a meal without demanding conversation. Safety is built through shared, quiet space, not verbal reassurance.</w:t>
      </w:r>
    </w:p>
    <w:p>
      <w:pPr>
        <w:spacing w:before="280" w:after="120"/>
      </w:pPr>
      <w:r>
        <w:rPr>
          <w:rFonts w:ascii="Garamond" w:hAnsi="Garamond"/>
          <w:b/>
          <w:color w:val="1B3A5C"/>
          <w:sz w:val="24"/>
        </w:rPr>
        <w:t>When Your Child Has a PDA Profile: How This Book Applies, and Where It Differs</w:t>
      </w:r>
    </w:p>
    <w:p>
      <w:pPr>
        <w:spacing w:after="120"/>
      </w:pPr>
      <w:r>
        <w:rPr>
          <w:rFonts w:ascii="Garamond" w:hAnsi="Garamond"/>
          <w:b w:val="0"/>
          <w:i w:val="0"/>
          <w:sz w:val="22"/>
        </w:rPr>
        <w:t>Some readers will already have heard the term PDA — Pathological Demand Avoidance, sometimes called Pervasive Drive for Autonomy. Others will not, and will find themselves recognising every example below regardless.</w:t>
      </w:r>
    </w:p>
    <w:p>
      <w:pPr>
        <w:spacing w:after="120"/>
      </w:pPr>
      <w:r>
        <w:rPr>
          <w:rFonts w:ascii="Garamond" w:hAnsi="Garamond"/>
          <w:b w:val="0"/>
          <w:i w:val="0"/>
          <w:sz w:val="22"/>
        </w:rPr>
        <w:t>PDA is a profile most often described in relation to autism. The defining feature is an extreme, anxiety-driven need to resist any perception of demand — including kind ones, including the child's own. A request from a loving parent ("would you like some toast?") can land like a threat. So can the child's own intention to do something they want to do. The body reacts faster than the mind can intervene, with panic, refusal, fawning, or shutdown.</w:t>
      </w:r>
    </w:p>
    <w:p>
      <w:pPr>
        <w:spacing w:after="120"/>
      </w:pPr>
      <w:r>
        <w:rPr>
          <w:rFonts w:ascii="Garamond" w:hAnsi="Garamond"/>
          <w:b w:val="0"/>
          <w:i w:val="0"/>
          <w:sz w:val="22"/>
        </w:rPr>
        <w:t>If your child has been described as defiant, controlling, manipulative, or "too clever for their own good" — and if standard parenting approaches make things spectacularly worse — there is a good chance you are reading about a PDA profile.</w:t>
      </w:r>
    </w:p>
    <w:p>
      <w:pPr>
        <w:spacing w:before="280" w:after="120"/>
      </w:pPr>
      <w:r>
        <w:rPr>
          <w:rFonts w:ascii="Garamond" w:hAnsi="Garamond"/>
          <w:b/>
          <w:color w:val="1B3A5C"/>
          <w:sz w:val="24"/>
        </w:rPr>
        <w:t>Why this section matters</w:t>
      </w:r>
    </w:p>
    <w:p>
      <w:pPr>
        <w:spacing w:after="120"/>
      </w:pPr>
      <w:r>
        <w:rPr>
          <w:rFonts w:ascii="Garamond" w:hAnsi="Garamond"/>
          <w:b w:val="0"/>
          <w:i w:val="0"/>
          <w:sz w:val="22"/>
        </w:rPr>
        <w:t>The Sanctuary Home Protocol — radical low-demand parenting — was developed in part for children with this profile. The principles in this chapter, applied to a child without PDA, will produce significant improvement. Applied to a child with a PDA profile, those same principles need to go further, and the language matters more.</w:t>
      </w:r>
    </w:p>
    <w:p>
      <w:pPr>
        <w:spacing w:after="120"/>
      </w:pPr>
      <w:r>
        <w:rPr>
          <w:rFonts w:ascii="Garamond" w:hAnsi="Garamond"/>
          <w:b w:val="0"/>
          <w:i w:val="0"/>
          <w:sz w:val="22"/>
        </w:rPr>
        <w:t>This section is not a diagnostic guide. It is a translation of the Protocol for the PDA reality. If, after reading this section, you suspect your child has a PDA profile, the PDA Society (pdasociety.org.uk) is the right next port of call. Diagnosis — where available — is handled by specialist clinicians and is rarely available on the NHS. Many families operate effectively without a formal label, using the framework alone.</w:t>
      </w:r>
    </w:p>
    <w:p>
      <w:pPr>
        <w:spacing w:before="280" w:after="120"/>
      </w:pPr>
      <w:r>
        <w:rPr>
          <w:rFonts w:ascii="Garamond" w:hAnsi="Garamond"/>
          <w:b/>
          <w:color w:val="1B3A5C"/>
          <w:sz w:val="24"/>
        </w:rPr>
        <w:t>Three principles that need to go further</w:t>
      </w:r>
    </w:p>
    <w:p>
      <w:pPr>
        <w:spacing w:after="120"/>
      </w:pPr>
      <w:r>
        <w:rPr>
          <w:rFonts w:ascii="Garamond" w:hAnsi="Garamond"/>
          <w:b/>
          <w:i w:val="0"/>
          <w:sz w:val="22"/>
        </w:rPr>
        <w:t>1. Indirect is the default, not the exception.</w:t>
      </w:r>
    </w:p>
    <w:p>
      <w:pPr>
        <w:spacing w:after="120"/>
      </w:pPr>
      <w:r>
        <w:rPr>
          <w:rFonts w:ascii="Garamond" w:hAnsi="Garamond"/>
          <w:b w:val="0"/>
          <w:i w:val="0"/>
          <w:sz w:val="22"/>
        </w:rPr>
        <w:t>For a non-PDA child, "Time for dinner" is a friendly cue. For a PDA child, it is a demand to surrender autonomy at a fixed time, with no exit. Replace it.</w:t>
      </w:r>
    </w:p>
    <w:p>
      <w:pPr>
        <w:spacing w:after="120"/>
      </w:pPr>
      <w:r>
        <w:rPr>
          <w:rFonts w:ascii="Garamond" w:hAnsi="Garamond"/>
          <w:b w:val="0"/>
          <w:i/>
          <w:sz w:val="22"/>
        </w:rPr>
        <w:t>Instead of: "Time for dinner."</w:t>
      </w:r>
    </w:p>
    <w:p>
      <w:pPr>
        <w:spacing w:after="120"/>
      </w:pPr>
      <w:r>
        <w:rPr>
          <w:rFonts w:ascii="Garamond" w:hAnsi="Garamond"/>
          <w:b w:val="0"/>
          <w:i/>
          <w:sz w:val="22"/>
        </w:rPr>
        <w:t>Try: "I'm putting some food out — there's space for you whenever."</w:t>
      </w:r>
    </w:p>
    <w:p>
      <w:pPr>
        <w:spacing w:after="120"/>
      </w:pPr>
      <w:r>
        <w:rPr>
          <w:rFonts w:ascii="Garamond" w:hAnsi="Garamond"/>
          <w:b w:val="0"/>
          <w:i w:val="0"/>
          <w:sz w:val="22"/>
        </w:rPr>
        <w:t>This is not a trick. It is a structural truth: the same information, with autonomy preserved, lands differently in a nervous system tuned to detect threat in instruction.</w:t>
      </w:r>
    </w:p>
    <w:p>
      <w:pPr>
        <w:spacing w:after="120"/>
      </w:pPr>
      <w:r>
        <w:rPr>
          <w:rFonts w:ascii="Garamond" w:hAnsi="Garamond"/>
          <w:b/>
          <w:i w:val="0"/>
          <w:sz w:val="22"/>
        </w:rPr>
        <w:t>2. Reduce demand, then reduce the demand of reducing demand.</w:t>
      </w:r>
    </w:p>
    <w:p>
      <w:pPr>
        <w:spacing w:after="120"/>
      </w:pPr>
      <w:r>
        <w:rPr>
          <w:rFonts w:ascii="Garamond" w:hAnsi="Garamond"/>
          <w:b w:val="0"/>
          <w:i w:val="0"/>
          <w:sz w:val="22"/>
        </w:rPr>
        <w:t>A PDA child often resists even being given a break. "You don't have to do this today" can land as a demand to accept a concession. The way through is sometimes to act on the reduction without naming it. Move the uniform out of sight quietly. Do not announce that you have. Reduce sleep expectations without saying you have reduced them. Cancel a planned outing without telling them you have cancelled it for their sake.</w:t>
      </w:r>
    </w:p>
    <w:p>
      <w:pPr>
        <w:spacing w:after="120"/>
      </w:pPr>
      <w:r>
        <w:rPr>
          <w:rFonts w:ascii="Garamond" w:hAnsi="Garamond"/>
          <w:b w:val="0"/>
          <w:i w:val="0"/>
          <w:sz w:val="22"/>
        </w:rPr>
        <w:t>The principle behind the Sanctuary Home Protocol — that pressure must drop — is the same. The mechanics need to leave the child unaware they are being accommodated.</w:t>
      </w:r>
    </w:p>
    <w:p>
      <w:pPr>
        <w:spacing w:after="120"/>
      </w:pPr>
      <w:r>
        <w:rPr>
          <w:rFonts w:ascii="Garamond" w:hAnsi="Garamond"/>
          <w:b/>
          <w:i w:val="0"/>
          <w:sz w:val="22"/>
        </w:rPr>
        <w:t>3. Praise is also a demand.</w:t>
      </w:r>
    </w:p>
    <w:p>
      <w:pPr>
        <w:spacing w:after="120"/>
      </w:pPr>
      <w:r>
        <w:rPr>
          <w:rFonts w:ascii="Garamond" w:hAnsi="Garamond"/>
          <w:b w:val="0"/>
          <w:i w:val="0"/>
          <w:sz w:val="22"/>
        </w:rPr>
        <w:t>The most counter-intuitive translation. For most children, "well done" is a reward. For a PDA child, it can be the trigger for refusal to do the same thing again. Praise contains an implicit demand to do it next time. Many PDA-aware families learn to notice good things silently, in the child's hearing, addressed to a third party or to no one.</w:t>
      </w:r>
    </w:p>
    <w:p>
      <w:pPr>
        <w:spacing w:after="120"/>
      </w:pPr>
      <w:r>
        <w:rPr>
          <w:rFonts w:ascii="Garamond" w:hAnsi="Garamond"/>
          <w:b w:val="0"/>
          <w:i/>
          <w:sz w:val="22"/>
        </w:rPr>
        <w:t>Instead of: "You did so well brushing your teeth today!"</w:t>
      </w:r>
    </w:p>
    <w:p>
      <w:pPr>
        <w:spacing w:after="120"/>
      </w:pPr>
      <w:r>
        <w:rPr>
          <w:rFonts w:ascii="Garamond" w:hAnsi="Garamond"/>
          <w:b w:val="0"/>
          <w:i/>
          <w:sz w:val="22"/>
        </w:rPr>
        <w:t>Try: nothing. Or, in passing to a partner, "I saw the toothbrush had been used. I was glad."</w:t>
      </w:r>
    </w:p>
    <w:p>
      <w:pPr>
        <w:spacing w:after="120"/>
      </w:pPr>
      <w:r>
        <w:rPr>
          <w:rFonts w:ascii="Garamond" w:hAnsi="Garamond"/>
          <w:b w:val="0"/>
          <w:i w:val="0"/>
          <w:sz w:val="22"/>
        </w:rPr>
        <w:t>This feels strange. It is also one of the highest-leverage shifts in the framework.</w:t>
      </w:r>
    </w:p>
    <w:p>
      <w:pPr>
        <w:spacing w:before="280" w:after="120"/>
      </w:pPr>
      <w:r>
        <w:rPr>
          <w:rFonts w:ascii="Garamond" w:hAnsi="Garamond"/>
          <w:b/>
          <w:color w:val="1B3A5C"/>
          <w:sz w:val="24"/>
        </w:rPr>
        <w:t>Where the legal framework still holds</w:t>
      </w:r>
    </w:p>
    <w:p>
      <w:pPr>
        <w:spacing w:after="120"/>
      </w:pPr>
      <w:r>
        <w:rPr>
          <w:rFonts w:ascii="Garamond" w:hAnsi="Garamond"/>
          <w:b w:val="0"/>
          <w:i w:val="0"/>
          <w:sz w:val="22"/>
        </w:rPr>
        <w:t>Everything in Modules 3, 4, and 5 of this book — the Communication Audit, the Evidence Binder, Section 19, the EHCP Blueprint, EOTAS — applies to PDA cases without modification. The legal framework does not care about the profile; it cares about the impact. A PDA child unable to access school is, in law, the same as any other child unable to access school. The Section 19 duty is live. The EHCP threshold is met. The EOTAS argument is, if anything, stronger.</w:t>
      </w:r>
    </w:p>
    <w:p>
      <w:pPr>
        <w:spacing w:after="120"/>
      </w:pPr>
      <w:r>
        <w:rPr>
          <w:rFonts w:ascii="Garamond" w:hAnsi="Garamond"/>
          <w:b w:val="0"/>
          <w:i w:val="0"/>
          <w:sz w:val="22"/>
        </w:rPr>
        <w:t>The translation in this section is entirely about home. Once you are in correspondence with the school or the LA, the manual proceeds as written.</w:t>
      </w:r>
    </w:p>
    <w:p>
      <w:pPr>
        <w:spacing w:before="280" w:after="120"/>
      </w:pPr>
      <w:r>
        <w:rPr>
          <w:rFonts w:ascii="Garamond" w:hAnsi="Garamond"/>
          <w:b/>
          <w:color w:val="1B3A5C"/>
          <w:sz w:val="24"/>
        </w:rPr>
        <w:t>The Practical Tool: The Core Demands Audit</w:t>
      </w:r>
    </w:p>
    <w:p>
      <w:pPr>
        <w:spacing w:after="120"/>
        <w:ind w:firstLine="227"/>
      </w:pPr>
      <w:r>
        <w:rPr>
          <w:rFonts w:ascii="Garamond" w:hAnsi="Garamond"/>
          <w:b w:val="0"/>
          <w:i w:val="0"/>
          <w:sz w:val="22"/>
        </w:rPr>
        <w:t>Use this matrix to categorise and strip back the daily friction points in your household.</w:t>
      </w:r>
    </w:p>
    <w:p>
      <w:pPr>
        <w:spacing w:after="120"/>
        <w:ind w:firstLine="227"/>
      </w:pPr>
      <w:r>
        <w:rPr>
          <w:rFonts w:ascii="Garamond" w:hAnsi="Garamond"/>
          <w:b w:val="0"/>
          <w:i w:val="0"/>
          <w:sz w:val="22"/>
        </w:rPr>
        <w:t>Academic Expectations: Traditional target is completing homework, online worksheets, and reading goals. The Sanctuary Home Adjustment: Zero Academic Demand. Absolute pause on curriculum goals. Cognitive recovery takes precedence over performance.</w:t>
      </w:r>
    </w:p>
    <w:p>
      <w:pPr>
        <w:spacing w:after="120"/>
        <w:ind w:firstLine="227"/>
      </w:pPr>
      <w:r>
        <w:rPr>
          <w:rFonts w:ascii="Garamond" w:hAnsi="Garamond"/>
          <w:b w:val="0"/>
          <w:i w:val="0"/>
          <w:sz w:val="22"/>
        </w:rPr>
        <w:t>Personal Hygiene: Traditional target is daily showers and getting fully dressed in day clothes by 9am. The Sanctuary Home Adjustment: Functional Hygiene. Accept pyjamas or comfortable clothing. If a shower causes an argument, pivot to a low-pressure alternative without judgement.</w:t>
      </w:r>
    </w:p>
    <w:p>
      <w:pPr>
        <w:spacing w:after="120"/>
        <w:ind w:firstLine="227"/>
      </w:pPr>
      <w:r>
        <w:rPr>
          <w:rFonts w:ascii="Garamond" w:hAnsi="Garamond"/>
          <w:b w:val="0"/>
          <w:i w:val="0"/>
          <w:sz w:val="22"/>
        </w:rPr>
        <w:t>Family Reintegration: Traditional target is mandatory attendance at family dinners and sitting at the table. The Sanctuary Home Adjustment: Flexible Anchoring. Allow meals to be eaten in their room or at independent times. Prioritise nutritional intake over social conformity.</w:t>
      </w:r>
    </w:p>
    <w:p>
      <w:pPr>
        <w:spacing w:after="120"/>
        <w:ind w:firstLine="227"/>
      </w:pPr>
      <w:r>
        <w:rPr>
          <w:rFonts w:ascii="Garamond" w:hAnsi="Garamond"/>
          <w:b w:val="0"/>
          <w:i w:val="0"/>
          <w:sz w:val="22"/>
        </w:rPr>
        <w:t>Critical Warning: Once you implement this protocol, you will see an improvement in your child’s mood within a few weeks. They may smile, talk more, or leave their room. Do not mistake this for readiness to return to school. This improvement is a direct result of the removal of the threat. Reintroducing school pressure too quickly will cause a catastrophic relapse into a deeper freeze state, erasing months of biological healing.</w:t>
      </w:r>
    </w:p>
    <w:p>
      <w:pPr>
        <w:spacing w:before="360" w:after="120"/>
        <w:jc w:val="center"/>
      </w:pPr>
      <w:r>
        <w:rPr>
          <w:color w:val="6B7280"/>
          <w:sz w:val="20"/>
        </w:rPr>
        <w:t>· · ·</w:t>
      </w:r>
    </w:p>
    <w:p>
      <w:pPr>
        <w:spacing w:after="120"/>
      </w:pPr>
      <w:r>
        <w:rPr>
          <w:rFonts w:ascii="Garamond" w:hAnsi="Garamond"/>
          <w:b/>
          <w:i/>
          <w:color w:val="1B3A5C"/>
          <w:sz w:val="22"/>
        </w:rPr>
        <w:t>Primary Variant — The Sanctuary Home for a younger child</w:t>
      </w:r>
    </w:p>
    <w:p>
      <w:pPr>
        <w:spacing w:after="120"/>
      </w:pPr>
      <w:r>
        <w:rPr>
          <w:rFonts w:ascii="Garamond" w:hAnsi="Garamond"/>
          <w:sz w:val="20"/>
        </w:rPr>
        <w:t>The principle is the same. The execution is different.</w:t>
      </w:r>
    </w:p>
    <w:p>
      <w:pPr>
        <w:spacing w:after="120"/>
      </w:pPr>
      <w:r>
        <w:rPr>
          <w:rFonts w:ascii="Garamond" w:hAnsi="Garamond"/>
          <w:sz w:val="20"/>
        </w:rPr>
        <w:t>A primary-age child does not have a phone to put away or a uniform to hide in a cupboard. They do have a school bag, a book bag, and reading records. Move all of them out of sight. Replace the visible school presence with something neutral — a basket of craft materials, books that have nothing to do with curriculum, soft toys that are theirs.</w:t>
      </w:r>
    </w:p>
    <w:p>
      <w:pPr>
        <w:spacing w:after="120"/>
      </w:pPr>
      <w:r>
        <w:rPr>
          <w:rFonts w:ascii="Garamond" w:hAnsi="Garamond"/>
          <w:sz w:val="20"/>
        </w:rPr>
        <w:t>Sleep architecture is also different. A primary-age child in school distress often regresses to wanting to share a bed, to needing a light on, to refusing baths. Allow all of this. Bath days are not a battlefield this term.</w:t>
      </w:r>
    </w:p>
    <w:p>
      <w:pPr>
        <w:spacing w:after="120"/>
      </w:pPr>
      <w:r>
        <w:rPr>
          <w:rFonts w:ascii="Garamond" w:hAnsi="Garamond"/>
          <w:sz w:val="20"/>
        </w:rPr>
        <w:t>Most importantly: do not perform "going to school" rehearsals. Do not lay out uniforms the night before to "test the response." A primary child takes those rehearsals as the demand itself. The reaction will tell you nothing useful and will reset their recovery clock.</w:t>
      </w:r>
    </w:p>
    <w:p>
      <w:pPr>
        <w:spacing w:after="280"/>
        <w:jc w:val="center"/>
      </w:pPr>
      <w:r>
        <w:rPr>
          <w:color w:val="6B7280"/>
          <w:sz w:val="20"/>
        </w:rPr>
        <w:t>· · ·</w:t>
      </w:r>
    </w:p>
    <w:p>
      <w:r>
        <w:br w:type="page"/>
      </w:r>
    </w:p>
    <w:p>
      <w:pPr>
        <w:spacing w:before="800" w:after="120"/>
        <w:jc w:val="center"/>
      </w:pPr>
      <w:r>
        <w:rPr>
          <w:rFonts w:ascii="Garamond" w:hAnsi="Garamond"/>
          <w:b w:val="0"/>
          <w:i/>
          <w:sz w:val="24"/>
        </w:rPr>
        <w:t>Chapter 3</w:t>
      </w:r>
    </w:p>
    <w:p>
      <w:pPr>
        <w:pStyle w:val="Heading1"/>
        <w:jc w:val="center"/>
      </w:pPr>
      <w:r>
        <w:rPr>
          <w:rFonts w:ascii="Garamond" w:hAnsi="Garamond"/>
        </w:rPr>
        <w:t>Rebuilding Identity Beyond the School Gates</w:t>
      </w:r>
    </w:p>
    <w:p>
      <w:pPr>
        <w:spacing w:after="120"/>
        <w:ind w:firstLine="227"/>
      </w:pPr>
      <w:r>
        <w:rPr>
          <w:rFonts w:ascii="Garamond" w:hAnsi="Garamond"/>
          <w:b w:val="0"/>
          <w:i w:val="0"/>
          <w:sz w:val="22"/>
        </w:rPr>
        <w:t>At fourteen, a teenager’s primary developmental task is identity construction. They are figuring out who they are, where they fit, and what their value is. In Western society, that identity is tied directly to the school matrix. When a child is removed from that environment for a year, they don't just lose an education; they experience a profound identity collapse. They become "the kid who can't cope," the "school refuser," or the ghost in their friend group.</w:t>
      </w:r>
    </w:p>
    <w:p>
      <w:pPr>
        <w:spacing w:after="120"/>
        <w:ind w:firstLine="227"/>
      </w:pPr>
      <w:r>
        <w:rPr>
          <w:rFonts w:ascii="Garamond" w:hAnsi="Garamond"/>
          <w:b w:val="0"/>
          <w:i w:val="0"/>
          <w:sz w:val="22"/>
        </w:rPr>
        <w:t>Rebuilding an adolescent’s identity from the safety of a bedroom requires a deliberate strategy that decouples self-worth from academic performance and standard social milestones.</w:t>
      </w:r>
    </w:p>
    <w:p>
      <w:pPr>
        <w:spacing w:before="280" w:after="120"/>
      </w:pPr>
      <w:r>
        <w:rPr>
          <w:rFonts w:ascii="Garamond" w:hAnsi="Garamond"/>
          <w:b/>
          <w:color w:val="1B3A5C"/>
          <w:sz w:val="24"/>
        </w:rPr>
        <w:t>Processing the "Milestone Void" and Social Death</w:t>
      </w:r>
    </w:p>
    <w:p>
      <w:pPr>
        <w:spacing w:after="120"/>
        <w:ind w:firstLine="227"/>
      </w:pPr>
      <w:r>
        <w:rPr>
          <w:rFonts w:ascii="Garamond" w:hAnsi="Garamond"/>
          <w:b w:val="0"/>
          <w:i w:val="0"/>
          <w:sz w:val="22"/>
        </w:rPr>
        <w:t>The isolation of long-term school distress is acute. Your child is likely watching their peers move on via social media—attending trips, forming relationships, and celebrating achievements. This creates a state of continuous, silent grief. To combat this, you must help them construct an Alternative Competence Map. If they cannot find validation in a classroom, they must find it elsewhere.</w:t>
      </w:r>
    </w:p>
    <w:p>
      <w:pPr>
        <w:spacing w:after="120"/>
        <w:ind w:firstLine="227"/>
      </w:pPr>
      <w:r>
        <w:rPr>
          <w:rFonts w:ascii="Garamond" w:hAnsi="Garamond"/>
          <w:b w:val="0"/>
          <w:i w:val="0"/>
          <w:sz w:val="22"/>
        </w:rPr>
        <w:t>Validating the Virtual Space: Mainstream advice often encourages parents to restrict screen time during school avoidance. This guide advises the exact opposite. For an isolated fourteen-year-old, online spaces (such as collaborative gaming, coding forums, or digital art communities) are often their only access to a peer group where they are judged on their skills, not their attendance record. If your child is a highly rated clan leader in a game or a talented digital illustrator, that is a valid, identity-preserving competence.</w:t>
      </w:r>
    </w:p>
    <w:p>
      <w:pPr>
        <w:spacing w:after="120"/>
        <w:ind w:firstLine="227"/>
      </w:pPr>
      <w:r>
        <w:rPr>
          <w:rFonts w:ascii="Garamond" w:hAnsi="Garamond"/>
          <w:b w:val="0"/>
          <w:i w:val="0"/>
          <w:sz w:val="22"/>
        </w:rPr>
        <w:t>Interest-Led Hyper-Fixations: Encourage deep dives into niche, non-school topics. Whether it is music production, history, cooking, or mechanics, an obsession provides a cognitive anchor. It gives them a reason to wake up that has nothing to do with a national curriculum target.</w:t>
      </w:r>
    </w:p>
    <w:p>
      <w:pPr>
        <w:spacing w:after="120"/>
        <w:ind w:firstLine="227"/>
      </w:pPr>
      <w:r>
        <w:rPr>
          <w:rFonts w:ascii="Garamond" w:hAnsi="Garamond"/>
          <w:b w:val="0"/>
          <w:i w:val="0"/>
          <w:sz w:val="22"/>
        </w:rPr>
        <w:t>The Micro-Dose Socialisation Plan</w:t>
      </w:r>
    </w:p>
    <w:p>
      <w:pPr>
        <w:spacing w:after="120"/>
        <w:ind w:firstLine="227"/>
      </w:pPr>
      <w:r>
        <w:rPr>
          <w:rFonts w:ascii="Garamond" w:hAnsi="Garamond"/>
          <w:b w:val="0"/>
          <w:i w:val="0"/>
          <w:sz w:val="22"/>
        </w:rPr>
        <w:t>Do not attempt to fix their isolation by dropping them into a crowded local youth club or forcing a meet-up with old school friends. The peer dynamic from their old school is often laced with anxiety and masking demands. Use this low-stakes progression model instead:</w:t>
      </w:r>
    </w:p>
    <w:p>
      <w:pPr>
        <w:spacing w:after="120"/>
      </w:pPr>
      <w:r>
        <w:rPr>
          <w:rFonts w:ascii="Garamond" w:hAnsi="Garamond"/>
          <w:b/>
          <w:i w:val="0"/>
          <w:sz w:val="22"/>
        </w:rPr>
        <w:t>STAGE 1: Asynchronous Digital Connection - Interacting via text-based forums or gaming chats where eye contact and instant responses are not required.</w:t>
      </w:r>
    </w:p>
    <w:p>
      <w:pPr>
        <w:spacing w:after="120"/>
      </w:pPr>
      <w:r>
        <w:rPr>
          <w:rFonts w:ascii="Garamond" w:hAnsi="Garamond"/>
          <w:b/>
          <w:i w:val="0"/>
          <w:sz w:val="22"/>
        </w:rPr>
        <w:t>STAGE 2: Structured, Non-School Community - Attending a niche, interest-based external group (e.g., a local coding club or a specialised art class) held outside standard school hours.</w:t>
      </w:r>
    </w:p>
    <w:p>
      <w:pPr>
        <w:spacing w:after="120"/>
      </w:pPr>
      <w:r>
        <w:rPr>
          <w:rFonts w:ascii="Garamond" w:hAnsi="Garamond"/>
          <w:b/>
          <w:i w:val="0"/>
          <w:sz w:val="22"/>
        </w:rPr>
        <w:t>STAGE 3: Selected Peer Re-engagement - One-on-one meetups with a single, highly trusted peer in a neutral, low-stimulus environment (not a school environment).</w:t>
      </w:r>
    </w:p>
    <w:p>
      <w:pPr>
        <w:spacing w:before="360" w:after="120"/>
        <w:jc w:val="center"/>
      </w:pPr>
      <w:r>
        <w:rPr>
          <w:color w:val="6B7280"/>
          <w:sz w:val="20"/>
        </w:rPr>
        <w:t>· · ·</w:t>
      </w:r>
    </w:p>
    <w:p>
      <w:pPr>
        <w:spacing w:after="120"/>
      </w:pPr>
      <w:r>
        <w:rPr>
          <w:rFonts w:ascii="Garamond" w:hAnsi="Garamond"/>
          <w:b/>
          <w:i/>
          <w:color w:val="1B3A5C"/>
          <w:sz w:val="22"/>
        </w:rPr>
        <w:t>Primary Variant — Rebuilding identity for a younger child</w:t>
      </w:r>
    </w:p>
    <w:p>
      <w:pPr>
        <w:spacing w:after="120"/>
      </w:pPr>
      <w:r>
        <w:rPr>
          <w:rFonts w:ascii="Garamond" w:hAnsi="Garamond"/>
          <w:sz w:val="20"/>
        </w:rPr>
        <w:t>A primary-age child has less identity at stake than a teenager, and that is a gift. The Year 10 example in this chapter — qualifications, career anxiety, peer comparison — does not apply.</w:t>
      </w:r>
    </w:p>
    <w:p>
      <w:pPr>
        <w:spacing w:after="120"/>
      </w:pPr>
      <w:r>
        <w:rPr>
          <w:rFonts w:ascii="Garamond" w:hAnsi="Garamond"/>
          <w:sz w:val="20"/>
        </w:rPr>
        <w:t>What does apply: the child's emerging sense of being a learner, being a friend, being competent. School distress damages all three quickly. The rebuild is through play. Read with them, or near them, in any genre. Comics count. Audiobooks count. Cook with them. Cooking is maths, reading, sequencing, science, fine motor skills, and the most regulating activity available to a primary household. Let them be in charge of one small thing each day. Small autonomies repair the damage that loss of agency has done.</w:t>
      </w:r>
    </w:p>
    <w:p>
      <w:pPr>
        <w:spacing w:after="120"/>
      </w:pPr>
      <w:r>
        <w:rPr>
          <w:rFonts w:ascii="Garamond" w:hAnsi="Garamond"/>
          <w:sz w:val="20"/>
        </w:rPr>
        <w:t>The reassurance for parents: a 7-year-old who spends six months out of school does not "fall behind" in any way that cannot be made up in weeks once they are well again. The myth of irretrievable academic loss is the most damaging single belief in primary-age school distress. Do not believe it.</w:t>
      </w:r>
    </w:p>
    <w:p>
      <w:pPr>
        <w:spacing w:after="280"/>
        <w:jc w:val="center"/>
      </w:pPr>
      <w:r>
        <w:rPr>
          <w:color w:val="6B7280"/>
          <w:sz w:val="20"/>
        </w:rPr>
        <w:t>· · ·</w:t>
      </w:r>
    </w:p>
    <w:p>
      <w:pPr>
        <w:spacing w:before="480" w:after="120"/>
        <w:jc w:val="center"/>
      </w:pPr>
      <w:r>
        <w:rPr>
          <w:color w:val="6B7280"/>
          <w:sz w:val="16"/>
        </w:rPr>
        <w:t>──────────────────────────────────────────────────</w:t>
      </w:r>
    </w:p>
    <w:p>
      <w:pPr>
        <w:spacing w:after="160"/>
      </w:pPr>
      <w:r>
        <w:rPr>
          <w:rFonts w:ascii="Garamond" w:hAnsi="Garamond"/>
          <w:b/>
          <w:color w:val="1B3A5C"/>
          <w:sz w:val="24"/>
        </w:rPr>
        <w:t>When the home is stable but the system is closing in.</w:t>
      </w:r>
    </w:p>
    <w:p>
      <w:pPr>
        <w:spacing w:after="120"/>
      </w:pPr>
      <w:r>
        <w:rPr>
          <w:rFonts w:ascii="Garamond" w:hAnsi="Garamond"/>
          <w:sz w:val="20"/>
        </w:rPr>
        <w:t>The Sanctuary Home Protocol stabilises your child. It does not stabilise your relationship with the school, the Local Authority, or the threat of fines.</w:t>
      </w:r>
    </w:p>
    <w:p>
      <w:pPr>
        <w:spacing w:after="120"/>
      </w:pPr>
      <w:r>
        <w:rPr>
          <w:rFonts w:ascii="Garamond" w:hAnsi="Garamond"/>
          <w:sz w:val="20"/>
        </w:rPr>
        <w:t>If you have implemented the Protocol — and you are now facing escalating pressure from the system — that is the moment to bring in a structured plan, rather than work on it alone.</w:t>
      </w:r>
    </w:p>
    <w:p>
      <w:pPr>
        <w:spacing w:after="120"/>
      </w:pPr>
      <w:r>
        <w:rPr>
          <w:rFonts w:ascii="Garamond" w:hAnsi="Garamond"/>
          <w:sz w:val="20"/>
        </w:rPr>
        <w:t>SEND Navigate's £160 Initial Consultation includes pre-read of one document, a focused 90-minute strategy call, and a clear written summary of your legal position with recommended next steps. It is the cheapest way to know whether you are facing a process problem, an evidence problem, or a legal-grounds problem — before spending more.</w:t>
      </w:r>
    </w:p>
    <w:p>
      <w:pPr>
        <w:spacing w:before="80" w:after="80"/>
      </w:pPr>
      <w:r>
        <w:rPr>
          <w:rFonts w:ascii="Garamond" w:hAnsi="Garamond"/>
          <w:b/>
          <w:sz w:val="20"/>
        </w:rPr>
        <w:t>sendnavigate.org/book</w:t>
      </w:r>
    </w:p>
    <w:p>
      <w:pPr>
        <w:spacing w:after="360"/>
        <w:jc w:val="center"/>
      </w:pPr>
      <w:r>
        <w:rPr>
          <w:color w:val="6B7280"/>
          <w:sz w:val="16"/>
        </w:rPr>
        <w:t>──────────────────────────────────────────────────</w:t>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2</w:t>
      </w:r>
    </w:p>
    <w:p>
      <w:pPr>
        <w:spacing w:before="0" w:after="0"/>
        <w:jc w:val="center"/>
      </w:pPr>
      <w:r>
        <w:rPr>
          <w:rFonts w:ascii="Garamond" w:hAnsi="Garamond"/>
          <w:b/>
          <w:i w:val="0"/>
          <w:sz w:val="36"/>
        </w:rPr>
        <w:t>THERAPEUTIC PRESERVATION FOR THE PARENT</w:t>
      </w:r>
    </w:p>
    <w:p>
      <w:r>
        <w:br w:type="page"/>
      </w:r>
    </w:p>
    <w:p>
      <w:r>
        <w:br w:type="page"/>
      </w:r>
    </w:p>
    <w:p>
      <w:pPr>
        <w:spacing w:before="800" w:after="120"/>
        <w:jc w:val="center"/>
      </w:pPr>
      <w:r>
        <w:rPr>
          <w:rFonts w:ascii="Garamond" w:hAnsi="Garamond"/>
          <w:b w:val="0"/>
          <w:i/>
          <w:sz w:val="24"/>
        </w:rPr>
        <w:t>Chapter 4</w:t>
      </w:r>
    </w:p>
    <w:p>
      <w:pPr>
        <w:pStyle w:val="Heading1"/>
        <w:jc w:val="center"/>
      </w:pPr>
      <w:r>
        <w:rPr>
          <w:rFonts w:ascii="Garamond" w:hAnsi="Garamond"/>
        </w:rPr>
        <w:t>Dismantling the "Parent-Blame" Narrative</w:t>
      </w:r>
    </w:p>
    <w:p>
      <w:pPr>
        <w:spacing w:before="280" w:after="120"/>
      </w:pPr>
      <w:r>
        <w:rPr>
          <w:rFonts w:ascii="Garamond" w:hAnsi="Garamond"/>
          <w:b/>
          <w:color w:val="1B3A5C"/>
          <w:sz w:val="24"/>
        </w:rPr>
        <w:t>When Distress Becomes Crisis — read this before reading any further in this chapter</w:t>
      </w:r>
    </w:p>
    <w:p>
      <w:pPr>
        <w:spacing w:after="120"/>
      </w:pPr>
      <w:r>
        <w:rPr>
          <w:rFonts w:ascii="Garamond" w:hAnsi="Garamond"/>
          <w:b w:val="0"/>
          <w:i w:val="0"/>
          <w:sz w:val="22"/>
        </w:rPr>
        <w:t>Most of this book operates on the assumption that you have time. The Sanctuary Home Protocol. The Evidence Binder. The 30-day plan. They all assume that your child's distress, while severe, is not in this moment a medical emergency.</w:t>
      </w:r>
    </w:p>
    <w:p>
      <w:pPr>
        <w:spacing w:after="120"/>
      </w:pPr>
      <w:r>
        <w:rPr>
          <w:rFonts w:ascii="Garamond" w:hAnsi="Garamond"/>
          <w:b w:val="0"/>
          <w:i w:val="0"/>
          <w:sz w:val="22"/>
        </w:rPr>
        <w:t>Sometimes it is.</w:t>
      </w:r>
    </w:p>
    <w:p>
      <w:pPr>
        <w:spacing w:after="120"/>
      </w:pPr>
      <w:r>
        <w:rPr>
          <w:rFonts w:ascii="Garamond" w:hAnsi="Garamond"/>
          <w:b w:val="0"/>
          <w:i w:val="0"/>
          <w:sz w:val="22"/>
        </w:rPr>
        <w:t>A small but significant proportion of parents reading this book are not living through chronic school distress. They are living through acute crisis — and they need this page now, not Chapter 8 by next Tuesday.</w:t>
      </w:r>
    </w:p>
    <w:p>
      <w:pPr>
        <w:spacing w:after="120"/>
      </w:pPr>
      <w:r>
        <w:rPr>
          <w:rFonts w:ascii="Garamond" w:hAnsi="Garamond"/>
          <w:b/>
          <w:i w:val="0"/>
          <w:sz w:val="22"/>
        </w:rPr>
        <w:t>What crisis looks like</w:t>
      </w:r>
    </w:p>
    <w:p>
      <w:pPr>
        <w:spacing w:after="120"/>
      </w:pPr>
      <w:r>
        <w:rPr>
          <w:rFonts w:ascii="Garamond" w:hAnsi="Garamond"/>
          <w:b w:val="0"/>
          <w:i w:val="0"/>
          <w:sz w:val="22"/>
        </w:rPr>
        <w:t>The body usually shows it before the words do. Look for: talk of not wanting to be alive, even framed as a joke; self-harm (cuts, burns, bruises — old or new); refusal to eat or drink for more than 24 hours; mutism that is total, not partial; hours of immobility — not sleep, not screen time, immobility; self-isolation extending into not coming out for food, water, or the toilet; a sudden, dramatic calm after a long period of distress (often the most dangerous signal).</w:t>
      </w:r>
    </w:p>
    <w:p>
      <w:pPr>
        <w:spacing w:after="120"/>
      </w:pPr>
      <w:r>
        <w:rPr>
          <w:rFonts w:ascii="Garamond" w:hAnsi="Garamond"/>
          <w:b w:val="0"/>
          <w:i/>
          <w:sz w:val="22"/>
        </w:rPr>
        <w:t>If you are seeing any of these, this is not the chapter you need. This is what you need.</w:t>
      </w:r>
    </w:p>
    <w:p>
      <w:pPr>
        <w:spacing w:after="120"/>
      </w:pPr>
      <w:r>
        <w:rPr>
          <w:rFonts w:ascii="Garamond" w:hAnsi="Garamond"/>
          <w:b/>
          <w:i w:val="0"/>
          <w:sz w:val="22"/>
        </w:rPr>
        <w:t>What to do</w:t>
      </w:r>
    </w:p>
    <w:p>
      <w:pPr>
        <w:spacing w:after="120"/>
      </w:pPr>
      <w:r>
        <w:rPr>
          <w:rFonts w:ascii="Garamond" w:hAnsi="Garamond"/>
          <w:b/>
          <w:i w:val="0"/>
          <w:sz w:val="22"/>
        </w:rPr>
        <w:t>1. If your child is in immediate danger of harm — to themselves or otherwise — call 999.</w:t>
      </w:r>
    </w:p>
    <w:p>
      <w:pPr>
        <w:spacing w:after="120"/>
      </w:pPr>
      <w:r>
        <w:rPr>
          <w:rFonts w:ascii="Garamond" w:hAnsi="Garamond"/>
          <w:b w:val="0"/>
          <w:i w:val="0"/>
          <w:sz w:val="22"/>
        </w:rPr>
        <w:t>Close this book. Do not call the school. Do not email the LA. Do not check first whether you should. Call 999 and tell them your child is in crisis. They are trained for this.</w:t>
      </w:r>
    </w:p>
    <w:p>
      <w:pPr>
        <w:spacing w:after="120"/>
      </w:pPr>
      <w:r>
        <w:rPr>
          <w:rFonts w:ascii="Garamond" w:hAnsi="Garamond"/>
          <w:b/>
          <w:i w:val="0"/>
          <w:sz w:val="22"/>
        </w:rPr>
        <w:t>2. If your child is not in immediate danger but is in acute distress — call NHS 111 and select Option 2 for mental health.</w:t>
      </w:r>
    </w:p>
    <w:p>
      <w:pPr>
        <w:spacing w:after="120"/>
      </w:pPr>
      <w:r>
        <w:rPr>
          <w:rFonts w:ascii="Garamond" w:hAnsi="Garamond"/>
          <w:b w:val="0"/>
          <w:i w:val="0"/>
          <w:sz w:val="22"/>
        </w:rPr>
        <w:t>This is the route to the local crisis line. It exists. Use it. Tell them everything. They will either escalate to a Crisis Resolution Team visit, refer urgently to CAMHS, or direct you to an out-of-hours assessment. All three are valid outcomes.</w:t>
      </w:r>
    </w:p>
    <w:p>
      <w:pPr>
        <w:spacing w:after="120"/>
      </w:pPr>
      <w:r>
        <w:rPr>
          <w:rFonts w:ascii="Garamond" w:hAnsi="Garamond"/>
          <w:b/>
          <w:i w:val="0"/>
          <w:sz w:val="22"/>
        </w:rPr>
        <w:t>3. Tell your GP within 24 hours.</w:t>
      </w:r>
    </w:p>
    <w:p>
      <w:pPr>
        <w:spacing w:after="120"/>
      </w:pPr>
      <w:r>
        <w:rPr>
          <w:rFonts w:ascii="Garamond" w:hAnsi="Garamond"/>
          <w:b w:val="0"/>
          <w:i w:val="0"/>
          <w:sz w:val="22"/>
        </w:rPr>
        <w:t>Email the practice or use the e-consult system. Use the words "acute mental health distress" and ask for an urgent telephone review. The GP appointment becomes part of the Evidence Binder later — but right now it is just about getting your child seen.</w:t>
      </w:r>
    </w:p>
    <w:p>
      <w:pPr>
        <w:spacing w:after="120"/>
      </w:pPr>
      <w:r>
        <w:rPr>
          <w:rFonts w:ascii="Garamond" w:hAnsi="Garamond"/>
          <w:b/>
          <w:i w:val="0"/>
          <w:sz w:val="22"/>
        </w:rPr>
        <w:t>4. Do not use the crisis as a school negotiation.</w:t>
      </w:r>
    </w:p>
    <w:p>
      <w:pPr>
        <w:spacing w:after="120"/>
      </w:pPr>
      <w:r>
        <w:rPr>
          <w:rFonts w:ascii="Garamond" w:hAnsi="Garamond"/>
          <w:b w:val="0"/>
          <w:i w:val="0"/>
          <w:sz w:val="22"/>
        </w:rPr>
        <w:t>This is the single most important sentence in this section. A child in crisis is not a leverage point. Do not write to the school today about Section 19. Do not threaten the LA. Do nothing strategic. The crisis is its own emergency. Document it carefully — the impact log entries during a crisis week will be the strongest evidence in your case later — but do not deploy it. The deployment comes after.</w:t>
      </w:r>
    </w:p>
    <w:p>
      <w:pPr>
        <w:spacing w:after="120"/>
      </w:pPr>
      <w:r>
        <w:rPr>
          <w:rFonts w:ascii="Garamond" w:hAnsi="Garamond"/>
          <w:b/>
          <w:i w:val="0"/>
          <w:sz w:val="22"/>
        </w:rPr>
        <w:t>5. Do not punish disclosure.</w:t>
      </w:r>
    </w:p>
    <w:p>
      <w:pPr>
        <w:spacing w:after="120"/>
      </w:pPr>
      <w:r>
        <w:rPr>
          <w:rFonts w:ascii="Garamond" w:hAnsi="Garamond"/>
          <w:b w:val="0"/>
          <w:i w:val="0"/>
          <w:sz w:val="22"/>
        </w:rPr>
        <w:t>A child who tells you something terrifying — that they have hurt themselves, that they do not want to be alive, that they cannot keep going — is not testing you. They are trusting you. The instinct will be to make conditions. To say, "if you'd just go to school." Do not. Hear them. Sit with them. Make no demands.</w:t>
      </w:r>
    </w:p>
    <w:p>
      <w:pPr>
        <w:spacing w:after="120"/>
      </w:pPr>
      <w:r>
        <w:rPr>
          <w:rFonts w:ascii="Garamond" w:hAnsi="Garamond"/>
          <w:b w:val="0"/>
          <w:i w:val="0"/>
          <w:sz w:val="22"/>
        </w:rPr>
        <w:t>Once you are through the immediate crisis — and most crises pass within days, sometimes hours, when responded to without further pressure — the rest of this book applies as written.</w:t>
      </w:r>
    </w:p>
    <w:p>
      <w:pPr>
        <w:spacing w:after="120"/>
      </w:pPr>
      <w:r>
        <w:rPr>
          <w:rFonts w:ascii="Garamond" w:hAnsi="Garamond"/>
          <w:b/>
          <w:i/>
          <w:sz w:val="22"/>
        </w:rPr>
        <w:t>If you are reading this page and your child is in crisis: close the book. Make the call.</w:t>
      </w:r>
    </w:p>
    <w:p>
      <w:pPr>
        <w:jc w:val="center"/>
      </w:pPr>
      <w:r>
        <w:rPr>
          <w:rFonts w:ascii="Garamond" w:hAnsi="Garamond"/>
          <w:sz w:val="20"/>
        </w:rPr>
        <w:t>· · ·</w:t>
      </w:r>
    </w:p>
    <w:p>
      <w:pPr>
        <w:ind w:firstLine="227"/>
        <w:jc w:val="left"/>
      </w:pPr>
      <w:r>
        <w:rPr>
          <w:rFonts w:ascii="Garamond" w:hAnsi="Garamond"/>
          <w:i/>
          <w:sz w:val="22"/>
        </w:rPr>
        <w:t>If you are not in crisis today, the rest of this chapter is what comes next: the systemic gaslighting that almost every parent in this book's audience encounters, and how to recognise and dismantle it.</w:t>
      </w:r>
    </w:p>
    <w:p>
      <w:pPr>
        <w:spacing w:after="120"/>
        <w:ind w:firstLine="227"/>
      </w:pPr>
      <w:r>
        <w:rPr>
          <w:rFonts w:ascii="Garamond" w:hAnsi="Garamond"/>
          <w:b w:val="0"/>
          <w:i w:val="0"/>
          <w:sz w:val="22"/>
        </w:rPr>
        <w:t>You cannot successfully protect your child if you are constantly drowning in parental guilt and shame. One of the most insidious aspects of the UK special educational needs and attendance system is the institutional narrative of parental culpability. When the school's standard toolkits fail, the system frequently shifts the blame onto the home environment, labeling you as over-accommodating, anxious, or unable to maintain robust boundaries.</w:t>
      </w:r>
    </w:p>
    <w:p>
      <w:pPr>
        <w:spacing w:after="120"/>
        <w:ind w:firstLine="227"/>
      </w:pPr>
      <w:r>
        <w:rPr>
          <w:rFonts w:ascii="Garamond" w:hAnsi="Garamond"/>
          <w:b w:val="0"/>
          <w:i w:val="0"/>
          <w:sz w:val="22"/>
        </w:rPr>
        <w:t>This chapter is your psychological shield. It is designed to help you recognise systemic gaslighting, preserve your sanity, and manage multi-agency meetings with professional objectivity.</w:t>
      </w:r>
    </w:p>
    <w:p>
      <w:pPr>
        <w:spacing w:before="280" w:after="120"/>
      </w:pPr>
      <w:r>
        <w:rPr>
          <w:rFonts w:ascii="Garamond" w:hAnsi="Garamond"/>
          <w:b/>
          <w:color w:val="1B3A5C"/>
          <w:sz w:val="24"/>
        </w:rPr>
        <w:t>Deconstructing the Mechanisms of Systemic Gaslighting</w:t>
      </w:r>
    </w:p>
    <w:p>
      <w:pPr>
        <w:spacing w:after="120"/>
        <w:ind w:firstLine="227"/>
      </w:pPr>
      <w:r>
        <w:rPr>
          <w:rFonts w:ascii="Garamond" w:hAnsi="Garamond"/>
          <w:b w:val="0"/>
          <w:i w:val="0"/>
          <w:sz w:val="22"/>
        </w:rPr>
        <w:t>Schools and local authorities operate under intense structural and financial pressures. When a child does not attend, it impacts their funding metrics and performance tables. Because they rarely have the resources to fund alternative provision natively, it is administratively easier to frame the problem as a parenting failure rather than an environmental mismatch.</w:t>
      </w:r>
    </w:p>
    <w:p>
      <w:pPr>
        <w:spacing w:after="120"/>
        <w:ind w:firstLine="227"/>
      </w:pPr>
      <w:r>
        <w:rPr>
          <w:rFonts w:ascii="Garamond" w:hAnsi="Garamond"/>
          <w:b w:val="0"/>
          <w:i w:val="0"/>
          <w:sz w:val="22"/>
        </w:rPr>
        <w:t>Recognise these common professional phrases for what they are: defensive manoeuvres designed to deflect liability.</w:t>
      </w:r>
    </w:p>
    <w:p>
      <w:pPr>
        <w:spacing w:after="120"/>
        <w:ind w:firstLine="227"/>
      </w:pPr>
      <w:r>
        <w:rPr>
          <w:rFonts w:ascii="Garamond" w:hAnsi="Garamond"/>
          <w:b w:val="0"/>
          <w:i w:val="0"/>
          <w:sz w:val="22"/>
        </w:rPr>
        <w:t>“He’s fine once he’s in the building.” This completely ignores the mechanics of extreme adolescent masking. Your child is using every ounce of survival energy to suppress their terror to avoid standing out, resulting in severe emotional collapses the second they return to the safety of the home.</w:t>
      </w:r>
    </w:p>
    <w:p>
      <w:pPr>
        <w:spacing w:after="120"/>
        <w:ind w:firstLine="227"/>
      </w:pPr>
      <w:r>
        <w:rPr>
          <w:rFonts w:ascii="Garamond" w:hAnsi="Garamond"/>
          <w:b w:val="0"/>
          <w:i w:val="0"/>
          <w:sz w:val="22"/>
        </w:rPr>
        <w:t>“You need to introduce tougher boundaries at home.” This assumes the issue is behavioural defiance. Implementing punitive boundaries on a child in a neurological crisis simply validates their belief that their world is fundamentally unsafe, destroying the parental attachment bond.</w:t>
      </w:r>
    </w:p>
    <w:p>
      <w:pPr>
        <w:spacing w:after="120"/>
        <w:ind w:firstLine="227"/>
      </w:pPr>
      <w:r>
        <w:rPr>
          <w:rFonts w:ascii="Garamond" w:hAnsi="Garamond"/>
          <w:b w:val="0"/>
          <w:i w:val="0"/>
          <w:sz w:val="22"/>
        </w:rPr>
        <w:t>The Practical Tool: Internal Boundary Scripts for Multi-Agency Meetings</w:t>
      </w:r>
    </w:p>
    <w:p>
      <w:pPr>
        <w:spacing w:after="120"/>
        <w:ind w:firstLine="227"/>
      </w:pPr>
      <w:r>
        <w:rPr>
          <w:rFonts w:ascii="Garamond" w:hAnsi="Garamond"/>
          <w:b w:val="0"/>
          <w:i w:val="0"/>
          <w:sz w:val="22"/>
        </w:rPr>
        <w:t>When sitting in a Team Around the Family (TAF) or an attendance review meeting, professionals may attempt to steer the conversation toward your domestic routines. Use these precise, data-driven scripts to pivot the focus back to corporate and statutory liability.</w:t>
      </w:r>
    </w:p>
    <w:p>
      <w:pPr>
        <w:spacing w:after="120"/>
        <w:ind w:firstLine="227"/>
      </w:pPr>
      <w:r>
        <w:rPr>
          <w:rFonts w:ascii="Garamond" w:hAnsi="Garamond"/>
          <w:b w:val="0"/>
          <w:i w:val="0"/>
          <w:sz w:val="22"/>
        </w:rPr>
        <w:t>Scenario A: A professional implies your child is manipulating you or that your boundaries are too soft.</w:t>
      </w:r>
    </w:p>
    <w:p>
      <w:pPr>
        <w:spacing w:after="120"/>
        <w:ind w:firstLine="227"/>
      </w:pPr>
      <w:r>
        <w:rPr>
          <w:rFonts w:ascii="Garamond" w:hAnsi="Garamond"/>
          <w:b w:val="0"/>
          <w:i w:val="0"/>
          <w:sz w:val="22"/>
        </w:rPr>
        <w:t>Do Not Say: "I promise I am trying, I’ve tried taking his phone away but he just screams."</w:t>
      </w:r>
    </w:p>
    <w:p>
      <w:pPr>
        <w:spacing w:after="120"/>
        <w:ind w:firstLine="227"/>
      </w:pPr>
      <w:r>
        <w:rPr>
          <w:rFonts w:ascii="Garamond" w:hAnsi="Garamond"/>
          <w:b w:val="0"/>
          <w:i w:val="0"/>
          <w:sz w:val="22"/>
        </w:rPr>
        <w:t>Do Say: "We are operating a clinical low-demand framework at home to de-escalate my son's chronic nervous system burnout. Behavioural consequences are medically contraindicated for a child in a Dorsal Vagal freeze response. The focus of this meeting must remain on the environmental modifications required under the law, not my parenting choices."</w:t>
      </w:r>
    </w:p>
    <w:p>
      <w:pPr>
        <w:spacing w:after="120"/>
        <w:ind w:firstLine="227"/>
      </w:pPr>
      <w:r>
        <w:rPr>
          <w:rFonts w:ascii="Garamond" w:hAnsi="Garamond"/>
          <w:b w:val="0"/>
          <w:i w:val="0"/>
          <w:sz w:val="22"/>
        </w:rPr>
        <w:t>Scenario B: The school attendance officer insists you must physically bring the child to the gate.</w:t>
      </w:r>
    </w:p>
    <w:p>
      <w:pPr>
        <w:spacing w:after="120"/>
        <w:ind w:firstLine="227"/>
      </w:pPr>
      <w:r>
        <w:rPr>
          <w:rFonts w:ascii="Garamond" w:hAnsi="Garamond"/>
          <w:b w:val="0"/>
          <w:i w:val="0"/>
          <w:sz w:val="22"/>
        </w:rPr>
        <w:t>Do Not Say: "I can't get him into the car, it’s too hard."</w:t>
      </w:r>
    </w:p>
    <w:p>
      <w:pPr>
        <w:spacing w:after="120"/>
        <w:ind w:firstLine="227"/>
      </w:pPr>
      <w:r>
        <w:rPr>
          <w:rFonts w:ascii="Garamond" w:hAnsi="Garamond"/>
          <w:b w:val="0"/>
          <w:i w:val="0"/>
          <w:sz w:val="22"/>
        </w:rPr>
        <w:t>Do Say: "Forcing a teenager experiencing severe EBSA into a physical environment that triggers physiological trauma constitutes a significant safeguarding risk. As his primary caregiver, I will not participate in an action that causes further psychological harm. My role is to maintain his safety while the Local Authority coordinates a suitable alternative provision under Section 19."</w:t>
      </w:r>
    </w:p>
    <w:p>
      <w:r>
        <w:br w:type="page"/>
      </w:r>
    </w:p>
    <w:p>
      <w:pPr>
        <w:spacing w:before="800" w:after="120"/>
        <w:jc w:val="center"/>
      </w:pPr>
      <w:r>
        <w:rPr>
          <w:rFonts w:ascii="Garamond" w:hAnsi="Garamond"/>
          <w:b w:val="0"/>
          <w:i/>
          <w:sz w:val="24"/>
        </w:rPr>
        <w:t>Chapter 5</w:t>
      </w:r>
    </w:p>
    <w:p>
      <w:pPr>
        <w:pStyle w:val="Heading1"/>
        <w:jc w:val="center"/>
      </w:pPr>
      <w:r>
        <w:rPr>
          <w:rFonts w:ascii="Garamond" w:hAnsi="Garamond"/>
        </w:rPr>
        <w:t>The Silent Grief of the Atypical Path</w:t>
      </w:r>
    </w:p>
    <w:p>
      <w:pPr>
        <w:spacing w:after="120"/>
        <w:ind w:firstLine="227"/>
      </w:pPr>
      <w:r>
        <w:rPr>
          <w:rFonts w:ascii="Garamond" w:hAnsi="Garamond"/>
          <w:b w:val="0"/>
          <w:i w:val="0"/>
          <w:sz w:val="22"/>
        </w:rPr>
        <w:t>While your child is navigating the physical and psychological reality of their burnout, you are navigating an entirely invisible parallel crisis: the total disruption of your adult life. Traditional parenting books prepare you for the challenges of exams, teenage independence, and career planning. No one prepares you for the financial cliff, the social death, and the profound grief of watching your expected life trajectory disintegrate.</w:t>
      </w:r>
    </w:p>
    <w:p>
      <w:pPr>
        <w:spacing w:after="120"/>
        <w:ind w:firstLine="227"/>
      </w:pPr>
      <w:r>
        <w:rPr>
          <w:rFonts w:ascii="Garamond" w:hAnsi="Garamond"/>
          <w:b w:val="0"/>
          <w:i w:val="0"/>
          <w:sz w:val="22"/>
        </w:rPr>
        <w:t>This chapter acknowledges that pain directly and provides an objective strategy to rebuild your personal infrastructure while walking an atypical path.</w:t>
      </w:r>
    </w:p>
    <w:p>
      <w:pPr>
        <w:spacing w:before="280" w:after="120"/>
      </w:pPr>
      <w:r>
        <w:rPr>
          <w:rFonts w:ascii="Garamond" w:hAnsi="Garamond"/>
          <w:b/>
          <w:color w:val="1B3A5C"/>
          <w:sz w:val="24"/>
        </w:rPr>
        <w:t>Navigating the Financial and Professional Cliff</w:t>
      </w:r>
    </w:p>
    <w:p>
      <w:pPr>
        <w:spacing w:after="120"/>
        <w:ind w:firstLine="227"/>
      </w:pPr>
      <w:r>
        <w:rPr>
          <w:rFonts w:ascii="Garamond" w:hAnsi="Garamond"/>
          <w:b w:val="0"/>
          <w:i w:val="0"/>
          <w:sz w:val="22"/>
        </w:rPr>
        <w:t>The reality of managing a fourteen-year-old who has been out of school for a year is that you cannot simply go to work and leave them alone. They are often unsafe, emotionally volatile, or completely dependent on your presence to remain regulated.</w:t>
      </w:r>
    </w:p>
    <w:p>
      <w:pPr>
        <w:spacing w:after="120"/>
        <w:ind w:firstLine="227"/>
      </w:pPr>
      <w:r>
        <w:rPr>
          <w:rFonts w:ascii="Garamond" w:hAnsi="Garamond"/>
          <w:b w:val="0"/>
          <w:i w:val="0"/>
          <w:sz w:val="22"/>
        </w:rPr>
        <w:t>The Career Downgrade: Thousands of parents navigating EBSA are forced to reduce their hours, step down from leadership roles, or quit their careers entirely. This creates an immediate financial crisis at the exact moment they require funds for private therapeutic assessments or legal support.</w:t>
      </w:r>
    </w:p>
    <w:p>
      <w:pPr>
        <w:spacing w:after="120"/>
        <w:ind w:firstLine="227"/>
      </w:pPr>
      <w:r>
        <w:rPr>
          <w:rFonts w:ascii="Garamond" w:hAnsi="Garamond"/>
          <w:b w:val="0"/>
          <w:i w:val="0"/>
          <w:sz w:val="22"/>
        </w:rPr>
        <w:t>Reclaiming Operational Agency: If you have had to adjust your employment, you must reframe this choice. You have not failed in your career; you have temporarily redeployed your professional skill set into a complex, high-stakes advocacy role. Treat your child’s EHCP case and alternative provision acquisition as a professional consultancy project.</w:t>
      </w:r>
    </w:p>
    <w:p>
      <w:pPr>
        <w:spacing w:after="120"/>
        <w:ind w:firstLine="227"/>
      </w:pPr>
      <w:r>
        <w:rPr>
          <w:rFonts w:ascii="Garamond" w:hAnsi="Garamond"/>
          <w:b w:val="0"/>
          <w:i w:val="0"/>
          <w:sz w:val="22"/>
        </w:rPr>
        <w:t>The Practical Tool: The Milestone Redefinition Matrix</w:t>
      </w:r>
    </w:p>
    <w:p>
      <w:pPr>
        <w:spacing w:after="120"/>
        <w:ind w:firstLine="227"/>
      </w:pPr>
      <w:r>
        <w:rPr>
          <w:rFonts w:ascii="Garamond" w:hAnsi="Garamond"/>
          <w:b w:val="0"/>
          <w:i w:val="0"/>
          <w:sz w:val="22"/>
        </w:rPr>
        <w:t>To survive the psychological weight of this transition, you must decouple your family's metrics of success from the mainstream timeline. Use this matrix to reset your internal navigation system.</w:t>
      </w:r>
    </w:p>
    <w:p>
      <w:pPr>
        <w:spacing w:after="120"/>
        <w:ind w:firstLine="227"/>
      </w:pPr>
      <w:r>
        <w:rPr>
          <w:rFonts w:ascii="Garamond" w:hAnsi="Garamond"/>
          <w:b w:val="0"/>
          <w:i w:val="0"/>
          <w:sz w:val="22"/>
        </w:rPr>
        <w:t>Year 11 Prom / Social Circles: Mainstream reality is complete isolation from school peer groups, no formal social events. The Redefined Family Metric: Core Safety Anchors. The cultivation of one single, authentic relationship (online or offline) where the child is fully accepted without masking.</w:t>
      </w:r>
    </w:p>
    <w:p>
      <w:pPr>
        <w:spacing w:after="120"/>
        <w:ind w:firstLine="227"/>
      </w:pPr>
      <w:r>
        <w:rPr>
          <w:rFonts w:ascii="Garamond" w:hAnsi="Garamond"/>
          <w:b w:val="0"/>
          <w:i w:val="0"/>
          <w:sz w:val="22"/>
        </w:rPr>
        <w:t>GCSE Results Day (August): Mainstream reality is no formal certificates achieved on the standard timeline. The Redefined Family Metric: Alternative Horizon. Successful registration at a private exam centre for a single Functional Skills unit sat on an independent timeline.</w:t>
      </w:r>
    </w:p>
    <w:p>
      <w:pPr>
        <w:spacing w:after="120"/>
        <w:ind w:firstLine="227"/>
      </w:pPr>
      <w:r>
        <w:rPr>
          <w:rFonts w:ascii="Garamond" w:hAnsi="Garamond"/>
          <w:b w:val="0"/>
          <w:i w:val="0"/>
          <w:sz w:val="22"/>
        </w:rPr>
        <w:t>Traditional Career Ladder: Mainstream reality is gap years, missing educational blocks, and unconventional CVs. The Redefined Family Metric: Sovereign Independence. The development of robust self-regulation skills, critical thinking, and the ability to self-advocate—assets that far outweigh classroom compliance in adult life.</w:t>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3</w:t>
      </w:r>
    </w:p>
    <w:p>
      <w:pPr>
        <w:spacing w:before="0" w:after="0"/>
        <w:jc w:val="center"/>
      </w:pPr>
      <w:r>
        <w:rPr>
          <w:rFonts w:ascii="Garamond" w:hAnsi="Garamond"/>
          <w:b/>
          <w:i w:val="0"/>
          <w:sz w:val="36"/>
        </w:rPr>
        <w:t>THE PRACTICAL &amp; COMMUNICATION ENGINE</w:t>
      </w:r>
    </w:p>
    <w:p>
      <w:r>
        <w:br w:type="page"/>
      </w:r>
    </w:p>
    <w:p>
      <w:r>
        <w:br w:type="page"/>
      </w:r>
    </w:p>
    <w:p>
      <w:pPr>
        <w:spacing w:before="800" w:after="120"/>
        <w:jc w:val="center"/>
      </w:pPr>
      <w:r>
        <w:rPr>
          <w:rFonts w:ascii="Garamond" w:hAnsi="Garamond"/>
          <w:b w:val="0"/>
          <w:i/>
          <w:sz w:val="24"/>
        </w:rPr>
        <w:t>Chapter 6</w:t>
      </w:r>
    </w:p>
    <w:p>
      <w:pPr>
        <w:pStyle w:val="Heading1"/>
        <w:jc w:val="center"/>
      </w:pPr>
      <w:r>
        <w:rPr>
          <w:rFonts w:ascii="Garamond" w:hAnsi="Garamond"/>
        </w:rPr>
        <w:t>The Communication Audit</w:t>
      </w:r>
    </w:p>
    <w:p>
      <w:pPr>
        <w:spacing w:after="120"/>
        <w:ind w:firstLine="227"/>
      </w:pPr>
      <w:r>
        <w:rPr>
          <w:rFonts w:ascii="Garamond" w:hAnsi="Garamond"/>
          <w:b w:val="0"/>
          <w:i w:val="0"/>
          <w:sz w:val="22"/>
        </w:rPr>
        <w:t>When you are living in the middle of a school attendance crisis, you are exhausted, terrified, and running on pure adrenaline. It is completely natural that when you email the school, you write from the heart. You want them to understand the pain your family is in. You write things like: “I’m so sorry, but Harry just refuses to get out of bed today. His anxiety is too high and I can’t force him to come in.”</w:t>
      </w:r>
    </w:p>
    <w:p>
      <w:pPr>
        <w:spacing w:after="120"/>
        <w:ind w:firstLine="227"/>
      </w:pPr>
      <w:r>
        <w:rPr>
          <w:rFonts w:ascii="Garamond" w:hAnsi="Garamond"/>
          <w:b w:val="0"/>
          <w:i w:val="0"/>
          <w:sz w:val="22"/>
        </w:rPr>
        <w:t>Here is the hard truth you need to hear, and I want you to hear it without an ounce of guilt: Writing from the heart gives the system a stick to beat you with.</w:t>
      </w:r>
    </w:p>
    <w:p>
      <w:pPr>
        <w:spacing w:after="120"/>
        <w:ind w:firstLine="227"/>
      </w:pPr>
      <w:r>
        <w:rPr>
          <w:rFonts w:ascii="Garamond" w:hAnsi="Garamond"/>
          <w:b w:val="0"/>
          <w:i w:val="0"/>
          <w:sz w:val="22"/>
        </w:rPr>
        <w:t>In a perfect world, the school would read that email and respond with deep compassion. In the real world of education welfare and statutory targets, an automated system scans those words and extracts two things: a child who is making a conscious choice to disobey ("refuses") and a parent who admits they lack control ("I can't force him"). Without meaning to, you have just handed them the evidence they need to issue a penalty notice.</w:t>
      </w:r>
    </w:p>
    <w:p>
      <w:pPr>
        <w:spacing w:after="120"/>
        <w:ind w:firstLine="227"/>
      </w:pPr>
      <w:r>
        <w:rPr>
          <w:rFonts w:ascii="Garamond" w:hAnsi="Garamond"/>
          <w:b w:val="0"/>
          <w:i w:val="0"/>
          <w:sz w:val="22"/>
        </w:rPr>
        <w:t>From this moment on, we are changing the game. We are stripping the emotion out of your correspondence and replacing it with clinical, legal armor. You are not a parent begging for a concession; you are a primary caregiver notifying the state of a medical reality.</w:t>
      </w:r>
    </w:p>
    <w:p>
      <w:pPr>
        <w:spacing w:after="120"/>
        <w:ind w:firstLine="227"/>
      </w:pPr>
      <w:r>
        <w:rPr>
          <w:rFonts w:ascii="Garamond" w:hAnsi="Garamond"/>
          <w:b w:val="0"/>
          <w:i w:val="0"/>
          <w:sz w:val="22"/>
        </w:rPr>
        <w:t>The Great Language Shift</w:t>
      </w:r>
    </w:p>
    <w:p>
      <w:pPr>
        <w:spacing w:after="120"/>
        <w:ind w:firstLine="227"/>
      </w:pPr>
      <w:r>
        <w:rPr>
          <w:rFonts w:ascii="Garamond" w:hAnsi="Garamond"/>
          <w:b w:val="0"/>
          <w:i w:val="0"/>
          <w:sz w:val="22"/>
        </w:rPr>
        <w:t>The list below shows the exact translations you must make. On the left is the emotional language the school wants you to use because it keeps the responsibility on your shoulders. On the right is the authoritative, legally protective language that shifts the burden back to the local authority.</w:t>
      </w:r>
    </w:p>
    <w:p>
      <w:pPr>
        <w:spacing w:after="120"/>
        <w:ind w:firstLine="227"/>
      </w:pPr>
      <w:r>
        <w:rPr>
          <w:rFonts w:ascii="Garamond" w:hAnsi="Garamond"/>
          <w:b w:val="0"/>
          <w:i w:val="0"/>
          <w:sz w:val="22"/>
        </w:rPr>
        <w:t>Instead of: “He is refusing to come to school.” Write: “He is currently medically unfit to attend.” Why: “Refusal” implies a behavioural choice. “Medically unfit” triggers the school’s duty to authorise the absence under Code I (Illness).</w:t>
      </w:r>
    </w:p>
    <w:p>
      <w:pPr>
        <w:spacing w:after="120"/>
        <w:ind w:firstLine="227"/>
      </w:pPr>
      <w:r>
        <w:rPr>
          <w:rFonts w:ascii="Garamond" w:hAnsi="Garamond"/>
          <w:b w:val="0"/>
          <w:i w:val="0"/>
          <w:sz w:val="22"/>
        </w:rPr>
        <w:t>Instead of: “I can't get him out of bed / I can't get him into the car.” Write: “His severe anxiety has resulted in neurological immobilisation and crisis.” Why: Confirms that this is a physical and psychological impossibility, not a failure of parental discipline.</w:t>
      </w:r>
    </w:p>
    <w:p>
      <w:pPr>
        <w:spacing w:after="120"/>
        <w:ind w:firstLine="227"/>
      </w:pPr>
      <w:r>
        <w:rPr>
          <w:rFonts w:ascii="Garamond" w:hAnsi="Garamond"/>
          <w:b w:val="0"/>
          <w:i w:val="0"/>
          <w:sz w:val="22"/>
        </w:rPr>
        <w:t>Instead of: “He is too anxious to come in.” Write: “He is experiencing acute Emotionally Based School Avoidance (EBSA) driven by an unsuitable environment.” Why: “Anxiety” can be dismissed as something he needs to “push through.” EBSA is a recognised clinical profile that requires systemic intervention.</w:t>
      </w:r>
    </w:p>
    <w:p>
      <w:pPr>
        <w:spacing w:after="120"/>
        <w:ind w:firstLine="227"/>
      </w:pPr>
      <w:r>
        <w:rPr>
          <w:rFonts w:ascii="Garamond" w:hAnsi="Garamond"/>
          <w:b w:val="0"/>
          <w:i w:val="0"/>
          <w:sz w:val="22"/>
        </w:rPr>
        <w:t>Instead of: “I'm so sorry for the short notice...” Write: “Please find below the formal medical update regarding...” Why: Never apologise. Apologies imply you are at fault. You are managing a medical emergency.</w:t>
      </w:r>
    </w:p>
    <w:p>
      <w:pPr>
        <w:spacing w:after="120"/>
        <w:ind w:firstLine="227"/>
      </w:pPr>
      <w:r>
        <w:rPr>
          <w:rFonts w:ascii="Garamond" w:hAnsi="Garamond"/>
          <w:b w:val="0"/>
          <w:i w:val="0"/>
          <w:sz w:val="22"/>
        </w:rPr>
        <w:t>The Exact-Script Registry</w:t>
      </w:r>
    </w:p>
    <w:p>
      <w:pPr>
        <w:spacing w:after="120"/>
        <w:ind w:firstLine="227"/>
      </w:pPr>
      <w:r>
        <w:rPr>
          <w:rFonts w:ascii="Garamond" w:hAnsi="Garamond"/>
          <w:b w:val="0"/>
          <w:i w:val="0"/>
          <w:sz w:val="22"/>
        </w:rPr>
        <w:t>Keep these templates saved on your phone or computer. When you need to send an email, do not type a single fresh sentence from a place of panic. Copy, paste, fill in the brackets, and hit send.</w:t>
      </w:r>
    </w:p>
    <w:p>
      <w:pPr>
        <w:spacing w:after="120"/>
      </w:pPr>
      <w:r>
        <w:rPr>
          <w:rFonts w:ascii="Garamond" w:hAnsi="Garamond"/>
          <w:b/>
          <w:i w:val="0"/>
          <w:sz w:val="22"/>
        </w:rPr>
        <w:t>Template 1: The Daily/Long-Term Medical Absence Notification</w:t>
      </w:r>
    </w:p>
    <w:p>
      <w:pPr>
        <w:spacing w:after="120"/>
      </w:pPr>
      <w:r>
        <w:rPr>
          <w:rFonts w:ascii="Garamond" w:hAnsi="Garamond"/>
          <w:b/>
          <w:i w:val="0"/>
          <w:sz w:val="22"/>
        </w:rPr>
        <w:t>Subject: Formal Medical Absence Notification: [Child's Full Name] [Date of Birth]</w:t>
      </w:r>
    </w:p>
    <w:p>
      <w:pPr>
        <w:spacing w:after="120"/>
      </w:pPr>
      <w:r>
        <w:rPr>
          <w:rFonts w:ascii="Garamond" w:hAnsi="Garamond"/>
          <w:b/>
          <w:i w:val="0"/>
          <w:sz w:val="22"/>
        </w:rPr>
        <w:t>Dear [Name of Attendance Officer / Headteacher],</w:t>
      </w:r>
    </w:p>
    <w:p>
      <w:pPr>
        <w:spacing w:after="120"/>
        <w:ind w:firstLine="227"/>
      </w:pPr>
      <w:r>
        <w:rPr>
          <w:rFonts w:ascii="Garamond" w:hAnsi="Garamond"/>
          <w:b w:val="0"/>
          <w:i w:val="0"/>
          <w:sz w:val="22"/>
        </w:rPr>
        <w:t>I am writing to formally notify the school that [Child's Name] is currently medically unfit to attend school today, [Date], due to an acute escalation of mental health distress and severe School Distress/EBSA.</w:t>
      </w:r>
    </w:p>
    <w:p>
      <w:pPr>
        <w:spacing w:after="120"/>
        <w:ind w:firstLine="227"/>
      </w:pPr>
      <w:r>
        <w:rPr>
          <w:rFonts w:ascii="Garamond" w:hAnsi="Garamond"/>
          <w:b w:val="0"/>
          <w:i w:val="0"/>
          <w:sz w:val="22"/>
        </w:rPr>
        <w:t>As you are aware, [Child's Name]'s presentation is a physiological response to an environment that is currently unsuitable for their needs. Forcing attendance during an active neurological crisis is a safeguarding risk and causes further regression.</w:t>
      </w:r>
    </w:p>
    <w:p>
      <w:pPr>
        <w:spacing w:after="120"/>
        <w:ind w:firstLine="227"/>
      </w:pPr>
      <w:r>
        <w:rPr>
          <w:rFonts w:ascii="Garamond" w:hAnsi="Garamond"/>
          <w:b w:val="0"/>
          <w:i w:val="0"/>
          <w:sz w:val="22"/>
        </w:rPr>
        <w:t>In line with Department for Education (DfE) statutory guidance and Section 444(2A) of the Education Act 1996, this absence must be recorded under Code I (Illness).</w:t>
      </w:r>
    </w:p>
    <w:p>
      <w:pPr>
        <w:spacing w:after="120"/>
        <w:ind w:firstLine="227"/>
      </w:pPr>
      <w:r>
        <w:rPr>
          <w:rFonts w:ascii="Garamond" w:hAnsi="Garamond"/>
          <w:b w:val="0"/>
          <w:i w:val="0"/>
          <w:sz w:val="22"/>
        </w:rPr>
        <w:t>I am currently working with medical professionals to secure updated documentation, but please accept this formal parental notification as immediate confirmation of medical unfitness to attend. I will provide a further strategic update on [Date - give yourself at least a week].</w:t>
      </w:r>
    </w:p>
    <w:p>
      <w:pPr>
        <w:spacing w:after="120"/>
        <w:ind w:firstLine="227"/>
      </w:pPr>
      <w:r>
        <w:rPr>
          <w:rFonts w:ascii="Garamond" w:hAnsi="Garamond"/>
          <w:b w:val="0"/>
          <w:i w:val="0"/>
          <w:sz w:val="22"/>
        </w:rPr>
        <w:t>Please ensure this is logged correctly on the visual register.</w:t>
      </w:r>
    </w:p>
    <w:p>
      <w:pPr>
        <w:spacing w:after="120"/>
      </w:pPr>
      <w:r>
        <w:rPr>
          <w:rFonts w:ascii="Garamond" w:hAnsi="Garamond"/>
          <w:b/>
          <w:i w:val="0"/>
          <w:sz w:val="22"/>
        </w:rPr>
        <w:t>Kind regards,</w:t>
      </w:r>
    </w:p>
    <w:p>
      <w:pPr>
        <w:spacing w:before="280" w:after="120"/>
      </w:pPr>
      <w:r>
        <w:rPr>
          <w:rFonts w:ascii="Garamond" w:hAnsi="Garamond"/>
          <w:b/>
          <w:color w:val="1B3A5C"/>
          <w:sz w:val="24"/>
        </w:rPr>
        <w:t>[Your Name]</w:t>
      </w:r>
    </w:p>
    <w:p>
      <w:pPr>
        <w:spacing w:after="120"/>
      </w:pPr>
      <w:r>
        <w:rPr>
          <w:rFonts w:ascii="Garamond" w:hAnsi="Garamond"/>
          <w:b/>
          <w:i w:val="0"/>
          <w:sz w:val="22"/>
        </w:rPr>
        <w:t>Template 2: Responding to a "Notice to Improve" or Fine Threat</w:t>
      </w:r>
    </w:p>
    <w:p>
      <w:pPr>
        <w:spacing w:after="120"/>
      </w:pPr>
      <w:r>
        <w:rPr>
          <w:rFonts w:ascii="Garamond" w:hAnsi="Garamond"/>
          <w:b/>
          <w:i w:val="0"/>
          <w:sz w:val="22"/>
        </w:rPr>
        <w:t>Subject: Response to Correspondence Dated [Date] regarding Attendance / [Child's Name]</w:t>
      </w:r>
    </w:p>
    <w:p>
      <w:pPr>
        <w:spacing w:after="120"/>
      </w:pPr>
      <w:r>
        <w:rPr>
          <w:rFonts w:ascii="Garamond" w:hAnsi="Garamond"/>
          <w:b/>
          <w:i w:val="0"/>
          <w:sz w:val="22"/>
        </w:rPr>
        <w:t>Dear [Name of Sender / Headteacher],</w:t>
      </w:r>
    </w:p>
    <w:p>
      <w:pPr>
        <w:spacing w:after="120"/>
        <w:ind w:firstLine="227"/>
      </w:pPr>
      <w:r>
        <w:rPr>
          <w:rFonts w:ascii="Garamond" w:hAnsi="Garamond"/>
          <w:b w:val="0"/>
          <w:i w:val="0"/>
          <w:sz w:val="22"/>
        </w:rPr>
        <w:t>I am in receipt of your correspondence dated [Date] regarding [Child's Name]’s attendance profile.</w:t>
      </w:r>
    </w:p>
    <w:p>
      <w:pPr>
        <w:spacing w:after="120"/>
        <w:ind w:firstLine="227"/>
      </w:pPr>
      <w:r>
        <w:rPr>
          <w:rFonts w:ascii="Garamond" w:hAnsi="Garamond"/>
          <w:b w:val="0"/>
          <w:i w:val="0"/>
          <w:sz w:val="22"/>
        </w:rPr>
        <w:t>I must formally challenge the implication that this is a case of unauthorised absence or truancy. [Child's Name]’s non-attendance is entirely due to documented medical unfitness caused by severe school-induced trauma and EBSA. Therefore, the threshold for a "Notice to Improve" or a fixed penalty notice has not legally been met, as the absences constitute an "unavoidable cause" under Section 444(2A) of the Education Act 1996.</w:t>
      </w:r>
    </w:p>
    <w:p>
      <w:pPr>
        <w:spacing w:after="120"/>
        <w:ind w:firstLine="227"/>
      </w:pPr>
      <w:r>
        <w:rPr>
          <w:rFonts w:ascii="Garamond" w:hAnsi="Garamond"/>
          <w:b w:val="0"/>
          <w:i w:val="0"/>
          <w:sz w:val="22"/>
        </w:rPr>
        <w:t>Furthermore, as [Child's Name] has now been unable to attend for more than 15 days due to health needs, the statutory duty under Section 19 of the Education Act 1996 has been triggered. The responsibility to provide a suitable, alternative full-time education now rests with the Local Authority.</w:t>
      </w:r>
    </w:p>
    <w:p>
      <w:pPr>
        <w:spacing w:after="120"/>
        <w:ind w:firstLine="227"/>
      </w:pPr>
      <w:r>
        <w:rPr>
          <w:rFonts w:ascii="Garamond" w:hAnsi="Garamond"/>
          <w:b w:val="0"/>
          <w:i w:val="0"/>
          <w:sz w:val="22"/>
        </w:rPr>
        <w:t>Please arrange for any unauthorised codes (such as Code O) on [Child's Name]'s register to be amended to Code I (Illness) or Code C (Other Authorised Circumstances) to accurately reflect their medical crisis.</w:t>
      </w:r>
    </w:p>
    <w:p>
      <w:pPr>
        <w:spacing w:after="120"/>
        <w:ind w:firstLine="227"/>
      </w:pPr>
      <w:r>
        <w:rPr>
          <w:rFonts w:ascii="Garamond" w:hAnsi="Garamond"/>
          <w:b w:val="0"/>
          <w:i w:val="0"/>
          <w:sz w:val="22"/>
        </w:rPr>
        <w:t>I welcome an urgent multi-agency meeting to discuss alternative provision options under Section 19, but I will not accept punitive attendance measures while my child is under medical duress.</w:t>
      </w:r>
    </w:p>
    <w:p>
      <w:pPr>
        <w:spacing w:after="120"/>
      </w:pPr>
      <w:r>
        <w:rPr>
          <w:rFonts w:ascii="Garamond" w:hAnsi="Garamond"/>
          <w:b/>
          <w:i w:val="0"/>
          <w:sz w:val="22"/>
        </w:rPr>
        <w:t>Kind regards,</w:t>
      </w:r>
    </w:p>
    <w:p>
      <w:pPr>
        <w:spacing w:before="280" w:after="120"/>
      </w:pPr>
      <w:r>
        <w:rPr>
          <w:rFonts w:ascii="Garamond" w:hAnsi="Garamond"/>
          <w:b/>
          <w:color w:val="1B3A5C"/>
          <w:sz w:val="24"/>
        </w:rPr>
        <w:t>[Your Name]</w:t>
      </w:r>
    </w:p>
    <w:p>
      <w:pPr>
        <w:spacing w:after="120"/>
      </w:pPr>
      <w:r>
        <w:rPr>
          <w:rFonts w:ascii="Garamond" w:hAnsi="Garamond"/>
          <w:b/>
          <w:i w:val="0"/>
          <w:sz w:val="22"/>
        </w:rPr>
        <w:t>Template 3: Rejecting an Unsafe/Informal "Part-Time Timetable"</w:t>
      </w:r>
    </w:p>
    <w:p>
      <w:pPr>
        <w:spacing w:after="120"/>
      </w:pPr>
      <w:r>
        <w:rPr>
          <w:rFonts w:ascii="Garamond" w:hAnsi="Garamond"/>
          <w:b/>
          <w:i w:val="0"/>
          <w:sz w:val="22"/>
        </w:rPr>
        <w:t>Subject: Review of Proposed Phased Reintegration / Part-Time Timetable for [Child's Name]</w:t>
      </w:r>
    </w:p>
    <w:p>
      <w:pPr>
        <w:spacing w:after="120"/>
      </w:pPr>
      <w:r>
        <w:rPr>
          <w:rFonts w:ascii="Garamond" w:hAnsi="Garamond"/>
          <w:b/>
          <w:i w:val="0"/>
          <w:sz w:val="22"/>
        </w:rPr>
        <w:t>Dear [Name of Staff Member],</w:t>
      </w:r>
    </w:p>
    <w:p>
      <w:pPr>
        <w:spacing w:after="120"/>
        <w:ind w:firstLine="227"/>
      </w:pPr>
      <w:r>
        <w:rPr>
          <w:rFonts w:ascii="Garamond" w:hAnsi="Garamond"/>
          <w:b w:val="0"/>
          <w:i w:val="0"/>
          <w:sz w:val="22"/>
        </w:rPr>
        <w:t>Thank you for your suggestion regarding a reduced schedule focusing on [e.g., PE attendance/friend greetings]. I appreciate the intent behind trying to create a low-pressure touchpoint.</w:t>
      </w:r>
    </w:p>
    <w:p>
      <w:pPr>
        <w:spacing w:after="120"/>
        <w:ind w:firstLine="227"/>
      </w:pPr>
      <w:r>
        <w:rPr>
          <w:rFonts w:ascii="Garamond" w:hAnsi="Garamond"/>
          <w:b w:val="0"/>
          <w:i w:val="0"/>
          <w:sz w:val="22"/>
        </w:rPr>
        <w:t>However, having reviewed this proposal against [Child's Name]’s current clinical presentation, I cannot consent to this plan. At this stage of severe nervous system burnout, entering the physical school building—even for unstructured or social sessions—acts as a severe psychological trigger. Pushing through this barrier without a comprehensive, therapeutic assessment will cause further cognitive and emotional regression.</w:t>
      </w:r>
    </w:p>
    <w:p>
      <w:pPr>
        <w:spacing w:after="120"/>
        <w:ind w:firstLine="227"/>
      </w:pPr>
      <w:r>
        <w:rPr>
          <w:rFonts w:ascii="Garamond" w:hAnsi="Garamond"/>
          <w:b w:val="0"/>
          <w:i w:val="0"/>
          <w:sz w:val="22"/>
        </w:rPr>
        <w:t>If the school wishes to implement a reduced or alternative timetable, it must be formally documented as a time-limited medical intervention. Crucially, I require written confirmation that the sessions [Child's Name] is not expected to attend will be coded as Code C (Authorised Absence) or Code B (Approved Off-Site Educational Activity), ensuring they are not penalised for hours they are legally permitted to miss.</w:t>
      </w:r>
    </w:p>
    <w:p>
      <w:pPr>
        <w:spacing w:after="120"/>
        <w:ind w:firstLine="227"/>
      </w:pPr>
      <w:r>
        <w:rPr>
          <w:rFonts w:ascii="Garamond" w:hAnsi="Garamond"/>
          <w:b w:val="0"/>
          <w:i w:val="0"/>
          <w:sz w:val="22"/>
        </w:rPr>
        <w:t>Until we can secure a formal multi-agency framework or an EHC Needs Assessment that outlines the exact sensory and environment modifications required, we must focus on stabilising [Child's Name]'s health at home.</w:t>
      </w:r>
    </w:p>
    <w:p>
      <w:pPr>
        <w:spacing w:after="120"/>
      </w:pPr>
      <w:r>
        <w:rPr>
          <w:rFonts w:ascii="Garamond" w:hAnsi="Garamond"/>
          <w:b/>
          <w:i w:val="0"/>
          <w:sz w:val="22"/>
        </w:rPr>
        <w:t>Kind regards,</w:t>
      </w:r>
    </w:p>
    <w:p>
      <w:pPr>
        <w:spacing w:before="280" w:after="120"/>
      </w:pPr>
      <w:r>
        <w:rPr>
          <w:rFonts w:ascii="Garamond" w:hAnsi="Garamond"/>
          <w:b/>
          <w:color w:val="1B3A5C"/>
          <w:sz w:val="24"/>
        </w:rPr>
        <w:t>[Your Name]</w:t>
      </w:r>
    </w:p>
    <w:p>
      <w:pPr>
        <w:spacing w:after="120"/>
        <w:ind w:firstLine="227"/>
      </w:pPr>
      <w:r>
        <w:rPr>
          <w:rFonts w:ascii="Garamond" w:hAnsi="Garamond"/>
          <w:b w:val="0"/>
          <w:i w:val="0"/>
          <w:sz w:val="22"/>
        </w:rPr>
        <w:t>The Golden Rule of the Audit: Every time you write an email, read it over once before sending and ask yourself: “If a magistrate read this aloud in a courtroom, does it sound like I am an irresponsible parent, or does it sound like an authoritative professional managing a healthcare crisis?” If it’s the latter, press send. You are doing an incredible job protecting your child. Let the paperwork do the fighting for a while.</w:t>
      </w:r>
    </w:p>
    <w:p>
      <w:pPr>
        <w:spacing w:before="480" w:after="120"/>
        <w:jc w:val="center"/>
      </w:pPr>
      <w:r>
        <w:rPr>
          <w:color w:val="6B7280"/>
          <w:sz w:val="16"/>
        </w:rPr>
        <w:t>──────────────────────────────────────────────────</w:t>
      </w:r>
    </w:p>
    <w:p>
      <w:pPr>
        <w:spacing w:after="160"/>
      </w:pPr>
      <w:r>
        <w:rPr>
          <w:rFonts w:ascii="Garamond" w:hAnsi="Garamond"/>
          <w:b/>
          <w:color w:val="1B3A5C"/>
          <w:sz w:val="24"/>
        </w:rPr>
        <w:t>When the school responds in a way the templates don't cover.</w:t>
      </w:r>
    </w:p>
    <w:p>
      <w:pPr>
        <w:spacing w:after="120"/>
      </w:pPr>
      <w:r>
        <w:rPr>
          <w:rFonts w:ascii="Garamond" w:hAnsi="Garamond"/>
          <w:sz w:val="20"/>
        </w:rPr>
        <w:t>The templates in this chapter handle the most common eighty per cent of scenarios. The remaining twenty per cent — where the school invokes safeguarding, where Children's Social Care become involved, where the headteacher refuses to engage at all — require bespoke wording.</w:t>
      </w:r>
    </w:p>
    <w:p>
      <w:pPr>
        <w:spacing w:after="120"/>
      </w:pPr>
      <w:r>
        <w:rPr>
          <w:rFonts w:ascii="Garamond" w:hAnsi="Garamond"/>
          <w:sz w:val="20"/>
        </w:rPr>
        <w:t>Do not send a high-stakes letter from a place of panic.</w:t>
      </w:r>
    </w:p>
    <w:p>
      <w:pPr>
        <w:spacing w:after="120"/>
      </w:pPr>
      <w:r>
        <w:rPr>
          <w:rFonts w:ascii="Garamond" w:hAnsi="Garamond"/>
          <w:sz w:val="20"/>
        </w:rPr>
        <w:t>The £160 Initial Consultation includes drafting guidance and a written legal-position summary for your specific situation. For families with several documents in play and an EHCP already at stake, the £395 EHCP Application Support package handles the full correspondence sequence.</w:t>
      </w:r>
    </w:p>
    <w:p>
      <w:pPr>
        <w:spacing w:before="80" w:after="80"/>
      </w:pPr>
      <w:r>
        <w:rPr>
          <w:rFonts w:ascii="Garamond" w:hAnsi="Garamond"/>
          <w:b/>
          <w:sz w:val="20"/>
        </w:rPr>
        <w:t>sendnavigate.org/book</w:t>
      </w:r>
    </w:p>
    <w:p>
      <w:pPr>
        <w:spacing w:after="360"/>
        <w:jc w:val="center"/>
      </w:pPr>
      <w:r>
        <w:rPr>
          <w:color w:val="6B7280"/>
          <w:sz w:val="16"/>
        </w:rPr>
        <w:t>──────────────────────────────────────────────────</w:t>
      </w:r>
    </w:p>
    <w:p>
      <w:r>
        <w:br w:type="page"/>
      </w:r>
    </w:p>
    <w:p>
      <w:pPr>
        <w:spacing w:before="800" w:after="120"/>
        <w:jc w:val="center"/>
      </w:pPr>
      <w:r>
        <w:rPr>
          <w:rFonts w:ascii="Garamond" w:hAnsi="Garamond"/>
          <w:b w:val="0"/>
          <w:i/>
          <w:sz w:val="24"/>
        </w:rPr>
        <w:t>Chapter 7</w:t>
      </w:r>
    </w:p>
    <w:p>
      <w:pPr>
        <w:pStyle w:val="Heading1"/>
        <w:jc w:val="center"/>
      </w:pPr>
      <w:r>
        <w:rPr>
          <w:rFonts w:ascii="Garamond" w:hAnsi="Garamond"/>
        </w:rPr>
        <w:t>Building the Inarguable Evidence Binder</w:t>
      </w:r>
    </w:p>
    <w:p>
      <w:pPr>
        <w:spacing w:after="120"/>
        <w:ind w:firstLine="227"/>
      </w:pPr>
      <w:r>
        <w:rPr>
          <w:rFonts w:ascii="Garamond" w:hAnsi="Garamond"/>
          <w:b w:val="0"/>
          <w:i w:val="0"/>
          <w:sz w:val="22"/>
        </w:rPr>
        <w:t>The moment you send a legally fortified email stating your child is medically unfit, the institutional machinery will almost always respond with a predictable counter-move: “Please provide formal medical evidence from a consultant or CAMHS to support this.”</w:t>
      </w:r>
    </w:p>
    <w:p>
      <w:pPr>
        <w:spacing w:after="120"/>
        <w:ind w:firstLine="227"/>
      </w:pPr>
      <w:r>
        <w:rPr>
          <w:rFonts w:ascii="Garamond" w:hAnsi="Garamond"/>
          <w:b w:val="0"/>
          <w:i w:val="0"/>
          <w:sz w:val="22"/>
        </w:rPr>
        <w:t>Because Child and Adolescent Mental Health Services (CAMHS) waiting lists in the United Kingdom frequently stretch from 12 to 24 months, this demand can induce immediate panic. Parents feel trapped in a legal vacuum—unable to get an appointment, yet threatened with prosecution for unauthorised absences while they wait.</w:t>
      </w:r>
    </w:p>
    <w:p>
      <w:pPr>
        <w:spacing w:after="120"/>
        <w:ind w:firstLine="227"/>
      </w:pPr>
      <w:r>
        <w:rPr>
          <w:rFonts w:ascii="Garamond" w:hAnsi="Garamond"/>
          <w:b w:val="0"/>
          <w:i w:val="0"/>
          <w:sz w:val="22"/>
        </w:rPr>
        <w:t>This chapter is designed to dismantle that trap. You do not need a formal diagnostic label to secure your child’s legal protection or to force the Local Authority to act. Under English education law, the trigger for alternative provision and authorised absence is not a diagnosis; it is the documented evidence of the impact of an illness on the child’s ability to access education.</w:t>
      </w:r>
    </w:p>
    <w:p>
      <w:pPr>
        <w:spacing w:before="280" w:after="120"/>
      </w:pPr>
      <w:r>
        <w:rPr>
          <w:rFonts w:ascii="Garamond" w:hAnsi="Garamond"/>
          <w:b/>
          <w:color w:val="1B3A5C"/>
          <w:sz w:val="24"/>
        </w:rPr>
        <w:t>The Legal Principle: Impact Over Label</w:t>
      </w:r>
    </w:p>
    <w:p>
      <w:pPr>
        <w:spacing w:after="120"/>
        <w:ind w:firstLine="227"/>
      </w:pPr>
      <w:r>
        <w:rPr>
          <w:rFonts w:ascii="Garamond" w:hAnsi="Garamond"/>
          <w:b w:val="0"/>
          <w:i w:val="0"/>
          <w:sz w:val="22"/>
        </w:rPr>
        <w:t>The Department for Education (DfE) statutory guidance, “Working together to improve school attendance,” and Section 19 of the Education Act 1996 are clear: if a child is unable to attend school due to illness, the Local Authority must step in. Crucially, case law confirms that an authority cannot draw a rigid line demanding a specialist consultant's diagnosis before providing support. The relevant metric is whether the child is well enough to attend a mainstream classroom. If they are not, the duty is live.</w:t>
      </w:r>
    </w:p>
    <w:p>
      <w:pPr>
        <w:spacing w:after="120"/>
        <w:ind w:firstLine="227"/>
      </w:pPr>
      <w:r>
        <w:rPr>
          <w:rFonts w:ascii="Garamond" w:hAnsi="Garamond"/>
          <w:b w:val="0"/>
          <w:i w:val="0"/>
          <w:sz w:val="22"/>
        </w:rPr>
        <w:t>To weaponise this reality, you must build an Inarguable Evidence Binder. This binder shifts the narrative from subjective parental worry to objective, clinical-grade data that professionals cannot easily dismiss.</w:t>
      </w:r>
    </w:p>
    <w:p>
      <w:pPr>
        <w:spacing w:after="120"/>
        <w:ind w:firstLine="227"/>
      </w:pPr>
      <w:r>
        <w:rPr>
          <w:rFonts w:ascii="Garamond" w:hAnsi="Garamond"/>
          <w:b w:val="0"/>
          <w:i w:val="0"/>
          <w:sz w:val="22"/>
        </w:rPr>
        <w:t>The 10-Minute GP Strategy</w:t>
      </w:r>
    </w:p>
    <w:p>
      <w:pPr>
        <w:spacing w:after="120"/>
        <w:ind w:firstLine="227"/>
      </w:pPr>
      <w:r>
        <w:rPr>
          <w:rFonts w:ascii="Garamond" w:hAnsi="Garamond"/>
          <w:b w:val="0"/>
          <w:i w:val="0"/>
          <w:sz w:val="22"/>
        </w:rPr>
        <w:t>Your general practitioner (GP) is the most accessible gatekeeper to legal safety. While a GP cannot instantly provide a full neurodevelopmental or psychiatric assessment, they can issue a Med 3 form (a “fit note”) stating that a young person is medically unfit to attend school due to acute anxiety, depression, or stress.</w:t>
      </w:r>
    </w:p>
    <w:p>
      <w:pPr>
        <w:spacing w:after="120"/>
        <w:ind w:firstLine="227"/>
      </w:pPr>
      <w:r>
        <w:rPr>
          <w:rFonts w:ascii="Garamond" w:hAnsi="Garamond"/>
          <w:b w:val="0"/>
          <w:i w:val="0"/>
          <w:sz w:val="22"/>
        </w:rPr>
        <w:t>However, GPs are heavily constrained by time. If you enter a 10-minute appointment overwhelmed and emotional, describing various arguments with the school, the GP may view the situation as a social or behavioural dispute rather than a medical crisis. You must treat the GP as a professional partner and present them with pre-sorted, clinical data:</w:t>
      </w:r>
    </w:p>
    <w:p>
      <w:pPr>
        <w:spacing w:after="120"/>
        <w:ind w:firstLine="227"/>
      </w:pPr>
      <w:r>
        <w:rPr>
          <w:rFonts w:ascii="Garamond" w:hAnsi="Garamond"/>
          <w:b w:val="0"/>
          <w:i w:val="0"/>
          <w:sz w:val="22"/>
        </w:rPr>
        <w:t>Book a dedicated review: Ask specifically for an appointment or phone review to discuss an ongoing medical fit note for mental health.</w:t>
      </w:r>
    </w:p>
    <w:p>
      <w:pPr>
        <w:spacing w:after="120"/>
        <w:ind w:firstLine="227"/>
      </w:pPr>
      <w:r>
        <w:rPr>
          <w:rFonts w:ascii="Garamond" w:hAnsi="Garamond"/>
          <w:b w:val="0"/>
          <w:i w:val="0"/>
          <w:sz w:val="22"/>
        </w:rPr>
        <w:t>Lead with physiological indicators: Tell the GP about sleep deprivation, vomiting, migraines, dramatic weight fluctuations, panic attacks, or self-harm markers. These are concrete clinical symptoms a doctor must respond to under their duty of care.</w:t>
      </w:r>
    </w:p>
    <w:p>
      <w:pPr>
        <w:spacing w:after="120"/>
        <w:ind w:firstLine="227"/>
      </w:pPr>
      <w:r>
        <w:rPr>
          <w:rFonts w:ascii="Garamond" w:hAnsi="Garamond"/>
          <w:b w:val="0"/>
          <w:i w:val="0"/>
          <w:sz w:val="22"/>
        </w:rPr>
        <w:t>Present the Symptom &amp; Impact Log: Hand the doctor a copy of your tracking data. This allows them to instantly see a multi-month pattern of medical distress tied directly to school pressure, providing them with the professional confidence to sign a recurring fit note.</w:t>
      </w:r>
    </w:p>
    <w:p>
      <w:pPr>
        <w:spacing w:after="120"/>
        <w:ind w:firstLine="227"/>
      </w:pPr>
      <w:r>
        <w:rPr>
          <w:rFonts w:ascii="Garamond" w:hAnsi="Garamond"/>
          <w:b w:val="0"/>
          <w:i w:val="0"/>
          <w:sz w:val="22"/>
        </w:rPr>
        <w:t>The Symptom &amp; Impact Log Template</w:t>
      </w:r>
    </w:p>
    <w:p>
      <w:pPr>
        <w:spacing w:after="120"/>
        <w:ind w:firstLine="227"/>
      </w:pPr>
      <w:r>
        <w:rPr>
          <w:rFonts w:ascii="Garamond" w:hAnsi="Garamond"/>
          <w:b w:val="0"/>
          <w:i w:val="0"/>
          <w:sz w:val="22"/>
        </w:rPr>
        <w:t>Use this layout to maintain a cold, daily record of your child’s physical and psychological state. Do not include lengthy narratives about family life; focus strictly on clinical manifestations and environmental triggers.</w:t>
      </w:r>
    </w:p>
    <w:p>
      <w:pPr>
        <w:spacing w:after="120"/>
        <w:ind w:firstLine="227"/>
      </w:pPr>
      <w:r>
        <w:rPr>
          <w:rFonts w:ascii="Garamond" w:hAnsi="Garamond"/>
          <w:b w:val="0"/>
          <w:i w:val="0"/>
          <w:sz w:val="22"/>
        </w:rPr>
        <w:t>Date: [Enter Date]</w:t>
      </w:r>
    </w:p>
    <w:p>
      <w:pPr>
        <w:spacing w:after="120"/>
        <w:ind w:firstLine="227"/>
      </w:pPr>
      <w:r>
        <w:rPr>
          <w:rFonts w:ascii="Garamond" w:hAnsi="Garamond"/>
          <w:b w:val="0"/>
          <w:i w:val="0"/>
          <w:sz w:val="22"/>
        </w:rPr>
        <w:t>Physiological Manifestation: Severe nausea, dry-heaving at 07.30am. Elevated resting heart rate (115 bpm). Inability to eat breakfast.</w:t>
      </w:r>
    </w:p>
    <w:p>
      <w:pPr>
        <w:spacing w:after="120"/>
        <w:ind w:firstLine="227"/>
      </w:pPr>
      <w:r>
        <w:rPr>
          <w:rFonts w:ascii="Garamond" w:hAnsi="Garamond"/>
          <w:b w:val="0"/>
          <w:i w:val="0"/>
          <w:sz w:val="22"/>
        </w:rPr>
        <w:t>Psychological / Behavioural Impact: Complete selective mutism, hyperventilation, locked door behaviour, involuntary shaking when uniform presented.</w:t>
      </w:r>
    </w:p>
    <w:p>
      <w:pPr>
        <w:spacing w:after="120"/>
        <w:ind w:firstLine="227"/>
      </w:pPr>
      <w:r>
        <w:rPr>
          <w:rFonts w:ascii="Garamond" w:hAnsi="Garamond"/>
          <w:b w:val="0"/>
          <w:i w:val="0"/>
          <w:sz w:val="22"/>
        </w:rPr>
        <w:t>School Touchpoint / Trigger: Sunday evening anticipatory stress; school automated text message received regarding attendance targets.</w:t>
      </w:r>
    </w:p>
    <w:p>
      <w:pPr>
        <w:spacing w:after="120"/>
        <w:ind w:firstLine="227"/>
      </w:pPr>
      <w:r>
        <w:rPr>
          <w:rFonts w:ascii="Garamond" w:hAnsi="Garamond"/>
          <w:b w:val="0"/>
          <w:i w:val="0"/>
          <w:sz w:val="22"/>
        </w:rPr>
        <w:t>When this data covers a period of 3 to 4 weeks, it becomes entirely inarguable. It explicitly demonstrates that the school building acts as a direct psychological and physiological trigger, legally validating the immediate necessity for an alternative educational environment.</w:t>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4</w:t>
      </w:r>
    </w:p>
    <w:p>
      <w:pPr>
        <w:spacing w:before="0" w:after="0"/>
        <w:jc w:val="center"/>
      </w:pPr>
      <w:r>
        <w:rPr>
          <w:rFonts w:ascii="Garamond" w:hAnsi="Garamond"/>
          <w:b/>
          <w:i w:val="0"/>
          <w:sz w:val="36"/>
        </w:rPr>
        <w:t>THE LEGAL &amp; SYSTEMIC WARFARE MANUAL</w:t>
      </w:r>
    </w:p>
    <w:p>
      <w:r>
        <w:br w:type="page"/>
      </w:r>
    </w:p>
    <w:p>
      <w:r>
        <w:br w:type="page"/>
      </w:r>
    </w:p>
    <w:p>
      <w:pPr>
        <w:spacing w:before="800" w:after="120"/>
        <w:jc w:val="center"/>
      </w:pPr>
      <w:r>
        <w:rPr>
          <w:rFonts w:ascii="Garamond" w:hAnsi="Garamond"/>
          <w:b w:val="0"/>
          <w:i/>
          <w:sz w:val="24"/>
        </w:rPr>
        <w:t>Chapter 8</w:t>
      </w:r>
    </w:p>
    <w:p>
      <w:pPr>
        <w:pStyle w:val="Heading1"/>
        <w:jc w:val="center"/>
      </w:pPr>
      <w:r>
        <w:rPr>
          <w:rFonts w:ascii="Garamond" w:hAnsi="Garamond"/>
        </w:rPr>
        <w:t>Shifting the Burden</w:t>
      </w:r>
    </w:p>
    <w:p>
      <w:pPr>
        <w:spacing w:after="120"/>
        <w:ind w:firstLine="227"/>
      </w:pPr>
      <w:r>
        <w:rPr>
          <w:rFonts w:ascii="Garamond" w:hAnsi="Garamond"/>
          <w:b w:val="0"/>
          <w:i w:val="0"/>
          <w:sz w:val="22"/>
        </w:rPr>
        <w:t>Up to this point, you have been playing defence. You have been auditing your language to avoid traps and gathering data to prove your child’s physical and psychological distress. Now, we pivot to offence. We are going to stop trying to convince the school to understand, and we are going to force the Local Authority (LA) to do its statutory job.</w:t>
      </w:r>
    </w:p>
    <w:p>
      <w:pPr>
        <w:spacing w:before="480" w:after="120"/>
        <w:jc w:val="center"/>
      </w:pPr>
      <w:r>
        <w:rPr>
          <w:color w:val="6B7280"/>
          <w:sz w:val="16"/>
        </w:rPr>
        <w:t>──────────────────────────────────────────────────</w:t>
      </w:r>
    </w:p>
    <w:p>
      <w:pPr>
        <w:spacing w:after="160"/>
      </w:pPr>
      <w:r>
        <w:rPr>
          <w:rFonts w:ascii="Garamond" w:hAnsi="Garamond"/>
          <w:b/>
          <w:color w:val="1B3A5C"/>
          <w:sz w:val="24"/>
        </w:rPr>
        <w:t>The Section 19 letter is the moment the law starts working for you.</w:t>
      </w:r>
    </w:p>
    <w:p>
      <w:pPr>
        <w:spacing w:after="120"/>
      </w:pPr>
      <w:r>
        <w:rPr>
          <w:rFonts w:ascii="Garamond" w:hAnsi="Garamond"/>
          <w:sz w:val="20"/>
        </w:rPr>
        <w:t>This is the most important chapter in this book.</w:t>
      </w:r>
    </w:p>
    <w:p>
      <w:pPr>
        <w:spacing w:after="120"/>
      </w:pPr>
      <w:r>
        <w:rPr>
          <w:rFonts w:ascii="Garamond" w:hAnsi="Garamond"/>
          <w:sz w:val="20"/>
        </w:rPr>
        <w:t>The letter you are about to learn how to write will, if accurate and well-evidenced, change your family's position overnight. There is no other tool in this manual that achieves what this one achieves.</w:t>
      </w:r>
    </w:p>
    <w:p>
      <w:pPr>
        <w:spacing w:after="120"/>
      </w:pPr>
      <w:r>
        <w:rPr>
          <w:rFonts w:ascii="Garamond" w:hAnsi="Garamond"/>
          <w:sz w:val="20"/>
        </w:rPr>
        <w:t>If your case is straightforward, the chapter alone may be enough.</w:t>
      </w:r>
    </w:p>
    <w:p>
      <w:pPr>
        <w:spacing w:after="120"/>
      </w:pPr>
      <w:r>
        <w:rPr>
          <w:rFonts w:ascii="Garamond" w:hAnsi="Garamond"/>
          <w:sz w:val="20"/>
        </w:rPr>
        <w:t>If you have a complex case — multiple Local Authorities, cross-border issues, a child already in failing alternative provision, an active safeguarding inquiry — the Section 19 letter is rarely a "send and wait" exercise. It is the start of a negotiation.</w:t>
      </w:r>
    </w:p>
    <w:p>
      <w:pPr>
        <w:spacing w:after="120"/>
      </w:pPr>
      <w:r>
        <w:rPr>
          <w:rFonts w:ascii="Garamond" w:hAnsi="Garamond"/>
          <w:sz w:val="20"/>
        </w:rPr>
        <w:t>The £160 Initial Consultation will give you a written legal-position summary you can use directly. If the case escalates, the £395 EHCP Application Support and the £480 EHCP Review &amp; Strengthening packages cover most parents' next-stage needs. Where formal LA appeal is required, the £1,440 LA Decision Appeal Package handles a full case build.</w:t>
      </w:r>
    </w:p>
    <w:p>
      <w:pPr>
        <w:spacing w:before="80" w:after="80"/>
      </w:pPr>
      <w:r>
        <w:rPr>
          <w:rFonts w:ascii="Garamond" w:hAnsi="Garamond"/>
          <w:b/>
          <w:sz w:val="20"/>
        </w:rPr>
        <w:t>sendnavigate.org/book</w:t>
      </w:r>
    </w:p>
    <w:p>
      <w:pPr>
        <w:spacing w:after="360"/>
        <w:jc w:val="center"/>
      </w:pPr>
      <w:r>
        <w:rPr>
          <w:color w:val="6B7280"/>
          <w:sz w:val="16"/>
        </w:rPr>
        <w:t>──────────────────────────────────────────────────</w:t>
      </w:r>
    </w:p>
    <w:p>
      <w:pPr>
        <w:spacing w:after="120"/>
        <w:ind w:firstLine="227"/>
      </w:pPr>
      <w:r>
        <w:rPr>
          <w:rFonts w:ascii="Garamond" w:hAnsi="Garamond"/>
          <w:b w:val="0"/>
          <w:i w:val="0"/>
          <w:sz w:val="22"/>
        </w:rPr>
        <w:t>When a 14-year-old has been out of school for a year, the system’s default setting is to leave the legal and emotional burden entirely on you. They expect you to manage the morning crises, tolerate the isolation, and absorb the threat of fines.</w:t>
      </w:r>
    </w:p>
    <w:p>
      <w:pPr>
        <w:spacing w:after="120"/>
        <w:ind w:firstLine="227"/>
      </w:pPr>
      <w:r>
        <w:rPr>
          <w:rFonts w:ascii="Garamond" w:hAnsi="Garamond"/>
          <w:b w:val="0"/>
          <w:i w:val="0"/>
          <w:sz w:val="22"/>
        </w:rPr>
        <w:t>This chapter introduces the legal mechanism that flips that burden entirely. We are going to use Section 19 of the Education Act 1996 to shift the responsibility of educating your child away from your shoulders and directly onto the state, where it legally belongs.</w:t>
      </w:r>
    </w:p>
    <w:p>
      <w:pPr>
        <w:spacing w:before="280" w:after="120"/>
      </w:pPr>
      <w:r>
        <w:rPr>
          <w:rFonts w:ascii="Garamond" w:hAnsi="Garamond"/>
          <w:b/>
          <w:color w:val="1B3A5C"/>
          <w:sz w:val="24"/>
        </w:rPr>
        <w:t>The Legal Engine: What is Section 19?</w:t>
      </w:r>
    </w:p>
    <w:p>
      <w:pPr>
        <w:spacing w:after="120"/>
        <w:ind w:firstLine="227"/>
      </w:pPr>
      <w:r>
        <w:rPr>
          <w:rFonts w:ascii="Garamond" w:hAnsi="Garamond"/>
          <w:b w:val="0"/>
          <w:i w:val="0"/>
          <w:sz w:val="22"/>
        </w:rPr>
        <w:t>Section 19(1) of the Education Act 1996 places an absolute, statutory duty on Local Authorities. It states that each LA must arrange suitable, full-time education for children of compulsory school age who, by reason of illness, exclusion, or "otherwise," cannot receive a suitable education unless these arrangements are made for them.</w:t>
      </w:r>
    </w:p>
    <w:p>
      <w:pPr>
        <w:spacing w:after="120"/>
        <w:ind w:firstLine="227"/>
      </w:pPr>
      <w:r>
        <w:rPr>
          <w:rFonts w:ascii="Garamond" w:hAnsi="Garamond"/>
          <w:b w:val="0"/>
          <w:i w:val="0"/>
          <w:sz w:val="22"/>
        </w:rPr>
        <w:t>"Or Otherwise" is your superpower: LAs often argue that unless a child has a severe physical illness or an explicit psychiatric diagnosis, Section 19 does not apply. The High Court has repeatedly rejected this. The words "or otherwise" act as a legal safety net. If your child cannot attend school due to extreme emotional distress, mental health crisis, or severe EBSA, they fall squarely under "otherwise".</w:t>
      </w:r>
    </w:p>
    <w:p>
      <w:pPr>
        <w:spacing w:after="120"/>
        <w:ind w:firstLine="227"/>
      </w:pPr>
      <w:r>
        <w:rPr>
          <w:rFonts w:ascii="Garamond" w:hAnsi="Garamond"/>
          <w:b w:val="0"/>
          <w:i w:val="0"/>
          <w:sz w:val="22"/>
        </w:rPr>
        <w:t>The 15-Day Trigger Rule: Statutory guidance from the Department for Education (DfE) dictates that the Local Authority must step in as soon as it is clear that a child will be away from school for 15 days or more (whether consecutive or cumulative across the school year) due to health needs. After a year of non-attendance, this duty is heavily overdue.</w:t>
      </w:r>
    </w:p>
    <w:p>
      <w:pPr>
        <w:spacing w:after="120"/>
        <w:ind w:firstLine="227"/>
      </w:pPr>
      <w:r>
        <w:rPr>
          <w:rFonts w:ascii="Garamond" w:hAnsi="Garamond"/>
          <w:b w:val="0"/>
          <w:i w:val="0"/>
          <w:sz w:val="22"/>
        </w:rPr>
        <w:t>Mainstream is no longer the baseline: Under Section 19, if the mainstream environment is making your child ill, the LA cannot simply keep offering that same building. They must provide alternative suitable education—whether that is home tutors, an online school placement, or a medical alternative provision unit.</w:t>
      </w:r>
    </w:p>
    <w:p>
      <w:pPr>
        <w:spacing w:before="280" w:after="120"/>
      </w:pPr>
      <w:r>
        <w:rPr>
          <w:rFonts w:ascii="Garamond" w:hAnsi="Garamond"/>
          <w:b/>
          <w:color w:val="1B3A5C"/>
          <w:sz w:val="24"/>
        </w:rPr>
        <w:t>How Section 19 Neutralises Attendance Fines</w:t>
      </w:r>
    </w:p>
    <w:p>
      <w:pPr>
        <w:spacing w:after="120"/>
        <w:ind w:firstLine="227"/>
      </w:pPr>
      <w:r>
        <w:rPr>
          <w:rFonts w:ascii="Garamond" w:hAnsi="Garamond"/>
          <w:b w:val="0"/>
          <w:i w:val="0"/>
          <w:sz w:val="22"/>
        </w:rPr>
        <w:t>The absolute biggest source of parental panic is the threat of prosecution under Section 444 of the Education Act. However, the law provides a statutory defence under Section 444(2A): a parent cannot be convicted if they can prove the child was absent due to sickness or any unavoidable cause.</w:t>
      </w:r>
    </w:p>
    <w:p>
      <w:pPr>
        <w:spacing w:after="120"/>
        <w:ind w:firstLine="227"/>
      </w:pPr>
      <w:r>
        <w:rPr>
          <w:rFonts w:ascii="Garamond" w:hAnsi="Garamond"/>
          <w:b w:val="0"/>
          <w:i w:val="0"/>
          <w:sz w:val="22"/>
        </w:rPr>
        <w:t>The moment you formally trigger Section 19 with medical evidence, a profound legal shift occurs:</w:t>
      </w:r>
    </w:p>
    <w:p>
      <w:pPr>
        <w:spacing w:after="120"/>
        <w:ind w:firstLine="227"/>
      </w:pPr>
      <w:r>
        <w:rPr>
          <w:rFonts w:ascii="Garamond" w:hAnsi="Garamond"/>
          <w:b w:val="0"/>
          <w:i w:val="0"/>
          <w:sz w:val="22"/>
        </w:rPr>
        <w:t>Old Paradigm (Parent is the Target): School pressures parent; absence is coded as truant (O); threat of Section 444 prosecution; parent carries ALL liability.</w:t>
      </w:r>
    </w:p>
    <w:p>
      <w:pPr>
        <w:spacing w:after="120"/>
        <w:ind w:firstLine="227"/>
      </w:pPr>
      <w:r>
        <w:rPr>
          <w:rFonts w:ascii="Garamond" w:hAnsi="Garamond"/>
          <w:b w:val="0"/>
          <w:i w:val="0"/>
          <w:sz w:val="22"/>
        </w:rPr>
        <w:t>New Paradigm (LA is in Default): Medical note establishes sickness; absence is coded as medical (I); Section 19 duty activates; LA is legally liable for missing education.</w:t>
      </w:r>
    </w:p>
    <w:p>
      <w:pPr>
        <w:spacing w:after="120"/>
        <w:ind w:firstLine="227"/>
      </w:pPr>
      <w:r>
        <w:rPr>
          <w:rFonts w:ascii="Garamond" w:hAnsi="Garamond"/>
          <w:b w:val="0"/>
          <w:i w:val="0"/>
          <w:sz w:val="22"/>
        </w:rPr>
        <w:t>If the Local Authority attempts to prosecute you while failing to fulfil their own Section 19 duty to provide alternative education, their case collapses in court. A magistrate will not penalise a parent for a child's medical absence when the state itself is failing its legal obligation to provide a safe alternative.</w:t>
      </w:r>
    </w:p>
    <w:p>
      <w:pPr>
        <w:spacing w:before="280" w:after="120"/>
      </w:pPr>
      <w:r>
        <w:rPr>
          <w:rFonts w:ascii="Garamond" w:hAnsi="Garamond"/>
          <w:b/>
          <w:color w:val="1B3A5C"/>
          <w:sz w:val="24"/>
        </w:rPr>
        <w:t>The Tactical Tool: The Section 19 Formal Demand Letter</w:t>
      </w:r>
    </w:p>
    <w:p>
      <w:pPr>
        <w:spacing w:after="120"/>
        <w:ind w:firstLine="227"/>
      </w:pPr>
      <w:r>
        <w:rPr>
          <w:rFonts w:ascii="Garamond" w:hAnsi="Garamond"/>
          <w:b w:val="0"/>
          <w:i w:val="0"/>
          <w:sz w:val="22"/>
        </w:rPr>
        <w:t>Do not wait for your school to pass this up the chain. They rarely do, because it highlights a systemic failure. Instead, you bypass the school and write directly to the Director of Children’s Services at your Local Authority.</w:t>
      </w:r>
    </w:p>
    <w:p>
      <w:pPr>
        <w:spacing w:after="120"/>
      </w:pPr>
      <w:r>
        <w:rPr>
          <w:rFonts w:ascii="Garamond" w:hAnsi="Garamond"/>
          <w:b/>
          <w:i w:val="0"/>
          <w:sz w:val="22"/>
        </w:rPr>
        <w:t>Subject: FORMAL DEMAND: Provision of Alternative Education under Section 19 Education Act 1996 — [Child's Name], [DOB]</w:t>
      </w:r>
    </w:p>
    <w:p>
      <w:pPr>
        <w:spacing w:after="120"/>
      </w:pPr>
      <w:r>
        <w:rPr>
          <w:rFonts w:ascii="Garamond" w:hAnsi="Garamond"/>
          <w:b/>
          <w:i w:val="0"/>
          <w:sz w:val="22"/>
        </w:rPr>
        <w:t>To the Director of Children’s Services,</w:t>
      </w:r>
    </w:p>
    <w:p>
      <w:pPr>
        <w:spacing w:after="120"/>
        <w:ind w:firstLine="227"/>
      </w:pPr>
      <w:r>
        <w:rPr>
          <w:rFonts w:ascii="Garamond" w:hAnsi="Garamond"/>
          <w:b w:val="0"/>
          <w:i w:val="0"/>
          <w:sz w:val="22"/>
        </w:rPr>
        <w:t>I am writing to formally notify you that the Local Authority is currently in breach of its statutory duty under Section 19 of the Education Act 1996 in respect of my son, [Child's Name].</w:t>
      </w:r>
    </w:p>
    <w:p>
      <w:pPr>
        <w:spacing w:after="120"/>
        <w:ind w:firstLine="227"/>
      </w:pPr>
      <w:r>
        <w:rPr>
          <w:rFonts w:ascii="Garamond" w:hAnsi="Garamond"/>
          <w:b w:val="0"/>
          <w:i w:val="0"/>
          <w:sz w:val="22"/>
        </w:rPr>
        <w:t>[Child’s Name] is currently out of school and has been unable to access his named placement, [School Name], for [Number of months/weeks] due to medical unfitness driven by severe mental health distress and Emotionally Based School Avoidance (EBSA).</w:t>
      </w:r>
    </w:p>
    <w:p>
      <w:pPr>
        <w:spacing w:after="120"/>
        <w:ind w:firstLine="227"/>
      </w:pPr>
      <w:r>
        <w:rPr>
          <w:rFonts w:ascii="Garamond" w:hAnsi="Garamond"/>
          <w:b w:val="0"/>
          <w:i w:val="0"/>
          <w:sz w:val="22"/>
        </w:rPr>
        <w:t>The Local Authority has been aware—or ought to have been aware—that [Child's Name]’s absences have significantly exceeded the statutory threshold of 15 days outlined in the Department for Education (DfE) guidance ("Ensuring a good education for children who cannot attend school because of health needs").</w:t>
      </w:r>
    </w:p>
    <w:p>
      <w:pPr>
        <w:spacing w:after="120"/>
        <w:ind w:firstLine="227"/>
      </w:pPr>
      <w:r>
        <w:rPr>
          <w:rFonts w:ascii="Garamond" w:hAnsi="Garamond"/>
          <w:b w:val="0"/>
          <w:i w:val="0"/>
          <w:sz w:val="22"/>
        </w:rPr>
        <w:t>I enclose an Inarguable Evidence Binder, including a formal Med 3 fit note from our GP confirming that [Child's Name] is currently medically unfit to attend a school building. In line with case law (G v Westminster City Council [2004]), the Local Authority cannot ignore this medical evidence, nor can it condition the provision of alternative education on a multi-year waiting list for a tertiary psychiatric diagnosis.</w:t>
      </w:r>
    </w:p>
    <w:p>
      <w:pPr>
        <w:spacing w:after="120"/>
        <w:ind w:firstLine="227"/>
      </w:pPr>
      <w:r>
        <w:rPr>
          <w:rFonts w:ascii="Garamond" w:hAnsi="Garamond"/>
          <w:b w:val="0"/>
          <w:i w:val="0"/>
          <w:sz w:val="22"/>
        </w:rPr>
        <w:t>Because the mainstream school building acts as a direct physiological and psychological trigger to my son, the current placement is demonstrably unsuitable. The statutory duty to provide a suitable, full-time alternative education otherwise than at school now rests entirely with the Local Authority.</w:t>
      </w:r>
    </w:p>
    <w:p>
      <w:pPr>
        <w:spacing w:after="120"/>
        <w:ind w:firstLine="227"/>
      </w:pPr>
      <w:r>
        <w:rPr>
          <w:rFonts w:ascii="Garamond" w:hAnsi="Garamond"/>
          <w:b w:val="0"/>
          <w:i w:val="0"/>
          <w:sz w:val="22"/>
        </w:rPr>
        <w:t>I hereby demand that the Local Authority:</w:t>
      </w:r>
    </w:p>
    <w:p>
      <w:pPr>
        <w:spacing w:after="120"/>
        <w:ind w:firstLine="227"/>
      </w:pPr>
      <w:r>
        <w:rPr>
          <w:rFonts w:ascii="Garamond" w:hAnsi="Garamond"/>
          <w:b w:val="0"/>
          <w:i w:val="0"/>
          <w:sz w:val="22"/>
        </w:rPr>
        <w:t>1. Formally acknowledge its Section 19 duty regarding [Child's Name] within 5 working days.</w:t>
      </w:r>
    </w:p>
    <w:p>
      <w:pPr>
        <w:spacing w:after="120"/>
        <w:ind w:firstLine="227"/>
      </w:pPr>
      <w:r>
        <w:rPr>
          <w:rFonts w:ascii="Garamond" w:hAnsi="Garamond"/>
          <w:b w:val="0"/>
          <w:i w:val="0"/>
          <w:sz w:val="22"/>
        </w:rPr>
        <w:t>2. Immediately commission an interim alternative education package (such as an accredited online learning platform or 1:1 home tuition) to halt his educational deficit.</w:t>
      </w:r>
    </w:p>
    <w:p>
      <w:pPr>
        <w:spacing w:after="120"/>
        <w:ind w:firstLine="227"/>
      </w:pPr>
      <w:r>
        <w:rPr>
          <w:rFonts w:ascii="Garamond" w:hAnsi="Garamond"/>
          <w:b w:val="0"/>
          <w:i w:val="0"/>
          <w:sz w:val="22"/>
        </w:rPr>
        <w:t>3. Cease and desist any punitive attendance enforcement or fine procedures, as his absences are fully documented as due to medical sickness under Section 444(2A).</w:t>
      </w:r>
    </w:p>
    <w:p>
      <w:pPr>
        <w:spacing w:after="120"/>
        <w:ind w:firstLine="227"/>
      </w:pPr>
      <w:r>
        <w:rPr>
          <w:rFonts w:ascii="Garamond" w:hAnsi="Garamond"/>
          <w:b w:val="0"/>
          <w:i w:val="0"/>
          <w:sz w:val="22"/>
        </w:rPr>
        <w:t>If a compliant, costed alternative provision framework is not proposed within 10 working days of this letter, I will escalate this matter to the Local Government and Social Care Ombudsman (LGSCO) without further notice and seek legal counsel regarding a Judicial Review.</w:t>
      </w:r>
    </w:p>
    <w:p>
      <w:pPr>
        <w:spacing w:after="120"/>
        <w:ind w:firstLine="227"/>
      </w:pPr>
      <w:r>
        <w:rPr>
          <w:rFonts w:ascii="Garamond" w:hAnsi="Garamond"/>
          <w:b w:val="0"/>
          <w:i w:val="0"/>
          <w:sz w:val="22"/>
        </w:rPr>
        <w:t>I look forward to your urgent response.</w:t>
      </w:r>
    </w:p>
    <w:p>
      <w:pPr>
        <w:spacing w:after="120"/>
      </w:pPr>
      <w:r>
        <w:rPr>
          <w:rFonts w:ascii="Garamond" w:hAnsi="Garamond"/>
          <w:b/>
          <w:i w:val="0"/>
          <w:sz w:val="22"/>
        </w:rPr>
        <w:t>Kind regards,</w:t>
      </w:r>
    </w:p>
    <w:p>
      <w:pPr>
        <w:spacing w:before="280" w:after="120"/>
      </w:pPr>
      <w:r>
        <w:rPr>
          <w:rFonts w:ascii="Garamond" w:hAnsi="Garamond"/>
          <w:b/>
          <w:color w:val="1B3A5C"/>
          <w:sz w:val="24"/>
        </w:rPr>
        <w:t>[Your Name]</w:t>
      </w:r>
    </w:p>
    <w:p>
      <w:pPr>
        <w:spacing w:before="280" w:after="120"/>
      </w:pPr>
      <w:r>
        <w:rPr>
          <w:rFonts w:ascii="Garamond" w:hAnsi="Garamond"/>
          <w:b/>
          <w:color w:val="1B3A5C"/>
          <w:sz w:val="24"/>
        </w:rPr>
        <w:t>[Your Address]</w:t>
      </w:r>
    </w:p>
    <w:p>
      <w:pPr>
        <w:spacing w:after="120"/>
        <w:ind w:firstLine="227"/>
      </w:pPr>
      <w:r>
        <w:rPr>
          <w:rFonts w:ascii="Garamond" w:hAnsi="Garamond"/>
          <w:b w:val="0"/>
          <w:i w:val="0"/>
          <w:sz w:val="22"/>
        </w:rPr>
        <w:t>The Golden Rule of Section 19: The moment this letter lands, you have altered the power dynamic. The Local Authority is no longer looking at a compliant parent they can frighten with automated fine letters. They are looking at a legal liability. Your job is not to fix the school system; your job is to make it more uncomfortable for the Local Authority to ignore the law than it is for them to fund your child's alternative education.</w:t>
      </w:r>
    </w:p>
    <w:p>
      <w:r>
        <w:br w:type="page"/>
      </w:r>
    </w:p>
    <w:p>
      <w:pPr>
        <w:spacing w:before="800" w:after="120"/>
        <w:jc w:val="center"/>
      </w:pPr>
      <w:r>
        <w:rPr>
          <w:rFonts w:ascii="Garamond" w:hAnsi="Garamond"/>
          <w:b w:val="0"/>
          <w:i/>
          <w:sz w:val="24"/>
        </w:rPr>
        <w:t>Chapter 9</w:t>
      </w:r>
    </w:p>
    <w:p>
      <w:pPr>
        <w:pStyle w:val="Heading1"/>
        <w:jc w:val="center"/>
      </w:pPr>
      <w:r>
        <w:rPr>
          <w:rFonts w:ascii="Garamond" w:hAnsi="Garamond"/>
        </w:rPr>
        <w:t>The Parental EHCP Blueprint</w:t>
      </w:r>
    </w:p>
    <w:p>
      <w:pPr>
        <w:spacing w:after="120"/>
        <w:ind w:firstLine="227"/>
      </w:pPr>
      <w:r>
        <w:rPr>
          <w:rFonts w:ascii="Garamond" w:hAnsi="Garamond"/>
          <w:b w:val="0"/>
          <w:i w:val="0"/>
          <w:sz w:val="22"/>
        </w:rPr>
        <w:t>If your child has been out of school for a year, you have likely heard this common refrain from the school or local authority: “We cannot apply for an Education, Health and Care Plan (EHCP) right now because he isn't in school. We need to wait for him to return so our educational psychologist can observe him in the classroom.”</w:t>
      </w:r>
    </w:p>
    <w:p>
      <w:pPr>
        <w:spacing w:after="120"/>
        <w:ind w:firstLine="227"/>
      </w:pPr>
      <w:r>
        <w:rPr>
          <w:rFonts w:ascii="Garamond" w:hAnsi="Garamond"/>
          <w:b w:val="0"/>
          <w:i w:val="0"/>
          <w:sz w:val="22"/>
        </w:rPr>
        <w:t>This is one of the most pervasive, damaging institutional myths in the education system. It creates a permanent trap: your child cannot go to school because the environment makes them ill, but the system refuses to change the environment until your child goes to school.</w:t>
      </w:r>
    </w:p>
    <w:p>
      <w:pPr>
        <w:spacing w:after="120"/>
        <w:ind w:firstLine="227"/>
      </w:pPr>
      <w:r>
        <w:rPr>
          <w:rFonts w:ascii="Garamond" w:hAnsi="Garamond"/>
          <w:b w:val="0"/>
          <w:i w:val="0"/>
          <w:sz w:val="22"/>
        </w:rPr>
        <w:t>This chapter is your exit route from that loop. You do not need the school’s permission, cooperation, or presence to secure an EHCP. Under Section 36 of the Children and Families Act 2014, you have an absolute legal right as a parent to apply directly to your Local Authority for an Education, Health and Care Needs Assessment (EHCNA).</w:t>
      </w:r>
    </w:p>
    <w:p>
      <w:pPr>
        <w:spacing w:after="120"/>
        <w:ind w:firstLine="227"/>
      </w:pPr>
      <w:r>
        <w:rPr>
          <w:rFonts w:ascii="Garamond" w:hAnsi="Garamond"/>
          <w:b w:val="0"/>
          <w:i w:val="0"/>
          <w:sz w:val="22"/>
        </w:rPr>
        <w:t>This blueprint will show you how to bypass the school's gatekeeping, exploit the incredibly low legal threshold for an assessment, and write an unignorable "Section A" that forces the LA to act.</w:t>
      </w:r>
    </w:p>
    <w:p>
      <w:pPr>
        <w:spacing w:before="280" w:after="120"/>
      </w:pPr>
      <w:r>
        <w:rPr>
          <w:rFonts w:ascii="Garamond" w:hAnsi="Garamond"/>
          <w:b/>
          <w:color w:val="1B3A5C"/>
          <w:sz w:val="24"/>
        </w:rPr>
        <w:t>The Legal Reality: The Low-Threshold "May" Test</w:t>
      </w:r>
    </w:p>
    <w:p>
      <w:pPr>
        <w:spacing w:after="120"/>
        <w:ind w:firstLine="227"/>
      </w:pPr>
      <w:r>
        <w:rPr>
          <w:rFonts w:ascii="Garamond" w:hAnsi="Garamond"/>
          <w:b w:val="0"/>
          <w:i w:val="0"/>
          <w:sz w:val="22"/>
        </w:rPr>
        <w:t>When Local Authorities review an application for an EHCP assessment, they often apply their own arbitrary, illegal criteria. They might look for proof that a child is three years behind academically, or demand a formal clinical diagnosis from a specialist.</w:t>
      </w:r>
    </w:p>
    <w:p>
      <w:pPr>
        <w:spacing w:after="120"/>
        <w:ind w:firstLine="227"/>
      </w:pPr>
      <w:r>
        <w:rPr>
          <w:rFonts w:ascii="Garamond" w:hAnsi="Garamond"/>
          <w:b w:val="0"/>
          <w:i w:val="0"/>
          <w:sz w:val="22"/>
        </w:rPr>
        <w:t>The law is vastly different. Under Section 36(8) of the Children and Families Act 2014, the LA must execute an assessment if it satisfies a simple, two-part test:</w:t>
      </w:r>
    </w:p>
    <w:p>
      <w:pPr>
        <w:spacing w:after="120"/>
        <w:ind w:firstLine="227"/>
      </w:pPr>
      <w:r>
        <w:rPr>
          <w:rFonts w:ascii="Garamond" w:hAnsi="Garamond"/>
          <w:b w:val="0"/>
          <w:i w:val="0"/>
          <w:sz w:val="22"/>
        </w:rPr>
        <w:t>1. The child has or may have special educational needs (SEN).</w:t>
      </w:r>
    </w:p>
    <w:p>
      <w:pPr>
        <w:spacing w:after="120"/>
        <w:ind w:firstLine="227"/>
      </w:pPr>
      <w:r>
        <w:rPr>
          <w:rFonts w:ascii="Garamond" w:hAnsi="Garamond"/>
          <w:b w:val="0"/>
          <w:i w:val="0"/>
          <w:sz w:val="22"/>
        </w:rPr>
        <w:t>2. It may be necessary for special educational provision to be made for the child in accordance with an EHCP.</w:t>
      </w:r>
    </w:p>
    <w:p>
      <w:pPr>
        <w:spacing w:after="120"/>
        <w:ind w:firstLine="227"/>
      </w:pPr>
      <w:r>
        <w:rPr>
          <w:rFonts w:ascii="Garamond" w:hAnsi="Garamond"/>
          <w:b w:val="0"/>
          <w:i w:val="0"/>
          <w:sz w:val="22"/>
        </w:rPr>
        <w:t>The word "may" is your greatest legal asset. The law does not say you must prove an EHCP is definitely required at this stage. It only states there must be a possibility that one is needed. A 14-year-old child experiencing severe EBSA and a year-long absence from education meets this threshold automatically. The absence itself, combined with your Evidence Binder, is irrefutable proof that mainstream provisions are failing to meet their needs.</w:t>
      </w:r>
    </w:p>
    <w:p>
      <w:pPr>
        <w:spacing w:before="280" w:after="120"/>
      </w:pPr>
      <w:r>
        <w:rPr>
          <w:rFonts w:ascii="Garamond" w:hAnsi="Garamond"/>
          <w:b/>
          <w:color w:val="1B3A5C"/>
          <w:sz w:val="24"/>
        </w:rPr>
        <w:t>Step-by-Step Direct Parental Application</w:t>
      </w:r>
    </w:p>
    <w:p>
      <w:pPr>
        <w:spacing w:after="120"/>
        <w:ind w:firstLine="227"/>
      </w:pPr>
      <w:r>
        <w:rPr>
          <w:rFonts w:ascii="Garamond" w:hAnsi="Garamond"/>
          <w:b w:val="0"/>
          <w:i w:val="0"/>
          <w:sz w:val="22"/>
        </w:rPr>
        <w:t>Do not ask the school to fill out the paperwork for you. When a school applies, they often focus on how much resources they have used, which can skew the narrative. When you apply, the focus remains entirely on your child's legal rights.</w:t>
      </w:r>
    </w:p>
    <w:p>
      <w:pPr>
        <w:spacing w:after="120"/>
      </w:pPr>
      <w:r>
        <w:rPr>
          <w:rFonts w:ascii="Garamond" w:hAnsi="Garamond"/>
          <w:b/>
          <w:i w:val="0"/>
          <w:sz w:val="22"/>
        </w:rPr>
        <w:t>Step 1: Download the Parental EHCNA Request Form: Every LA has a standard parental request form on their website (usually found under their "Local Offer" page). If you cannot find it, you can legally submit your request via a structured letter.</w:t>
      </w:r>
    </w:p>
    <w:p>
      <w:pPr>
        <w:spacing w:after="120"/>
      </w:pPr>
      <w:r>
        <w:rPr>
          <w:rFonts w:ascii="Garamond" w:hAnsi="Garamond"/>
          <w:b/>
          <w:i w:val="0"/>
          <w:sz w:val="22"/>
        </w:rPr>
        <w:t>Step 2: Attach the Evidence Binder: Do not send the application alone. Attach your Symptom &amp; Impact Log, your GP medical fit notes, and any correspondence where the school admitted their standard strategies (like the PE offer) failed.</w:t>
      </w:r>
    </w:p>
    <w:p>
      <w:pPr>
        <w:spacing w:after="120"/>
      </w:pPr>
      <w:r>
        <w:rPr>
          <w:rFonts w:ascii="Garamond" w:hAnsi="Garamond"/>
          <w:b/>
          <w:i w:val="0"/>
          <w:sz w:val="22"/>
        </w:rPr>
        <w:t>Step 3: Submit and Log the Timeline: Send the application digitally with a read-receipt. The moment the LA receives your request, a strict 6-week statutory countdown begins. By law, the LA must give you their decision to assess or refuse to assess by the end of that 6-week window. If they miss it by even a day, they are in breach of their statutory duty.</w:t>
      </w:r>
    </w:p>
    <w:p>
      <w:pPr>
        <w:spacing w:after="120"/>
        <w:ind w:firstLine="227"/>
      </w:pPr>
      <w:r>
        <w:rPr>
          <w:rFonts w:ascii="Garamond" w:hAnsi="Garamond"/>
          <w:b w:val="0"/>
          <w:i w:val="0"/>
          <w:sz w:val="22"/>
        </w:rPr>
        <w:t>The "Section A" Construction Kit</w:t>
      </w:r>
    </w:p>
    <w:p>
      <w:pPr>
        <w:spacing w:after="120"/>
        <w:ind w:firstLine="227"/>
      </w:pPr>
      <w:r>
        <w:rPr>
          <w:rFonts w:ascii="Garamond" w:hAnsi="Garamond"/>
          <w:b w:val="0"/>
          <w:i w:val="0"/>
          <w:sz w:val="22"/>
        </w:rPr>
        <w:t>Section A is the first part of the EHCP document. It is dedicated entirely to the views, interests, and aspirations of the child and their parents. LAs often treat Section A as a minor, emotional introduction. Savvy parents treat it as the narrative foundation of their entire legal case.</w:t>
      </w:r>
    </w:p>
    <w:p>
      <w:pPr>
        <w:spacing w:after="120"/>
        <w:ind w:firstLine="227"/>
      </w:pPr>
      <w:r>
        <w:rPr>
          <w:rFonts w:ascii="Garamond" w:hAnsi="Garamond"/>
          <w:b w:val="0"/>
          <w:i w:val="0"/>
          <w:sz w:val="22"/>
        </w:rPr>
        <w:t>If you write Section A as a list of worries, panel members will skim it. If you write it using the Environment-Mismatch Framework, you make it impossible to ignore. You must explicitly link the school environment to the child’s physiological breakdown.</w:t>
      </w:r>
    </w:p>
    <w:p>
      <w:pPr>
        <w:spacing w:after="120"/>
        <w:ind w:firstLine="227"/>
      </w:pPr>
      <w:r>
        <w:rPr>
          <w:rFonts w:ascii="Garamond" w:hAnsi="Garamond"/>
          <w:b w:val="0"/>
          <w:i w:val="0"/>
          <w:sz w:val="22"/>
        </w:rPr>
        <w:t>My Child’s History: Avoid writing "Jacob has always found school hard and gets very anxious about going in." Instead, use: "Jacob has a documented history of severe School Distress and sensory overwhelm, culminating in a 12-month period of complete educational exclusion due to medical unfitness."</w:t>
      </w:r>
    </w:p>
    <w:p>
      <w:pPr>
        <w:spacing w:after="120"/>
        <w:ind w:firstLine="227"/>
      </w:pPr>
      <w:r>
        <w:rPr>
          <w:rFonts w:ascii="Garamond" w:hAnsi="Garamond"/>
          <w:b w:val="0"/>
          <w:i w:val="0"/>
          <w:sz w:val="22"/>
        </w:rPr>
        <w:t>What is Not Working: Avoid writing "The school tried to get him to come in for PE but he just wouldn't do it." Instead, use: "Standard school-led reintegration strategies (such as unstructured social exposure via PE) failed because they introduced high-stimulus environments that triggered immediate neurological immobilisation."</w:t>
      </w:r>
    </w:p>
    <w:p>
      <w:pPr>
        <w:spacing w:after="120"/>
        <w:ind w:firstLine="227"/>
      </w:pPr>
      <w:r>
        <w:rPr>
          <w:rFonts w:ascii="Garamond" w:hAnsi="Garamond"/>
          <w:b w:val="0"/>
          <w:i w:val="0"/>
          <w:sz w:val="22"/>
        </w:rPr>
        <w:t>Our Aspirations: Avoid writing "We just want Jacob to be happy and maybe pass some exams at home." Instead, use: "We require a legally secure, therapeutic alternative education package under Section 61 (EOTAS) that removes the physical school trigger, allows somatic stabilisation, and provides an alternative pathway to Functional Skills and GCSE qualifications."</w:t>
      </w:r>
    </w:p>
    <w:p>
      <w:pPr>
        <w:spacing w:before="280" w:after="120"/>
      </w:pPr>
      <w:r>
        <w:rPr>
          <w:rFonts w:ascii="Garamond" w:hAnsi="Garamond"/>
          <w:b/>
          <w:color w:val="1B3A5C"/>
          <w:sz w:val="24"/>
        </w:rPr>
        <w:t>Navigating the Inevitable Refusal to Assess</w:t>
      </w:r>
    </w:p>
    <w:p>
      <w:pPr>
        <w:spacing w:after="120"/>
        <w:ind w:firstLine="227"/>
      </w:pPr>
      <w:r>
        <w:rPr>
          <w:rFonts w:ascii="Garamond" w:hAnsi="Garamond"/>
          <w:b w:val="0"/>
          <w:i w:val="0"/>
          <w:sz w:val="22"/>
        </w:rPr>
        <w:t>Be prepared for the LA to issue a standard, automated refusal at the 6-week mark. They do this to clear their desks, banking on the assumption that exhausted parents will not have the energy to fight.</w:t>
      </w:r>
    </w:p>
    <w:p>
      <w:pPr>
        <w:spacing w:after="120"/>
        <w:ind w:firstLine="227"/>
      </w:pPr>
      <w:r>
        <w:rPr>
          <w:rFonts w:ascii="Garamond" w:hAnsi="Garamond"/>
          <w:b w:val="0"/>
          <w:i w:val="0"/>
          <w:sz w:val="22"/>
        </w:rPr>
        <w:t>If they refuse, do not panic. A refusal to assess gives you an immediate, absolute right of appeal to the First-tier Tribunal (SEND). Statistics are overwhelmingly in your favour here: historically, over 90% of parental appeals against a refusal to assess are won by parents before they even reach a hearing room, or are conceded by the LA the moment the parent registers the appeal. Registering an appeal signals to the LA legal team that you know the Section 36(8) "may" threshold is remarkably low, and that continuing to fight you will waste public funds they cannot recover.</w:t>
      </w:r>
    </w:p>
    <w:p>
      <w:pPr>
        <w:spacing w:before="480" w:after="120"/>
        <w:jc w:val="center"/>
      </w:pPr>
      <w:r>
        <w:rPr>
          <w:color w:val="6B7280"/>
          <w:sz w:val="16"/>
        </w:rPr>
        <w:t>──────────────────────────────────────────────────</w:t>
      </w:r>
    </w:p>
    <w:p>
      <w:pPr>
        <w:spacing w:after="160"/>
      </w:pPr>
      <w:r>
        <w:rPr>
          <w:rFonts w:ascii="Garamond" w:hAnsi="Garamond"/>
          <w:b/>
          <w:color w:val="1B3A5C"/>
          <w:sz w:val="24"/>
        </w:rPr>
        <w:t>Most refusal-to-assess appeals are won. Most parents don't appeal.</w:t>
      </w:r>
    </w:p>
    <w:p>
      <w:pPr>
        <w:spacing w:after="120"/>
      </w:pPr>
      <w:r>
        <w:rPr>
          <w:rFonts w:ascii="Garamond" w:hAnsi="Garamond"/>
          <w:sz w:val="20"/>
        </w:rPr>
        <w:t>The book has shown you how to submit. The six-week clock starts the moment you do.</w:t>
      </w:r>
    </w:p>
    <w:p>
      <w:pPr>
        <w:spacing w:after="120"/>
      </w:pPr>
      <w:r>
        <w:rPr>
          <w:rFonts w:ascii="Garamond" w:hAnsi="Garamond"/>
          <w:sz w:val="20"/>
        </w:rPr>
        <w:t>If the Local Authority refuses to assess — and most do, on the first round — you have two months from the date of the refusal letter to appeal to the First-tier Tribunal (SEND).</w:t>
      </w:r>
    </w:p>
    <w:p>
      <w:pPr>
        <w:spacing w:after="120"/>
      </w:pPr>
      <w:r>
        <w:rPr>
          <w:rFonts w:ascii="Garamond" w:hAnsi="Garamond"/>
          <w:sz w:val="20"/>
        </w:rPr>
        <w:t>Over ninety per cent of refusal-to-assess appeals are won by parents. Most are conceded by the LA before a hearing is held at all. Almost all of them require structured written submissions a tired, frightened parent cannot reasonably write alone.</w:t>
      </w:r>
    </w:p>
    <w:p>
      <w:pPr>
        <w:spacing w:after="120"/>
      </w:pPr>
      <w:r>
        <w:rPr>
          <w:rFonts w:ascii="Garamond" w:hAnsi="Garamond"/>
          <w:sz w:val="20"/>
        </w:rPr>
        <w:t>The £1,440 LA Decision Appeal Package covers full case analysis, legal grounds drafting, evidence summary, formal appeal grounds, mediation support, and tribunal preparation. The £2,400 Complete Tribunal Preparation Pack extends this to written tribunal submission, evidence bundle, witness statement coaching, and a Hearing Day Guide.</w:t>
      </w:r>
    </w:p>
    <w:p>
      <w:pPr>
        <w:spacing w:before="80" w:after="80"/>
      </w:pPr>
      <w:r>
        <w:rPr>
          <w:rFonts w:ascii="Garamond" w:hAnsi="Garamond"/>
          <w:b/>
          <w:sz w:val="20"/>
        </w:rPr>
        <w:t>sendnavigate.org/book</w:t>
      </w:r>
    </w:p>
    <w:p>
      <w:pPr>
        <w:spacing w:after="360"/>
        <w:jc w:val="center"/>
      </w:pPr>
      <w:r>
        <w:rPr>
          <w:color w:val="6B7280"/>
          <w:sz w:val="16"/>
        </w:rPr>
        <w:t>──────────────────────────────────────────────────</w:t>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5</w:t>
      </w:r>
    </w:p>
    <w:p>
      <w:pPr>
        <w:spacing w:before="0" w:after="0"/>
        <w:jc w:val="center"/>
      </w:pPr>
      <w:r>
        <w:rPr>
          <w:rFonts w:ascii="Garamond" w:hAnsi="Garamond"/>
          <w:b/>
          <w:i w:val="0"/>
          <w:sz w:val="36"/>
        </w:rPr>
        <w:t>THE ALTERNATE EDUCATIONAL MATRIX</w:t>
      </w:r>
    </w:p>
    <w:p>
      <w:r>
        <w:br w:type="page"/>
      </w:r>
    </w:p>
    <w:p>
      <w:r>
        <w:br w:type="page"/>
      </w:r>
    </w:p>
    <w:p>
      <w:pPr>
        <w:spacing w:before="800" w:after="120"/>
        <w:jc w:val="center"/>
      </w:pPr>
      <w:r>
        <w:rPr>
          <w:rFonts w:ascii="Garamond" w:hAnsi="Garamond"/>
          <w:b w:val="0"/>
          <w:i/>
          <w:sz w:val="24"/>
        </w:rPr>
        <w:t>Chapter 10</w:t>
      </w:r>
    </w:p>
    <w:p>
      <w:pPr>
        <w:pStyle w:val="Heading1"/>
        <w:jc w:val="center"/>
      </w:pPr>
      <w:r>
        <w:rPr>
          <w:rFonts w:ascii="Garamond" w:hAnsi="Garamond"/>
        </w:rPr>
        <w:t>Deconstructing EOTAS</w:t>
      </w:r>
    </w:p>
    <w:p>
      <w:pPr>
        <w:spacing w:after="120"/>
        <w:ind w:firstLine="227"/>
      </w:pPr>
      <w:r>
        <w:rPr>
          <w:rFonts w:ascii="Garamond" w:hAnsi="Garamond"/>
          <w:b w:val="0"/>
          <w:i w:val="0"/>
          <w:sz w:val="22"/>
        </w:rPr>
        <w:t>For a parent whose fourteen-year-old has been out of school for a full year, the word "school" itself becomes a trigger—not just for the child, but for the entire family. You dread the post arriving, you dread the phone ringing, and you dread the well-meaning but disastrous suggestions of local panels. The institutional assumption is always that your child must eventually be forced back into a school building.</w:t>
      </w:r>
    </w:p>
    <w:p>
      <w:pPr>
        <w:spacing w:after="120"/>
        <w:ind w:firstLine="227"/>
      </w:pPr>
      <w:r>
        <w:rPr>
          <w:rFonts w:ascii="Garamond" w:hAnsi="Garamond"/>
          <w:b w:val="0"/>
          <w:i w:val="0"/>
          <w:sz w:val="22"/>
        </w:rPr>
        <w:t>This chapter is designed to dismantle that assumption entirely.</w:t>
      </w:r>
    </w:p>
    <w:p>
      <w:pPr>
        <w:spacing w:after="120"/>
        <w:ind w:firstLine="227"/>
      </w:pPr>
      <w:r>
        <w:rPr>
          <w:rFonts w:ascii="Garamond" w:hAnsi="Garamond"/>
          <w:b w:val="0"/>
          <w:i w:val="0"/>
          <w:sz w:val="22"/>
        </w:rPr>
        <w:t>We are going to look at the gold standard of alternative education law: Education Otherwise Than At School (EOTAS). Governed by Section 61 of the Children and Families Act 2014, EOTAS is not a temporary phase or a part-time concession. It is a formal, legally binding arrangement within an EHCP where the Local Authority concedes that a traditional school environment is entirely inappropriate for your child. Crucially, under an EOTAS package, the Local Authority retains 100% of the financial and legal responsibility to fund and deliver a bespoke education package directly to your child, outside a school building.</w:t>
      </w:r>
    </w:p>
    <w:p>
      <w:pPr>
        <w:spacing w:before="280" w:after="120"/>
      </w:pPr>
      <w:r>
        <w:rPr>
          <w:rFonts w:ascii="Garamond" w:hAnsi="Garamond"/>
          <w:b/>
          <w:color w:val="1B3A5C"/>
          <w:sz w:val="24"/>
        </w:rPr>
        <w:t>The Legal Test: Overcoming the "Any School" Trap</w:t>
      </w:r>
    </w:p>
    <w:p>
      <w:pPr>
        <w:spacing w:after="120"/>
        <w:ind w:firstLine="227"/>
      </w:pPr>
      <w:r>
        <w:rPr>
          <w:rFonts w:ascii="Garamond" w:hAnsi="Garamond"/>
          <w:b w:val="0"/>
          <w:i w:val="0"/>
          <w:sz w:val="22"/>
        </w:rPr>
        <w:t>When you ask an LA for an EOTAS package, their standard response is to hand you a list of specialised schools or Pupil Referral Units (PRUs). They will tell you, “Mainstream didn't work, but this specialist therapeutic school will.” To win an EOTAS package, you must defeat this argument by understanding Section 61(2), which states that an LA may arrange education outside a school only if satisfied that it would be inappropriate for the provision to be made in a school.</w:t>
      </w:r>
    </w:p>
    <w:p>
      <w:pPr>
        <w:spacing w:after="120"/>
        <w:ind w:firstLine="227"/>
      </w:pPr>
      <w:r>
        <w:rPr>
          <w:rFonts w:ascii="Garamond" w:hAnsi="Garamond"/>
          <w:b w:val="0"/>
          <w:i w:val="0"/>
          <w:sz w:val="22"/>
        </w:rPr>
        <w:t>The High Court has ruled that "inappropriate" does not just mean your child's current school is a bad fit (Derbyshire CC v EM and DM [2019]). It means that any school building whatsoever is unsuitable. To win this argument, you must stop criticizing the school's staff or curriculum, and start focusing on the structural reality of the school environment itself. You must prove that the mere concept of a school building—the sensory overload, the peer dynamics, the rigid schedules—is what triggers your child’s neurological immobilisation.</w:t>
      </w:r>
    </w:p>
    <w:p>
      <w:pPr>
        <w:spacing w:before="280" w:after="120"/>
      </w:pPr>
      <w:r>
        <w:rPr>
          <w:rFonts w:ascii="Garamond" w:hAnsi="Garamond"/>
          <w:b/>
          <w:color w:val="1B3A5C"/>
          <w:sz w:val="24"/>
        </w:rPr>
        <w:t>Your Case Law Ammunition Registry</w:t>
      </w:r>
    </w:p>
    <w:p>
      <w:pPr>
        <w:spacing w:after="120"/>
        <w:ind w:firstLine="227"/>
      </w:pPr>
      <w:r>
        <w:rPr>
          <w:rFonts w:ascii="Garamond" w:hAnsi="Garamond"/>
          <w:b w:val="0"/>
          <w:i w:val="0"/>
          <w:sz w:val="22"/>
        </w:rPr>
        <w:t>When LAs claim they "do not have a policy for home packages" or that "anxiety is a medical issue, not an educational one," you will use these exact Upper Tribunal precedents to shut down their arguments:</w:t>
      </w:r>
    </w:p>
    <w:p>
      <w:pPr>
        <w:spacing w:after="120"/>
        <w:ind w:firstLine="227"/>
      </w:pPr>
      <w:r>
        <w:rPr>
          <w:rFonts w:ascii="Garamond" w:hAnsi="Garamond"/>
          <w:b w:val="0"/>
          <w:i w:val="0"/>
          <w:sz w:val="22"/>
        </w:rPr>
        <w:t>TM v London Borough of Hounslow [2009] EWCA Civ 859: The court ruled that "inappropriate" simply means "unsuitable" or "improper". It established a 5-point test looking at the child's medical history, their specific needs, their physical reactions to school, and the comparative facilities available at home.</w:t>
      </w:r>
    </w:p>
    <w:p>
      <w:pPr>
        <w:spacing w:after="120"/>
        <w:ind w:firstLine="227"/>
      </w:pPr>
      <w:r>
        <w:rPr>
          <w:rFonts w:ascii="Garamond" w:hAnsi="Garamond"/>
          <w:b w:val="0"/>
          <w:i w:val="0"/>
          <w:sz w:val="22"/>
        </w:rPr>
        <w:t>M v Hertfordshire County Council [2019] UKUT 37 (AAC): The Upper Tribunal confirmed that a child’s school-related anxiety can be severe enough to render any school placement inappropriate. This stops LAs from dismissing long-term EBSA as a "parental enforcement problem" or a simple behavioural refusal.</w:t>
      </w:r>
    </w:p>
    <w:p>
      <w:pPr>
        <w:spacing w:after="120"/>
        <w:ind w:firstLine="227"/>
      </w:pPr>
      <w:r>
        <w:rPr>
          <w:rFonts w:ascii="Garamond" w:hAnsi="Garamond"/>
          <w:b w:val="0"/>
          <w:i w:val="0"/>
          <w:sz w:val="22"/>
        </w:rPr>
        <w:t>NN v Cheshire East Council [2021] UKUT 220 (AAC): This landmark case ruled that when an EOTAS package is agreed, Section I of the EHCP (the placement section) must be left completely blank. This gives you the legal right to demand a blank Section I, forcing them to fund the home package under Section F.</w:t>
      </w:r>
    </w:p>
    <w:p>
      <w:pPr>
        <w:spacing w:before="280" w:after="120"/>
      </w:pPr>
      <w:r>
        <w:rPr>
          <w:rFonts w:ascii="Garamond" w:hAnsi="Garamond"/>
          <w:b/>
          <w:color w:val="1B3A5C"/>
          <w:sz w:val="24"/>
        </w:rPr>
        <w:t>The Practical Tool: The Costed EOTAS Package Builder</w:t>
      </w:r>
    </w:p>
    <w:p>
      <w:pPr>
        <w:spacing w:after="120"/>
        <w:ind w:firstLine="227"/>
      </w:pPr>
      <w:r>
        <w:rPr>
          <w:rFonts w:ascii="Garamond" w:hAnsi="Garamond"/>
          <w:b w:val="0"/>
          <w:i w:val="0"/>
          <w:sz w:val="22"/>
        </w:rPr>
        <w:t>Local Authorities often reject EOTAS because they find the idea of organizing a bespoke curriculum too complex. If you simply ask for "tutors at home," they will claim they cannot source them. You must bypass their administrative inertia by presenting an off-the-shelf, fully costed package that they can simply sign off on.</w:t>
      </w:r>
    </w:p>
    <w:p>
      <w:pPr>
        <w:spacing w:after="120"/>
        <w:ind w:firstLine="227"/>
      </w:pPr>
      <w:r>
        <w:rPr>
          <w:rFonts w:ascii="Garamond" w:hAnsi="Garamond"/>
          <w:b w:val="0"/>
          <w:i w:val="0"/>
          <w:sz w:val="22"/>
        </w:rPr>
        <w:t>Proposed Provision 1: Core Academic Curriculum (e.g., 3 GCSEs / Functional Skills). Legal/Educational Justification: Removes the physical school building trigger while ensuring access to essential qualifications. Sourcing: Accredited Online Provider (e.g., Kings InterHigh / Academy21). Annual Cost: £4,500 – £6,000.</w:t>
      </w:r>
    </w:p>
    <w:p>
      <w:pPr>
        <w:spacing w:after="120"/>
        <w:ind w:firstLine="227"/>
      </w:pPr>
      <w:r>
        <w:rPr>
          <w:rFonts w:ascii="Garamond" w:hAnsi="Garamond"/>
          <w:b w:val="0"/>
          <w:i w:val="0"/>
          <w:sz w:val="22"/>
        </w:rPr>
        <w:t>Proposed Provision 2: 1:1 Specialist Tuition (Maths/English support). Legal/Educational Justification: Addresses the academic deficit caused by a 12-month absence via a low-demand, high-safety delivery model. Sourcing: Locally vetted, SEN-experienced private agency tutors. Annual Cost: £3,600 (2 hours/week x 36 weeks).</w:t>
      </w:r>
    </w:p>
    <w:p>
      <w:pPr>
        <w:spacing w:after="120"/>
        <w:ind w:firstLine="227"/>
      </w:pPr>
      <w:r>
        <w:rPr>
          <w:rFonts w:ascii="Garamond" w:hAnsi="Garamond"/>
          <w:b w:val="0"/>
          <w:i w:val="0"/>
          <w:sz w:val="22"/>
        </w:rPr>
        <w:t>Proposed Provision 3: Somatic &amp; Occupational Therapy. Legal/Educational Justification: Directly addresses the neurological trauma and sensory burnout caused by environmental mismatch. Sourcing: Private HCPC-registered Occupational Therapist. Annual Cost: £2,400 (Controlled monthly sessions + program review).</w:t>
      </w:r>
    </w:p>
    <w:p>
      <w:pPr>
        <w:spacing w:after="120"/>
        <w:ind w:firstLine="227"/>
      </w:pPr>
      <w:r>
        <w:rPr>
          <w:rFonts w:ascii="Garamond" w:hAnsi="Garamond"/>
          <w:b w:val="0"/>
          <w:i w:val="0"/>
          <w:sz w:val="22"/>
        </w:rPr>
        <w:t>The Voice of Authority: Do not let the Local Authority label your child's EOTAS package as "home schooling." Home schooling is a voluntary lifestyle choice where the parent absorbs every cost. EOTAS is a state-funded legal remedy for a child who has been broken by an unsuitable system. You are not asking the state to step aside; you are ordering the state to pay for the damage its system has caused.</w:t>
      </w:r>
    </w:p>
    <w:p>
      <w:pPr>
        <w:spacing w:before="480" w:after="120"/>
        <w:jc w:val="center"/>
      </w:pPr>
      <w:r>
        <w:rPr>
          <w:color w:val="6B7280"/>
          <w:sz w:val="16"/>
        </w:rPr>
        <w:t>──────────────────────────────────────────────────</w:t>
      </w:r>
    </w:p>
    <w:p>
      <w:pPr>
        <w:spacing w:after="160"/>
      </w:pPr>
      <w:r>
        <w:rPr>
          <w:rFonts w:ascii="Garamond" w:hAnsi="Garamond"/>
          <w:b/>
          <w:color w:val="1B3A5C"/>
          <w:sz w:val="24"/>
        </w:rPr>
        <w:t>EOTAS packages are won on the documentation, not the case law.</w:t>
      </w:r>
    </w:p>
    <w:p>
      <w:pPr>
        <w:spacing w:after="120"/>
      </w:pPr>
      <w:r>
        <w:rPr>
          <w:rFonts w:ascii="Garamond" w:hAnsi="Garamond"/>
          <w:sz w:val="20"/>
        </w:rPr>
        <w:t>The case law in this chapter — TM v Hounslow, M v Hertfordshire, NN v Cheshire East — is the legal scaffold. The win comes from the costed package: the fully evidenced, professionally specified description of provision that the LA can simply sign off on.</w:t>
      </w:r>
    </w:p>
    <w:p>
      <w:pPr>
        <w:spacing w:after="120"/>
      </w:pPr>
      <w:r>
        <w:rPr>
          <w:rFonts w:ascii="Garamond" w:hAnsi="Garamond"/>
          <w:sz w:val="20"/>
        </w:rPr>
        <w:t>Most parents do not have the time to source three quotes from accredited online schools, two specialist tutors, and an HCPC-registered occupational therapist — alongside everything else they are managing.</w:t>
      </w:r>
    </w:p>
    <w:p>
      <w:pPr>
        <w:spacing w:after="120"/>
      </w:pPr>
      <w:r>
        <w:rPr>
          <w:rFonts w:ascii="Garamond" w:hAnsi="Garamond"/>
          <w:sz w:val="20"/>
        </w:rPr>
        <w:t>The £480 EHCP Review &amp; Strengthening package includes section-by-section audit and amendment drafting. For EOTAS cases proceeding to tribunal, the £2,400 Complete Tribunal Preparation Pack covers the full case build.</w:t>
      </w:r>
    </w:p>
    <w:p>
      <w:pPr>
        <w:spacing w:before="80" w:after="80"/>
      </w:pPr>
      <w:r>
        <w:rPr>
          <w:rFonts w:ascii="Garamond" w:hAnsi="Garamond"/>
          <w:b/>
          <w:sz w:val="20"/>
        </w:rPr>
        <w:t>sendnavigate.org/book</w:t>
      </w:r>
    </w:p>
    <w:p>
      <w:pPr>
        <w:spacing w:after="360"/>
        <w:jc w:val="center"/>
      </w:pPr>
      <w:r>
        <w:rPr>
          <w:color w:val="6B7280"/>
          <w:sz w:val="16"/>
        </w:rPr>
        <w:t>──────────────────────────────────────────────────</w:t>
      </w:r>
    </w:p>
    <w:p>
      <w:r>
        <w:br w:type="page"/>
      </w:r>
    </w:p>
    <w:p>
      <w:pPr>
        <w:spacing w:before="800" w:after="120"/>
        <w:jc w:val="center"/>
      </w:pPr>
      <w:r>
        <w:rPr>
          <w:rFonts w:ascii="Garamond" w:hAnsi="Garamond"/>
          <w:b w:val="0"/>
          <w:i/>
          <w:sz w:val="24"/>
        </w:rPr>
        <w:t>Chapter 11</w:t>
      </w:r>
    </w:p>
    <w:p>
      <w:pPr>
        <w:pStyle w:val="Heading1"/>
        <w:jc w:val="center"/>
      </w:pPr>
      <w:r>
        <w:rPr>
          <w:rFonts w:ascii="Garamond" w:hAnsi="Garamond"/>
        </w:rPr>
        <w:t>Alternative Qualifications and the Year 10/11 Pivot</w:t>
      </w:r>
    </w:p>
    <w:p>
      <w:pPr>
        <w:spacing w:after="120"/>
        <w:ind w:firstLine="227"/>
      </w:pPr>
      <w:r>
        <w:rPr>
          <w:rFonts w:ascii="Garamond" w:hAnsi="Garamond"/>
          <w:b w:val="0"/>
          <w:i w:val="0"/>
          <w:sz w:val="22"/>
        </w:rPr>
        <w:t>When your child hits 14 years old (Year 10), a subtle shift occurs in your panic. Up until now, your primary worry has been their mental health, their isolation, and their safety. But as the rest of their peer group begins their formal GCSE courses, a new, cold dread sets in: “What if he gets no qualifications? What if his entire future is ruined because he missed the GCSE boat?”</w:t>
      </w:r>
    </w:p>
    <w:p>
      <w:pPr>
        <w:spacing w:after="120"/>
        <w:ind w:firstLine="227"/>
      </w:pPr>
      <w:r>
        <w:rPr>
          <w:rFonts w:ascii="Garamond" w:hAnsi="Garamond"/>
          <w:b w:val="0"/>
          <w:i w:val="0"/>
          <w:sz w:val="22"/>
        </w:rPr>
        <w:t>Let’s stop that spiral immediately.</w:t>
      </w:r>
    </w:p>
    <w:p>
      <w:pPr>
        <w:spacing w:after="120"/>
        <w:ind w:firstLine="227"/>
      </w:pPr>
      <w:r>
        <w:rPr>
          <w:rFonts w:ascii="Garamond" w:hAnsi="Garamond"/>
          <w:b w:val="0"/>
          <w:i w:val="0"/>
          <w:sz w:val="22"/>
        </w:rPr>
        <w:t>The traditional narrative that a teenager must sit 8 to 10 GCSEs in a crowded exam hall at age 16 to succeed in life is an institutional myth. It is a factory model of education designed for schools to meet their performance metrics, not for a child recovering from severe nervous system burnout.</w:t>
      </w:r>
    </w:p>
    <w:p>
      <w:pPr>
        <w:spacing w:after="120"/>
        <w:ind w:firstLine="227"/>
      </w:pPr>
      <w:r>
        <w:rPr>
          <w:rFonts w:ascii="Garamond" w:hAnsi="Garamond"/>
          <w:b w:val="0"/>
          <w:i w:val="0"/>
          <w:sz w:val="22"/>
        </w:rPr>
        <w:t>This chapter is your reassurance and your tactical map. At 14, with a year of school missing behind you, you are at the perfect pivot point. We are going to strip away the unnecessary noise and look at the sleek, alternative routes to qualifications that colleges and employers actually care about—all achievable from the safety of home, on a timeline that respects your child's healing.</w:t>
      </w:r>
    </w:p>
    <w:p>
      <w:pPr>
        <w:spacing w:after="120"/>
        <w:ind w:firstLine="227"/>
      </w:pPr>
      <w:r>
        <w:rPr>
          <w:rFonts w:ascii="Garamond" w:hAnsi="Garamond"/>
          <w:b w:val="0"/>
          <w:i w:val="0"/>
          <w:sz w:val="22"/>
        </w:rPr>
        <w:t>The "Big Three" Alternative Pathways</w:t>
      </w:r>
    </w:p>
    <w:p>
      <w:pPr>
        <w:spacing w:after="120"/>
        <w:ind w:firstLine="227"/>
      </w:pPr>
      <w:r>
        <w:rPr>
          <w:rFonts w:ascii="Garamond" w:hAnsi="Garamond"/>
          <w:b w:val="0"/>
          <w:i w:val="0"/>
          <w:sz w:val="22"/>
        </w:rPr>
        <w:t>You do not need to replicate a full school timetable at home. To unlock college, apprenticeships, or higher education, your child fundamentally needs Maths and English. Everything else is optional scaffolding.</w:t>
      </w:r>
    </w:p>
    <w:p>
      <w:pPr>
        <w:spacing w:before="280" w:after="120"/>
      </w:pPr>
      <w:r>
        <w:rPr>
          <w:rFonts w:ascii="Garamond" w:hAnsi="Garamond"/>
          <w:b/>
          <w:color w:val="1B3A5C"/>
          <w:sz w:val="24"/>
        </w:rPr>
        <w:t>1. Functional Skills Qualifications (Level 1 and Level 2)</w:t>
      </w:r>
    </w:p>
    <w:p>
      <w:pPr>
        <w:spacing w:after="120"/>
        <w:ind w:firstLine="227"/>
      </w:pPr>
      <w:r>
        <w:rPr>
          <w:rFonts w:ascii="Garamond" w:hAnsi="Garamond"/>
          <w:b w:val="0"/>
          <w:i w:val="0"/>
          <w:sz w:val="22"/>
        </w:rPr>
        <w:t>Fully accredited national qualifications focused on the practical application of English, Maths, and ICT. A Functional Skills Level 2 is legally equivalent to a GCSE Grade 4/C (a pass). Colleges and apprenticeship providers accept them natively as fulfilling their entry requirements. Traditional GCSEs are sat once a year in May/June, creating a high-stakes pressure cooker. Functional Skills exams can be taken on-demand, all year round. Crucially, many exam boards now allow these to be invigilated and sat online from home, completely removing the physical exam hall trigger.</w:t>
      </w:r>
    </w:p>
    <w:p>
      <w:pPr>
        <w:spacing w:before="280" w:after="120"/>
      </w:pPr>
      <w:r>
        <w:rPr>
          <w:rFonts w:ascii="Garamond" w:hAnsi="Garamond"/>
          <w:b/>
          <w:color w:val="1B3A5C"/>
          <w:sz w:val="24"/>
        </w:rPr>
        <w:t>2. International GCSEs (IGCSEs)</w:t>
      </w:r>
    </w:p>
    <w:p>
      <w:pPr>
        <w:spacing w:after="120"/>
        <w:ind w:firstLine="227"/>
      </w:pPr>
      <w:r>
        <w:rPr>
          <w:rFonts w:ascii="Garamond" w:hAnsi="Garamond"/>
          <w:b w:val="0"/>
          <w:i w:val="0"/>
          <w:sz w:val="22"/>
        </w:rPr>
        <w:t>The international equivalent of standard GCSEs, heavily favoured by home educators and independent online schools. It is exactly identical to a standard GCSE in legal weight. Standard GCSEs often include "controlled assessments" or mandatory practical coursework that must be verified in person by a school teacher. IGCSEs are 100% exam-based. Your child can learn the material entirely independently or via an online platform and simply walk in to sit the papers at the end of the course.</w:t>
      </w:r>
    </w:p>
    <w:p>
      <w:pPr>
        <w:spacing w:before="280" w:after="120"/>
      </w:pPr>
      <w:r>
        <w:rPr>
          <w:rFonts w:ascii="Garamond" w:hAnsi="Garamond"/>
          <w:b/>
          <w:color w:val="1B3A5C"/>
          <w:sz w:val="24"/>
        </w:rPr>
        <w:t>3. Vocational Units and BTECs via Open Colleges</w:t>
      </w:r>
    </w:p>
    <w:p>
      <w:pPr>
        <w:spacing w:after="120"/>
        <w:ind w:firstLine="227"/>
      </w:pPr>
      <w:r>
        <w:rPr>
          <w:rFonts w:ascii="Garamond" w:hAnsi="Garamond"/>
          <w:b w:val="0"/>
          <w:i w:val="0"/>
          <w:sz w:val="22"/>
        </w:rPr>
        <w:t>Portfolio-based, practical qualifications in specific fields like digital media, coding, animal care, or business administration. There are zero exams. Qualifications are built module-by-module through continuous assessment. If your child has a hyper-fixation or a deep interest (e.g., game design), they can achieve a recognised qualification by submitting project work at their own pace.</w:t>
      </w:r>
    </w:p>
    <w:p>
      <w:pPr>
        <w:spacing w:before="280" w:after="120"/>
      </w:pPr>
      <w:r>
        <w:rPr>
          <w:rFonts w:ascii="Garamond" w:hAnsi="Garamond"/>
          <w:b/>
          <w:color w:val="1B3A5C"/>
          <w:sz w:val="24"/>
        </w:rPr>
        <w:t>How to Actually Sit Exams Without a School</w:t>
      </w:r>
    </w:p>
    <w:p>
      <w:pPr>
        <w:spacing w:after="120"/>
        <w:ind w:firstLine="227"/>
      </w:pPr>
      <w:r>
        <w:rPr>
          <w:rFonts w:ascii="Garamond" w:hAnsi="Garamond"/>
          <w:b w:val="0"/>
          <w:i w:val="0"/>
          <w:sz w:val="22"/>
        </w:rPr>
        <w:t>LAs and schools often imply that if you aren't on a school roll, you cannot sit exams. This is false. You use Private Exam Centres. National networks (such as Tutors &amp; Exams or 3A Tutors) exist solely to cater to home educators, distance learners, and private candidates. They offer dedicated, calm environments specifically designed for anxious candidates.</w:t>
      </w:r>
    </w:p>
    <w:p>
      <w:pPr>
        <w:spacing w:after="120"/>
        <w:ind w:firstLine="227"/>
      </w:pPr>
      <w:r>
        <w:rPr>
          <w:rFonts w:ascii="Garamond" w:hAnsi="Garamond"/>
          <w:b w:val="0"/>
          <w:i w:val="0"/>
          <w:sz w:val="22"/>
        </w:rPr>
        <w:t>If your child has an EHCP or documented medical evidence from your Evidence Binder, private centres can legally implement Access Arrangements. This means your child can sit their papers in a private, individual room, with 25% extra time, a reader/scribe, or a prompter, or they can take regular rest breaks to manage anxiety spikes.</w:t>
      </w:r>
    </w:p>
    <w:p>
      <w:pPr>
        <w:spacing w:before="280" w:after="120"/>
      </w:pPr>
      <w:r>
        <w:rPr>
          <w:rFonts w:ascii="Garamond" w:hAnsi="Garamond"/>
          <w:b/>
          <w:color w:val="1B3A5C"/>
          <w:sz w:val="24"/>
        </w:rPr>
        <w:t>The Tactical Tool: The Year 10/11 Qualification Pivot Planner</w:t>
      </w:r>
    </w:p>
    <w:p>
      <w:pPr>
        <w:spacing w:after="120"/>
        <w:ind w:firstLine="227"/>
      </w:pPr>
      <w:r>
        <w:rPr>
          <w:rFonts w:ascii="Garamond" w:hAnsi="Garamond"/>
          <w:b w:val="0"/>
          <w:i w:val="0"/>
          <w:sz w:val="22"/>
        </w:rPr>
        <w:t>Do not try to force a Year 10 child who is in survival mode to study six hours a day. Use the phased recovery planner below to transition them back into learning without re-triggering their avoidance response.</w:t>
      </w:r>
    </w:p>
    <w:p>
      <w:pPr>
        <w:spacing w:after="120"/>
      </w:pPr>
      <w:r>
        <w:rPr>
          <w:rFonts w:ascii="Garamond" w:hAnsi="Garamond"/>
          <w:b/>
          <w:i w:val="0"/>
          <w:sz w:val="22"/>
        </w:rPr>
        <w:t>PHASE 1: The Decompression Zone (Months 1–3) - Objective: Zero academic demands. Focus strictly on somatic healing.</w:t>
      </w:r>
    </w:p>
    <w:p>
      <w:pPr>
        <w:spacing w:after="120"/>
      </w:pPr>
      <w:r>
        <w:rPr>
          <w:rFonts w:ascii="Garamond" w:hAnsi="Garamond"/>
          <w:b/>
          <w:i w:val="0"/>
          <w:sz w:val="22"/>
        </w:rPr>
        <w:t>PHASE 2: The Core Re-engagement (Months 4–6) - Objective: Establish ONE low-demand subject (usually English or a passion project). Target: 30-minute informal sessions, 3 times a week.</w:t>
      </w:r>
    </w:p>
    <w:p>
      <w:pPr>
        <w:spacing w:after="120"/>
      </w:pPr>
      <w:r>
        <w:rPr>
          <w:rFonts w:ascii="Garamond" w:hAnsi="Garamond"/>
          <w:b/>
          <w:i w:val="0"/>
          <w:sz w:val="22"/>
        </w:rPr>
        <w:t>PHASE 3: The Functional Core (Months 7–12) - Objective: Introduce Functional Skills Maths and English. Target: Utilise online on-demand platforms. No fixed exam dates yet.</w:t>
      </w:r>
    </w:p>
    <w:p>
      <w:pPr>
        <w:spacing w:after="120"/>
      </w:pPr>
      <w:r>
        <w:rPr>
          <w:rFonts w:ascii="Garamond" w:hAnsi="Garamond"/>
          <w:b/>
          <w:i w:val="0"/>
          <w:sz w:val="22"/>
        </w:rPr>
        <w:t>PHASE 4: Qualification Execution (Year 11 / Age 16) - Objective: Sit Level 2 Functional Skills online, or target 2–3 IGCSEs max.</w:t>
      </w:r>
    </w:p>
    <w:p>
      <w:pPr>
        <w:spacing w:after="120"/>
        <w:ind w:firstLine="227"/>
      </w:pPr>
      <w:r>
        <w:rPr>
          <w:rFonts w:ascii="Garamond" w:hAnsi="Garamond"/>
          <w:b w:val="0"/>
          <w:i w:val="0"/>
          <w:sz w:val="22"/>
        </w:rPr>
        <w:t>The Voice of Confidence: Take a deep breath. Your child is fourteen. They have their whole life to collect qualifications, but they only have one childhood to heal their nervous system. If they turn 16 with just a Level 2 in English and Maths, their door to the future is wide open. You have not ruined their life by stepping off the mainstream treadmill; you have given them a customized runway to fly on later.</w:t>
      </w:r>
    </w:p>
    <w:p>
      <w:pPr>
        <w:spacing w:before="360" w:after="120"/>
        <w:jc w:val="center"/>
      </w:pPr>
      <w:r>
        <w:rPr>
          <w:color w:val="6B7280"/>
          <w:sz w:val="20"/>
        </w:rPr>
        <w:t>· · ·</w:t>
      </w:r>
    </w:p>
    <w:p>
      <w:pPr>
        <w:spacing w:after="120"/>
      </w:pPr>
      <w:r>
        <w:rPr>
          <w:rFonts w:ascii="Garamond" w:hAnsi="Garamond"/>
          <w:b/>
          <w:i/>
          <w:color w:val="1B3A5C"/>
          <w:sz w:val="22"/>
        </w:rPr>
        <w:t>Primary Variant — Qualifications and the future, for primary parents</w:t>
      </w:r>
    </w:p>
    <w:p>
      <w:pPr>
        <w:spacing w:after="120"/>
      </w:pPr>
      <w:r>
        <w:rPr>
          <w:rFonts w:ascii="Garamond" w:hAnsi="Garamond"/>
          <w:sz w:val="20"/>
        </w:rPr>
        <w:t>This chapter, as written, is for parents of Year 10 and Year 11 children. If your child is primary-age, the future-focused worry that drives a Year 10 parent will be present in you too, but earlier and differently.</w:t>
      </w:r>
    </w:p>
    <w:p>
      <w:pPr>
        <w:spacing w:after="120"/>
      </w:pPr>
      <w:r>
        <w:rPr>
          <w:rFonts w:ascii="Garamond" w:hAnsi="Garamond"/>
          <w:sz w:val="20"/>
        </w:rPr>
        <w:t>The honest answer: you have more time than you think.</w:t>
      </w:r>
    </w:p>
    <w:p>
      <w:pPr>
        <w:spacing w:after="120"/>
      </w:pPr>
      <w:r>
        <w:rPr>
          <w:rFonts w:ascii="Garamond" w:hAnsi="Garamond"/>
          <w:sz w:val="20"/>
        </w:rPr>
        <w:t>Children who spend extended periods out of primary school often re-engage with formal learning in Year 7 or later, in an alternative setting, with no measurable long-term academic gap. The brain at age 7 is still wiring. What it learns in those years is regulation, attachment, language, curiosity, and self. None of those require a classroom.</w:t>
      </w:r>
    </w:p>
    <w:p>
      <w:pPr>
        <w:spacing w:after="120"/>
      </w:pPr>
      <w:r>
        <w:rPr>
          <w:rFonts w:ascii="Garamond" w:hAnsi="Garamond"/>
          <w:sz w:val="20"/>
        </w:rPr>
        <w:t>When the time comes — and it will — the same alternative routes in this chapter apply. Functional Skills at age 16 if needed. IGCSEs via distance learning. Vocational portfolios. A primary-age child's path to qualifications is wider, not narrower, for having had this time at home.</w:t>
      </w:r>
    </w:p>
    <w:p>
      <w:pPr>
        <w:spacing w:after="120"/>
      </w:pPr>
      <w:r>
        <w:rPr>
          <w:rFonts w:ascii="Garamond" w:hAnsi="Garamond"/>
          <w:sz w:val="20"/>
        </w:rPr>
        <w:t>You have not ruined their future. You are protecting it.</w:t>
      </w:r>
    </w:p>
    <w:p>
      <w:pPr>
        <w:spacing w:after="280"/>
        <w:jc w:val="center"/>
      </w:pPr>
      <w:r>
        <w:rPr>
          <w:color w:val="6B7280"/>
          <w:sz w:val="20"/>
        </w:rPr>
        <w:t>· · ·</w:t>
      </w:r>
    </w:p>
    <w:p>
      <w:r>
        <w:br w:type="page"/>
      </w:r>
    </w:p>
    <w:p>
      <w:pPr>
        <w:spacing w:before="800" w:after="120"/>
        <w:jc w:val="center"/>
      </w:pPr>
      <w:r>
        <w:rPr>
          <w:rFonts w:ascii="Garamond" w:hAnsi="Garamond"/>
          <w:b w:val="0"/>
          <w:i/>
          <w:sz w:val="24"/>
        </w:rPr>
        <w:t>Chapter 12</w:t>
      </w:r>
    </w:p>
    <w:p>
      <w:pPr>
        <w:pStyle w:val="Heading1"/>
        <w:jc w:val="center"/>
      </w:pPr>
      <w:r>
        <w:rPr>
          <w:rFonts w:ascii="Garamond" w:hAnsi="Garamond"/>
        </w:rPr>
        <w:t>The Step-by-Step Deregistration Protocol</w:t>
      </w:r>
    </w:p>
    <w:p>
      <w:pPr>
        <w:spacing w:after="120"/>
        <w:ind w:firstLine="227"/>
      </w:pPr>
      <w:r>
        <w:rPr>
          <w:rFonts w:ascii="Garamond" w:hAnsi="Garamond"/>
          <w:b w:val="0"/>
          <w:i w:val="0"/>
          <w:sz w:val="22"/>
        </w:rPr>
        <w:t>Throughout this manual, our primary strategic goal has been to force the Local Authority to retain financial and legal liability for your child’s education via Section 19 or an EOTAS framework. However, there are specific scenarios where a parent makes a conscious, positive choice to step away from the state system entirely.</w:t>
      </w:r>
    </w:p>
    <w:p>
      <w:pPr>
        <w:spacing w:after="120"/>
        <w:ind w:firstLine="227"/>
      </w:pPr>
      <w:r>
        <w:rPr>
          <w:rFonts w:ascii="Garamond" w:hAnsi="Garamond"/>
          <w:b w:val="0"/>
          <w:i w:val="0"/>
          <w:sz w:val="22"/>
        </w:rPr>
        <w:t>If you decide that the fight itself is causing more trauma to your family than the school building, and you have the capacity to deliver education yourself, you can opt for Elective Home Education (EHE). But you must execute this transition cleanly. If you fail to follow the precise legal protocol, you risk being drawn into the punitive machinery of a School Attendance Order (SAO).</w:t>
      </w:r>
    </w:p>
    <w:p>
      <w:pPr>
        <w:spacing w:after="120"/>
        <w:ind w:firstLine="227"/>
      </w:pPr>
      <w:r>
        <w:rPr>
          <w:rFonts w:ascii="Garamond" w:hAnsi="Garamond"/>
          <w:b w:val="0"/>
          <w:i w:val="0"/>
          <w:sz w:val="22"/>
        </w:rPr>
        <w:t>The Mainstream vs. Special School Legal Split</w:t>
      </w:r>
    </w:p>
    <w:p>
      <w:pPr>
        <w:spacing w:after="120"/>
        <w:ind w:firstLine="227"/>
      </w:pPr>
      <w:r>
        <w:rPr>
          <w:rFonts w:ascii="Garamond" w:hAnsi="Garamond"/>
          <w:b w:val="0"/>
          <w:i w:val="0"/>
          <w:sz w:val="22"/>
        </w:rPr>
        <w:t>The process for removing your child from a school roll depends entirely on the type of school named in Section I of their EHCP (if they have one).</w:t>
      </w:r>
    </w:p>
    <w:p>
      <w:pPr>
        <w:spacing w:after="120"/>
        <w:ind w:firstLine="227"/>
      </w:pPr>
      <w:r>
        <w:rPr>
          <w:rFonts w:ascii="Garamond" w:hAnsi="Garamond"/>
          <w:b w:val="0"/>
          <w:i w:val="0"/>
          <w:sz w:val="22"/>
        </w:rPr>
        <w:t>The Mainstream Protocol: Under the Education (Pupil Registration) Regulations, if your child is on the roll of a mainstream school, you have an absolute, unconditional right to deregister. The school cannot refuse your request, they cannot demand an exit interview, and they cannot delay. The moment they receive your written notice, they must remove your child from the roll and notify the Local Authority.</w:t>
      </w:r>
    </w:p>
    <w:p>
      <w:pPr>
        <w:spacing w:after="120"/>
        <w:ind w:firstLine="227"/>
      </w:pPr>
      <w:r>
        <w:rPr>
          <w:rFonts w:ascii="Garamond" w:hAnsi="Garamond"/>
          <w:b w:val="0"/>
          <w:i w:val="0"/>
          <w:sz w:val="22"/>
        </w:rPr>
        <w:t>The Special School Exception: If your child is on the roll of a maintained special school named in their EHCP, you cannot simply deregister. Under the law, you must formally ask the Local Authority for permission to home educate. The LA must review your proposed educational provision and consent before the school can legally remove the child's name from the roll.</w:t>
      </w:r>
    </w:p>
    <w:p>
      <w:pPr>
        <w:spacing w:before="280" w:after="120"/>
      </w:pPr>
      <w:r>
        <w:rPr>
          <w:rFonts w:ascii="Garamond" w:hAnsi="Garamond"/>
          <w:b/>
          <w:color w:val="1B3A5C"/>
          <w:sz w:val="24"/>
        </w:rPr>
        <w:t>The Tactical Tool: The Formal Mainstream Deregistration Script</w:t>
      </w:r>
    </w:p>
    <w:p>
      <w:pPr>
        <w:spacing w:after="120"/>
        <w:ind w:firstLine="227"/>
      </w:pPr>
      <w:r>
        <w:rPr>
          <w:rFonts w:ascii="Garamond" w:hAnsi="Garamond"/>
          <w:b w:val="0"/>
          <w:i w:val="0"/>
          <w:sz w:val="22"/>
        </w:rPr>
        <w:t>If your child is in a mainstream setting and you choose to take this path, use this precise text. Do not provide a long explanation of your reasons, as the local authority will use any admission of parental anxiety or domestic struggle to initiate welfare or safeguarding inquiries.</w:t>
      </w:r>
    </w:p>
    <w:p>
      <w:pPr>
        <w:spacing w:after="120"/>
      </w:pPr>
      <w:r>
        <w:rPr>
          <w:rFonts w:ascii="Garamond" w:hAnsi="Garamond"/>
          <w:b/>
          <w:i w:val="0"/>
          <w:sz w:val="22"/>
        </w:rPr>
        <w:t>Subject: Formal Notification of Elective Home Education (EHE) — [Child's Name], [DOB]</w:t>
      </w:r>
    </w:p>
    <w:p>
      <w:pPr>
        <w:spacing w:after="120"/>
      </w:pPr>
      <w:r>
        <w:rPr>
          <w:rFonts w:ascii="Garamond" w:hAnsi="Garamond"/>
          <w:b/>
          <w:i w:val="0"/>
          <w:sz w:val="22"/>
        </w:rPr>
        <w:t>Dear [Name of Headteacher],</w:t>
      </w:r>
    </w:p>
    <w:p>
      <w:pPr>
        <w:spacing w:after="120"/>
        <w:ind w:firstLine="227"/>
      </w:pPr>
      <w:r>
        <w:rPr>
          <w:rFonts w:ascii="Garamond" w:hAnsi="Garamond"/>
          <w:b w:val="0"/>
          <w:i w:val="0"/>
          <w:sz w:val="22"/>
        </w:rPr>
        <w:t>I am writing to formally notify you that I am withdrawing my son, [Child's Name], from the roll of [School Name] as of [Date] in order to take responsibility for his education otherwise than at school, in accordance with Section 7 of the Education Act 1996.</w:t>
      </w:r>
    </w:p>
    <w:p>
      <w:pPr>
        <w:spacing w:after="120"/>
        <w:ind w:firstLine="227"/>
      </w:pPr>
      <w:r>
        <w:rPr>
          <w:rFonts w:ascii="Garamond" w:hAnsi="Garamond"/>
          <w:b w:val="0"/>
          <w:i w:val="0"/>
          <w:sz w:val="22"/>
        </w:rPr>
        <w:t>Please ensure that [Child's Name]’s name is removed from the school admissions register immediately, as required by Regulation 8(1)(a) of the Education (Pupil Registration) (England) Regulations 2006.</w:t>
      </w:r>
    </w:p>
    <w:p>
      <w:pPr>
        <w:spacing w:after="120"/>
        <w:ind w:firstLine="227"/>
      </w:pPr>
      <w:r>
        <w:rPr>
          <w:rFonts w:ascii="Garamond" w:hAnsi="Garamond"/>
          <w:b w:val="0"/>
          <w:i w:val="0"/>
          <w:sz w:val="22"/>
        </w:rPr>
        <w:t>As you are aware, this step concludes the school’s attendance monitoring responsibilities regarding [Child's Name]. Please forward his full educational and medical records to my home address within 15 working days.</w:t>
      </w:r>
    </w:p>
    <w:p>
      <w:pPr>
        <w:spacing w:after="120"/>
        <w:ind w:firstLine="227"/>
      </w:pPr>
      <w:r>
        <w:rPr>
          <w:rFonts w:ascii="Garamond" w:hAnsi="Garamond"/>
          <w:b w:val="0"/>
          <w:i w:val="0"/>
          <w:sz w:val="22"/>
        </w:rPr>
        <w:t>I will liaise directly with the Local Authority’s Elective Home Education team regarding our ongoing educational provision.</w:t>
      </w:r>
    </w:p>
    <w:p>
      <w:pPr>
        <w:spacing w:after="120"/>
        <w:ind w:firstLine="227"/>
      </w:pPr>
      <w:r>
        <w:rPr>
          <w:rFonts w:ascii="Garamond" w:hAnsi="Garamond"/>
          <w:b w:val="0"/>
          <w:i w:val="0"/>
          <w:sz w:val="22"/>
        </w:rPr>
        <w:t>Thank you for your time.</w:t>
      </w:r>
    </w:p>
    <w:p>
      <w:pPr>
        <w:spacing w:after="120"/>
      </w:pPr>
      <w:r>
        <w:rPr>
          <w:rFonts w:ascii="Garamond" w:hAnsi="Garamond"/>
          <w:b/>
          <w:i w:val="0"/>
          <w:sz w:val="22"/>
        </w:rPr>
        <w:t>Kind regards,</w:t>
      </w:r>
    </w:p>
    <w:p>
      <w:pPr>
        <w:spacing w:before="280" w:after="120"/>
      </w:pPr>
      <w:r>
        <w:rPr>
          <w:rFonts w:ascii="Garamond" w:hAnsi="Garamond"/>
          <w:b/>
          <w:color w:val="1B3A5C"/>
          <w:sz w:val="24"/>
        </w:rPr>
        <w:t>[Your Name]</w:t>
      </w:r>
    </w:p>
    <w:p>
      <w:pPr>
        <w:spacing w:before="280" w:after="120"/>
      </w:pPr>
      <w:r>
        <w:rPr>
          <w:rFonts w:ascii="Garamond" w:hAnsi="Garamond"/>
          <w:b/>
          <w:color w:val="1B3A5C"/>
          <w:sz w:val="24"/>
        </w:rPr>
        <w:t>Defending Against the Section 437(1) Informal Inquiry</w:t>
      </w:r>
    </w:p>
    <w:p>
      <w:pPr>
        <w:spacing w:after="120"/>
        <w:ind w:firstLine="227"/>
      </w:pPr>
      <w:r>
        <w:rPr>
          <w:rFonts w:ascii="Garamond" w:hAnsi="Garamond"/>
          <w:b w:val="0"/>
          <w:i w:val="0"/>
          <w:sz w:val="22"/>
        </w:rPr>
        <w:t>Once you deregister, the Local Authority’s EHE team will eventually contact you. Under Section 437(1) of the Education Act 1996, if it appears to the LA that a child is not receiving a suitable education, they must issue a formal notice demanding proof.</w:t>
      </w:r>
    </w:p>
    <w:p>
      <w:pPr>
        <w:spacing w:after="120"/>
        <w:ind w:firstLine="227"/>
      </w:pPr>
      <w:r>
        <w:rPr>
          <w:rFonts w:ascii="Garamond" w:hAnsi="Garamond"/>
          <w:b w:val="0"/>
          <w:i w:val="0"/>
          <w:sz w:val="22"/>
        </w:rPr>
        <w:t>LAs often attempt to force their way into your home for an inspection or demand that your child sit tests. They have no legal right to do this. Case law establishes that a parent can satisfy the LA's inquiry completely by submitting a written report. When writing your EHE report, use the Objective Educational Framework. Strip out all emotional descriptions of how happy your child is at home and focus purely on structured inputs:</w:t>
      </w:r>
    </w:p>
    <w:p>
      <w:pPr>
        <w:spacing w:after="120"/>
        <w:ind w:firstLine="227"/>
      </w:pPr>
      <w:r>
        <w:rPr>
          <w:rFonts w:ascii="Garamond" w:hAnsi="Garamond"/>
          <w:b w:val="0"/>
          <w:i w:val="0"/>
          <w:sz w:val="22"/>
        </w:rPr>
        <w:t>Literacy and Numeracy: Detail the specific materials or online platforms used (e.g., "Jacob utilises digital modules targeting level 2 functional literacy tasks thrice weekly.").</w:t>
      </w:r>
    </w:p>
    <w:p>
      <w:pPr>
        <w:spacing w:after="120"/>
        <w:ind w:firstLine="227"/>
      </w:pPr>
      <w:r>
        <w:rPr>
          <w:rFonts w:ascii="Garamond" w:hAnsi="Garamond"/>
          <w:b w:val="0"/>
          <w:i w:val="0"/>
          <w:sz w:val="22"/>
        </w:rPr>
        <w:t>Broad Curriculum: List independent research projects, documentaries watched, or life skills acquired (cooking, home budgeting, mechanical repairs).</w:t>
      </w:r>
    </w:p>
    <w:p>
      <w:pPr>
        <w:spacing w:after="120"/>
        <w:ind w:firstLine="227"/>
      </w:pPr>
      <w:r>
        <w:rPr>
          <w:rFonts w:ascii="Garamond" w:hAnsi="Garamond"/>
          <w:b w:val="0"/>
          <w:i w:val="0"/>
          <w:sz w:val="22"/>
        </w:rPr>
        <w:t>Physical and Social Health: Detail walks, swimming, or participation in community interest groups.</w:t>
      </w:r>
    </w:p>
    <w:p>
      <w:pPr>
        <w:spacing w:after="120"/>
        <w:ind w:firstLine="227"/>
      </w:pPr>
      <w:r>
        <w:rPr>
          <w:rFonts w:ascii="Garamond" w:hAnsi="Garamond"/>
          <w:b w:val="0"/>
          <w:i w:val="0"/>
          <w:sz w:val="22"/>
        </w:rPr>
        <w:t>By presenting your home education in a cold, professional format, you fulfil the Section 7 definition of an education that is "efficient and suitable to age, ability, and aptitude," effectively forcing the Local Authority to close their file and leave your family in peace.</w:t>
      </w:r>
    </w:p>
    <w:p>
      <w:r>
        <w:br w:type="page"/>
      </w:r>
    </w:p>
    <w:p>
      <w:pPr>
        <w:spacing w:before="1600" w:after="0"/>
        <w:jc w:val="center"/>
      </w:pPr>
      <w:r>
        <w:rPr>
          <w:rFonts w:ascii="Garamond" w:hAnsi="Garamond"/>
          <w:b w:val="0"/>
          <w:i w:val="0"/>
          <w:sz w:val="22"/>
        </w:rPr>
      </w:r>
    </w:p>
    <w:p>
      <w:pPr>
        <w:spacing w:before="0" w:after="240"/>
        <w:jc w:val="center"/>
      </w:pPr>
      <w:r>
        <w:rPr>
          <w:rFonts w:ascii="Garamond" w:hAnsi="Garamond"/>
          <w:b/>
          <w:i w:val="0"/>
          <w:sz w:val="20"/>
        </w:rPr>
        <w:t>MODULE 6</w:t>
      </w:r>
    </w:p>
    <w:p>
      <w:pPr>
        <w:spacing w:before="0" w:after="0"/>
        <w:jc w:val="center"/>
      </w:pPr>
      <w:r>
        <w:rPr>
          <w:rFonts w:ascii="Garamond" w:hAnsi="Garamond"/>
          <w:b/>
          <w:i w:val="0"/>
          <w:sz w:val="36"/>
        </w:rPr>
        <w:t>THE LONG GAME</w:t>
      </w:r>
    </w:p>
    <w:p>
      <w:r>
        <w:br w:type="page"/>
      </w:r>
    </w:p>
    <w:p>
      <w:pPr>
        <w:spacing w:before="800" w:after="120"/>
        <w:jc w:val="center"/>
      </w:pPr>
      <w:r>
        <w:rPr>
          <w:rFonts w:ascii="Garamond" w:hAnsi="Garamond"/>
          <w:b w:val="0"/>
          <w:i/>
          <w:sz w:val="24"/>
        </w:rPr>
        <w:t>Chapter 13</w:t>
      </w:r>
    </w:p>
    <w:p>
      <w:pPr>
        <w:pStyle w:val="Heading1"/>
        <w:jc w:val="center"/>
      </w:pPr>
      <w:r>
        <w:rPr>
          <w:rFonts w:ascii="Garamond" w:hAnsi="Garamond"/>
        </w:rPr>
        <w:t>The Shape of Recovery</w:t>
      </w:r>
    </w:p>
    <w:p>
      <w:pPr>
        <w:spacing w:after="120"/>
        <w:ind w:firstLine="227"/>
      </w:pPr>
      <w:r>
        <w:rPr>
          <w:rFonts w:ascii="Garamond" w:hAnsi="Garamond"/>
          <w:b w:val="0"/>
          <w:i w:val="0"/>
          <w:sz w:val="22"/>
        </w:rPr>
        <w:t>When the legal pathways are secured — when the LA has either funded an EOTAS package or your child is registered as electively home-educated, or your child is in a tutor-supported alternative arrangement — the panic stops. The mornings settle. There are no more letters arriving in brown envelopes. There is, for the first time in months or years, space.</w:t>
      </w:r>
    </w:p>
    <w:p>
      <w:pPr>
        <w:spacing w:after="120"/>
        <w:ind w:firstLine="227"/>
      </w:pPr>
      <w:r>
        <w:rPr>
          <w:rFonts w:ascii="Garamond" w:hAnsi="Garamond"/>
          <w:b w:val="0"/>
          <w:i w:val="0"/>
          <w:sz w:val="22"/>
        </w:rPr>
        <w:t>That space is its own emergency.</w:t>
      </w:r>
    </w:p>
    <w:p>
      <w:pPr>
        <w:spacing w:after="120"/>
        <w:ind w:firstLine="227"/>
      </w:pPr>
      <w:r>
        <w:rPr>
          <w:rFonts w:ascii="Garamond" w:hAnsi="Garamond"/>
          <w:b w:val="0"/>
          <w:i w:val="0"/>
          <w:sz w:val="22"/>
        </w:rPr>
        <w:t>Most parents in this book's audience have been running for so long, and on so much adrenaline, that the absence of the chase feels disorienting. The threat is gone. The system has stepped back. The child, slowly, is becoming someone you recognise again. And you — exhausted, depleted, often financially compromised, often professionally adjusted, often in a marriage that has not had a real conversation in eighteen months — discover that you have no idea what to do next.</w:t>
      </w:r>
    </w:p>
    <w:p>
      <w:pPr>
        <w:spacing w:after="120"/>
        <w:ind w:firstLine="227"/>
      </w:pPr>
      <w:r>
        <w:rPr>
          <w:rFonts w:ascii="Garamond" w:hAnsi="Garamond"/>
          <w:b w:val="0"/>
          <w:i w:val="0"/>
          <w:sz w:val="22"/>
        </w:rPr>
        <w:t>This chapter is for that moment. Not the legal moment. The personal one.</w:t>
      </w:r>
    </w:p>
    <w:p>
      <w:pPr>
        <w:spacing w:before="280" w:after="120"/>
      </w:pPr>
      <w:r>
        <w:rPr>
          <w:rFonts w:ascii="Garamond" w:hAnsi="Garamond"/>
          <w:b/>
          <w:color w:val="1B3A5C"/>
          <w:sz w:val="24"/>
        </w:rPr>
        <w:t>Recovery is not a return</w:t>
      </w:r>
    </w:p>
    <w:p>
      <w:pPr>
        <w:spacing w:after="120"/>
        <w:ind w:firstLine="227"/>
      </w:pPr>
      <w:r>
        <w:rPr>
          <w:rFonts w:ascii="Garamond" w:hAnsi="Garamond"/>
          <w:b w:val="0"/>
          <w:i w:val="0"/>
          <w:sz w:val="22"/>
        </w:rPr>
        <w:t>The temptation, when the noise stops, is to look for signs that "we can start to think about going back". Resist this. Recovery is not a return to the pre-crisis baseline. Your child is not the same person they were before the breakdown. You are not the same parent. The household is not the same household.</w:t>
      </w:r>
    </w:p>
    <w:p>
      <w:pPr>
        <w:spacing w:after="120"/>
        <w:ind w:firstLine="227"/>
      </w:pPr>
      <w:r>
        <w:rPr>
          <w:rFonts w:ascii="Garamond" w:hAnsi="Garamond"/>
          <w:b w:val="0"/>
          <w:i w:val="0"/>
          <w:sz w:val="22"/>
        </w:rPr>
        <w:t>What is happening, when the legal pathways have been secured and the home is steady, is something different: a slow re-building of a person whose nervous system has been chronically dysregulated for months or years. That re-building has phases. It does not have a destination. And the phases are not in your control to accelerate.</w:t>
      </w:r>
    </w:p>
    <w:p>
      <w:pPr>
        <w:spacing w:after="120"/>
        <w:ind w:firstLine="227"/>
      </w:pPr>
      <w:r>
        <w:rPr>
          <w:rFonts w:ascii="Garamond" w:hAnsi="Garamond"/>
          <w:b w:val="0"/>
          <w:i w:val="0"/>
          <w:sz w:val="22"/>
        </w:rPr>
        <w:t>The shape of those phases looks roughly like this.</w:t>
      </w:r>
    </w:p>
    <w:p>
      <w:pPr>
        <w:spacing w:after="120"/>
        <w:ind w:firstLine="227"/>
      </w:pPr>
      <w:r>
        <w:rPr>
          <w:rFonts w:ascii="Garamond" w:hAnsi="Garamond"/>
          <w:b w:val="0"/>
          <w:i w:val="0"/>
          <w:sz w:val="22"/>
        </w:rPr>
        <w:t>Months 0–3 after stabilisation: The child is sleeping more, eating more, talking more. They are also extremely flat. Many parents experience this phase as worrying — the child looks depressed. They are not. They are recovering from prolonged sympathetic nervous system activation, which is exhausting in ways the body has to repay slowly. Flatness, in this phase, is the system catching up.</w:t>
      </w:r>
    </w:p>
    <w:p>
      <w:pPr>
        <w:spacing w:after="120"/>
        <w:ind w:firstLine="227"/>
      </w:pPr>
      <w:r>
        <w:rPr>
          <w:rFonts w:ascii="Garamond" w:hAnsi="Garamond"/>
          <w:b w:val="0"/>
          <w:i w:val="0"/>
          <w:sz w:val="22"/>
        </w:rPr>
        <w:t>Months 3–9: Interest re-emerges. It will almost certainly not be the interest you had hoped for. A child who was previously academic may be drawn to gaming, or to a single niche pursuit, or to long hours of solitary creative work. A child who was previously social may want no company at all. Allow all of it. The brain is using whatever it can find to reassemble a sense of competence. Do not interpret unconventional interests as red flags.</w:t>
      </w:r>
    </w:p>
    <w:p>
      <w:pPr>
        <w:spacing w:after="120"/>
        <w:ind w:firstLine="227"/>
      </w:pPr>
      <w:r>
        <w:rPr>
          <w:rFonts w:ascii="Garamond" w:hAnsi="Garamond"/>
          <w:b w:val="0"/>
          <w:i w:val="0"/>
          <w:sz w:val="22"/>
        </w:rPr>
        <w:t>Months 9–18: Capacity returns in patches. Your child will have whole weeks of being themselves. They will also have unprovoked relapses into old states — often triggered by something small or unrecognisable. Do not panic when relapse happens. Do not throw out the Sanctuary Home Protocol. The relapse is part of the recovery; the protocol is what makes the relapse short.</w:t>
      </w:r>
    </w:p>
    <w:p>
      <w:pPr>
        <w:spacing w:after="120"/>
        <w:ind w:firstLine="227"/>
      </w:pPr>
      <w:r>
        <w:rPr>
          <w:rFonts w:ascii="Garamond" w:hAnsi="Garamond"/>
          <w:b w:val="0"/>
          <w:i w:val="0"/>
          <w:sz w:val="22"/>
        </w:rPr>
        <w:t>Months 18–24+: The child you live with is now a recovered child. They may also be different in ways that surprise you — sometimes more cautious, sometimes more direct, sometimes more able to articulate what they need than children who never went through this. The brain that learned, at age 11 or 14, to track its own state in real time is a brain that adults often spend years in therapy trying to acquire.</w:t>
      </w:r>
    </w:p>
    <w:p>
      <w:pPr>
        <w:spacing w:after="120"/>
        <w:ind w:firstLine="227"/>
      </w:pPr>
      <w:r>
        <w:rPr>
          <w:rFonts w:ascii="Garamond" w:hAnsi="Garamond"/>
          <w:b w:val="0"/>
          <w:i w:val="0"/>
          <w:sz w:val="22"/>
        </w:rPr>
        <w:t>This shape is approximate. Some children move through it faster. Many move through it slower. Almost none move through it in a straight line.</w:t>
      </w:r>
    </w:p>
    <w:p>
      <w:pPr>
        <w:spacing w:before="280" w:after="120"/>
      </w:pPr>
      <w:r>
        <w:rPr>
          <w:rFonts w:ascii="Garamond" w:hAnsi="Garamond"/>
          <w:b/>
          <w:color w:val="1B3A5C"/>
          <w:sz w:val="24"/>
        </w:rPr>
        <w:t>What recovery is not made of</w:t>
      </w:r>
    </w:p>
    <w:p>
      <w:pPr>
        <w:spacing w:after="120"/>
        <w:ind w:firstLine="227"/>
      </w:pPr>
      <w:r>
        <w:rPr>
          <w:rFonts w:ascii="Garamond" w:hAnsi="Garamond"/>
          <w:b w:val="0"/>
          <w:i w:val="0"/>
          <w:sz w:val="22"/>
        </w:rPr>
        <w:t>It is worth naming things that recovery does not require, despite what well-meaning friends, professionals, and your own internalised narrative will tell you.</w:t>
      </w:r>
    </w:p>
    <w:p>
      <w:pPr>
        <w:spacing w:after="120"/>
        <w:ind w:firstLine="227"/>
      </w:pPr>
      <w:r>
        <w:rPr>
          <w:rFonts w:ascii="Garamond" w:hAnsi="Garamond"/>
          <w:b w:val="0"/>
          <w:i/>
          <w:sz w:val="22"/>
        </w:rPr>
        <w:t>Recovery is not a return to mainstream school.</w:t>
      </w:r>
    </w:p>
    <w:p>
      <w:pPr>
        <w:spacing w:after="120"/>
        <w:ind w:firstLine="227"/>
      </w:pPr>
      <w:r>
        <w:rPr>
          <w:rFonts w:ascii="Garamond" w:hAnsi="Garamond"/>
          <w:b w:val="0"/>
          <w:i/>
          <w:sz w:val="22"/>
        </w:rPr>
        <w:t>Recovery is not engagement with peers from the previous school setting.</w:t>
      </w:r>
    </w:p>
    <w:p>
      <w:pPr>
        <w:spacing w:after="120"/>
        <w:ind w:firstLine="227"/>
      </w:pPr>
      <w:r>
        <w:rPr>
          <w:rFonts w:ascii="Garamond" w:hAnsi="Garamond"/>
          <w:b w:val="0"/>
          <w:i/>
          <w:sz w:val="22"/>
        </w:rPr>
        <w:t>Recovery is not "catching up" academically by a particular age.</w:t>
      </w:r>
    </w:p>
    <w:p>
      <w:pPr>
        <w:spacing w:after="120"/>
        <w:ind w:firstLine="227"/>
      </w:pPr>
      <w:r>
        <w:rPr>
          <w:rFonts w:ascii="Garamond" w:hAnsi="Garamond"/>
          <w:b w:val="0"/>
          <w:i/>
          <w:sz w:val="22"/>
        </w:rPr>
        <w:t>Recovery is not the resolution of every co-occurring condition.</w:t>
      </w:r>
    </w:p>
    <w:p>
      <w:pPr>
        <w:spacing w:after="120"/>
        <w:ind w:firstLine="227"/>
      </w:pPr>
      <w:r>
        <w:rPr>
          <w:rFonts w:ascii="Garamond" w:hAnsi="Garamond"/>
          <w:b w:val="0"/>
          <w:i/>
          <w:sz w:val="22"/>
        </w:rPr>
        <w:t>Recovery is not the disappearance of anxiety as a feature of your child's life. (Anxiety is not the problem. Unmanageable, environment-driven anxiety is the problem.)</w:t>
      </w:r>
    </w:p>
    <w:p>
      <w:pPr>
        <w:spacing w:after="120"/>
        <w:ind w:firstLine="227"/>
      </w:pPr>
      <w:r>
        <w:rPr>
          <w:rFonts w:ascii="Garamond" w:hAnsi="Garamond"/>
          <w:b w:val="0"/>
          <w:i w:val="0"/>
          <w:sz w:val="22"/>
        </w:rPr>
        <w:t>If your child, at the end of this process, has a regulated nervous system, a workable daily routine, an identity that includes interest and competence in something, the ability to ask for help when overwhelmed, and a path toward whichever qualifications they need for the next stage of life — they have recovered. The qualifications can be Functional Skills at 18. The path can be apprenticeship-bound rather than university-bound. The interest can be entirely outside any subject you would have predicted. The recovery is real.</w:t>
      </w:r>
    </w:p>
    <w:p>
      <w:pPr>
        <w:spacing w:before="280" w:after="120"/>
      </w:pPr>
      <w:r>
        <w:rPr>
          <w:rFonts w:ascii="Garamond" w:hAnsi="Garamond"/>
          <w:b/>
          <w:color w:val="1B3A5C"/>
          <w:sz w:val="24"/>
        </w:rPr>
        <w:t>What recovery is made of</w:t>
      </w:r>
    </w:p>
    <w:p>
      <w:pPr>
        <w:spacing w:after="120"/>
        <w:ind w:firstLine="227"/>
      </w:pPr>
      <w:r>
        <w:rPr>
          <w:rFonts w:ascii="Garamond" w:hAnsi="Garamond"/>
          <w:b w:val="0"/>
          <w:i w:val="0"/>
          <w:sz w:val="22"/>
        </w:rPr>
        <w:t>Three things, in roughly this order:</w:t>
      </w:r>
    </w:p>
    <w:p>
      <w:pPr>
        <w:spacing w:after="120"/>
        <w:ind w:firstLine="227"/>
      </w:pPr>
      <w:r>
        <w:rPr>
          <w:rFonts w:ascii="Garamond" w:hAnsi="Garamond"/>
          <w:b/>
          <w:i w:val="0"/>
          <w:sz w:val="22"/>
        </w:rPr>
        <w:t>1. Stability of state. The child spends most of their day in Green (Ventral Vagal). Amber (Sympathetic) becomes the exception, not the baseline. Red (Dorsal Freeze) becomes rare. This is measurable, daily, and is the truest indicator of recovery.</w:t>
      </w:r>
    </w:p>
    <w:p>
      <w:pPr>
        <w:spacing w:after="120"/>
        <w:ind w:firstLine="227"/>
      </w:pPr>
      <w:r>
        <w:rPr>
          <w:rFonts w:ascii="Garamond" w:hAnsi="Garamond"/>
          <w:b/>
          <w:i w:val="0"/>
          <w:sz w:val="22"/>
        </w:rPr>
        <w:t>2. Restoration of interest. Curiosity returns. The child becomes interested in things. The things do not need to be the things you wish they were interested in. The presence of interest itself is the milestone.</w:t>
      </w:r>
    </w:p>
    <w:p>
      <w:pPr>
        <w:spacing w:after="120"/>
        <w:ind w:firstLine="227"/>
      </w:pPr>
      <w:r>
        <w:rPr>
          <w:rFonts w:ascii="Garamond" w:hAnsi="Garamond"/>
          <w:b/>
          <w:i w:val="0"/>
          <w:sz w:val="22"/>
        </w:rPr>
        <w:t>3. The reappearance of agency. The child begins to make decisions — what to wear, what to eat, what to do today, what to learn next — and to live with the consequences of those decisions. This is the developmental task they were deprived of during the crisis. Watching it return is the most precious experience of the entire process.</w:t>
      </w:r>
    </w:p>
    <w:p>
      <w:pPr>
        <w:spacing w:after="120"/>
        <w:ind w:firstLine="227"/>
      </w:pPr>
      <w:r>
        <w:rPr>
          <w:rFonts w:ascii="Garamond" w:hAnsi="Garamond"/>
          <w:b w:val="0"/>
          <w:i w:val="0"/>
          <w:sz w:val="22"/>
        </w:rPr>
        <w:t>When all three are present, regardless of educational status, your child is well.</w:t>
      </w:r>
    </w:p>
    <w:p>
      <w:pPr>
        <w:spacing w:before="280" w:after="120"/>
      </w:pPr>
      <w:r>
        <w:rPr>
          <w:rFonts w:ascii="Garamond" w:hAnsi="Garamond"/>
          <w:b/>
          <w:color w:val="1B3A5C"/>
          <w:sz w:val="24"/>
        </w:rPr>
        <w:t>A note on you</w:t>
      </w:r>
    </w:p>
    <w:p>
      <w:pPr>
        <w:spacing w:after="120"/>
        <w:ind w:firstLine="227"/>
      </w:pPr>
      <w:r>
        <w:rPr>
          <w:rFonts w:ascii="Garamond" w:hAnsi="Garamond"/>
          <w:b w:val="0"/>
          <w:i w:val="0"/>
          <w:sz w:val="22"/>
        </w:rPr>
        <w:t>The recovery in this chapter is the child's. Yours is different.</w:t>
      </w:r>
    </w:p>
    <w:p>
      <w:pPr>
        <w:spacing w:after="120"/>
        <w:ind w:firstLine="227"/>
      </w:pPr>
      <w:r>
        <w:rPr>
          <w:rFonts w:ascii="Garamond" w:hAnsi="Garamond"/>
          <w:b w:val="0"/>
          <w:i w:val="0"/>
          <w:sz w:val="22"/>
        </w:rPr>
        <w:t>You have spent months or years living in a heightened state. The body that has been doing that is owed an enormous repair bill, and the bill does not become payable until the threat is gone. Many parents experience their hardest emotional period in the six months after the legal pathway is secured — not during the fight. This is normal. The fight was suppressing it.</w:t>
      </w:r>
    </w:p>
    <w:p>
      <w:pPr>
        <w:spacing w:after="120"/>
        <w:ind w:firstLine="227"/>
      </w:pPr>
      <w:r>
        <w:rPr>
          <w:rFonts w:ascii="Garamond" w:hAnsi="Garamond"/>
          <w:b w:val="0"/>
          <w:i w:val="0"/>
          <w:sz w:val="22"/>
        </w:rPr>
        <w:t>What helps: therapy, if you can access it (not therapy about being a SEND parent — therapy about you); sleep, repeatedly (the single most important reparative intervention available); one thing that is not about your child (a class, a friendship, a piece of work, a hobby — reclaim one room of your own life); time with other parents who have lived this — the communities listed in the back matter of this book exist for this reason.</w:t>
      </w:r>
    </w:p>
    <w:p>
      <w:pPr>
        <w:spacing w:after="120"/>
        <w:ind w:firstLine="227"/>
      </w:pPr>
      <w:r>
        <w:rPr>
          <w:rFonts w:ascii="Garamond" w:hAnsi="Garamond"/>
          <w:b w:val="0"/>
          <w:i w:val="0"/>
          <w:sz w:val="22"/>
        </w:rPr>
        <w:t>You did not fail your child. You protected them while a hostile system tried to convince you that the protection was the problem. The exhaustion you feel is not weakness; it is the cost of having been right when no one in the room believed you. That cost is owed. Pay it back to yourself slowly.</w:t>
      </w:r>
    </w:p>
    <w:p>
      <w:pPr>
        <w:spacing w:after="120"/>
        <w:ind w:firstLine="227"/>
      </w:pPr>
      <w:r>
        <w:rPr>
          <w:rFonts w:ascii="Garamond" w:hAnsi="Garamond"/>
          <w:b w:val="0"/>
          <w:i w:val="0"/>
          <w:sz w:val="22"/>
        </w:rPr>
        <w:t>The child you saved is here. The parent who saved them deserves to recover too.</w:t>
      </w:r>
    </w:p>
    <w:p>
      <w:r>
        <w:br w:type="page"/>
      </w:r>
    </w:p>
    <w:p>
      <w:pPr>
        <w:spacing w:before="800" w:after="120"/>
        <w:jc w:val="center"/>
      </w:pPr>
      <w:r>
        <w:rPr>
          <w:rFonts w:ascii="Garamond" w:hAnsi="Garamond"/>
          <w:b w:val="0"/>
          <w:i/>
          <w:sz w:val="24"/>
        </w:rPr>
        <w:t>Chapter 14</w:t>
      </w:r>
    </w:p>
    <w:p>
      <w:pPr>
        <w:pStyle w:val="Heading1"/>
        <w:jc w:val="center"/>
      </w:pPr>
      <w:r>
        <w:rPr>
          <w:rFonts w:ascii="Garamond" w:hAnsi="Garamond"/>
        </w:rPr>
        <w:t>Reintegration Without Re-Traumatising</w:t>
      </w:r>
    </w:p>
    <w:p>
      <w:pPr>
        <w:spacing w:after="120"/>
        <w:ind w:firstLine="227"/>
      </w:pPr>
      <w:r>
        <w:rPr>
          <w:rFonts w:ascii="Garamond" w:hAnsi="Garamond"/>
          <w:b w:val="0"/>
          <w:i w:val="0"/>
          <w:sz w:val="22"/>
        </w:rPr>
        <w:t>For some families, the recovery in Chapter 13 is the destination. The child stabilises, finds a path that suits them, completes their qualifications outside mainstream, and proceeds to college, apprenticeship, or further education in their own time. This is not failure. This is not "not coming back". It is a different shape of educational completion, and for many children it is the right one.</w:t>
      </w:r>
    </w:p>
    <w:p>
      <w:pPr>
        <w:spacing w:after="120"/>
        <w:ind w:firstLine="227"/>
      </w:pPr>
      <w:r>
        <w:rPr>
          <w:rFonts w:ascii="Garamond" w:hAnsi="Garamond"/>
          <w:b w:val="0"/>
          <w:i w:val="0"/>
          <w:sz w:val="22"/>
        </w:rPr>
        <w:t>For other families, somewhere during recovery, the question begins to surface: could we try again? Not necessarily a return to the same school. Not necessarily mainstream at all. But the question of whether some kind of structured, social, in-person educational setting could now work — when it could not before.</w:t>
      </w:r>
    </w:p>
    <w:p>
      <w:pPr>
        <w:spacing w:after="120"/>
        <w:ind w:firstLine="227"/>
      </w:pPr>
      <w:r>
        <w:rPr>
          <w:rFonts w:ascii="Garamond" w:hAnsi="Garamond"/>
          <w:b w:val="0"/>
          <w:i w:val="0"/>
          <w:sz w:val="22"/>
        </w:rPr>
        <w:t>This chapter is for the second group, and only for them, and only when the question comes from the right place.</w:t>
      </w:r>
    </w:p>
    <w:p>
      <w:pPr>
        <w:spacing w:before="280" w:after="120"/>
      </w:pPr>
      <w:r>
        <w:rPr>
          <w:rFonts w:ascii="Garamond" w:hAnsi="Garamond"/>
          <w:b/>
          <w:color w:val="1B3A5C"/>
          <w:sz w:val="24"/>
        </w:rPr>
        <w:t>The question that has to come from the child</w:t>
      </w:r>
    </w:p>
    <w:p>
      <w:pPr>
        <w:spacing w:after="120"/>
        <w:ind w:firstLine="227"/>
      </w:pPr>
      <w:r>
        <w:rPr>
          <w:rFonts w:ascii="Garamond" w:hAnsi="Garamond"/>
          <w:b w:val="0"/>
          <w:i w:val="0"/>
          <w:sz w:val="22"/>
        </w:rPr>
        <w:t>Reintegration begins when the child raises it. Not when you raise it. Not when a hopeful professional raises it. Not when the LA, having funded an EOTAS package for eighteen months, begins to suggest that "we should be thinking about a transition plan now."</w:t>
      </w:r>
    </w:p>
    <w:p>
      <w:pPr>
        <w:spacing w:after="120"/>
        <w:ind w:firstLine="227"/>
      </w:pPr>
      <w:r>
        <w:rPr>
          <w:rFonts w:ascii="Garamond" w:hAnsi="Garamond"/>
          <w:b w:val="0"/>
          <w:i w:val="0"/>
          <w:sz w:val="22"/>
        </w:rPr>
        <w:t>If the question is raised by an adult — including you — and the child does not raise it spontaneously within a fortnight of that conversation, the question is too early. Drop it. Wait. The damage done by premature reintegration attempts is severe, well-documented, and difficult to repair.</w:t>
      </w:r>
    </w:p>
    <w:p>
      <w:pPr>
        <w:spacing w:after="120"/>
        <w:ind w:firstLine="227"/>
      </w:pPr>
      <w:r>
        <w:rPr>
          <w:rFonts w:ascii="Garamond" w:hAnsi="Garamond"/>
          <w:b w:val="0"/>
          <w:i w:val="0"/>
          <w:sz w:val="22"/>
        </w:rPr>
        <w:t>When the child raises it, the question itself is the milestone. Whether the reintegration happens is now a series of careful, child-led decisions. The window does not have to be used today. It does have to be respected.</w:t>
      </w:r>
    </w:p>
    <w:p>
      <w:pPr>
        <w:spacing w:before="280" w:after="120"/>
      </w:pPr>
      <w:r>
        <w:rPr>
          <w:rFonts w:ascii="Garamond" w:hAnsi="Garamond"/>
          <w:b/>
          <w:color w:val="1B3A5C"/>
          <w:sz w:val="24"/>
        </w:rPr>
        <w:t>What a successful reintegration looks like</w:t>
      </w:r>
    </w:p>
    <w:p>
      <w:pPr>
        <w:spacing w:after="120"/>
        <w:ind w:firstLine="227"/>
      </w:pPr>
      <w:r>
        <w:rPr>
          <w:rFonts w:ascii="Garamond" w:hAnsi="Garamond"/>
          <w:b w:val="0"/>
          <w:i w:val="0"/>
          <w:sz w:val="22"/>
        </w:rPr>
        <w:t>A child who reintegrates well in this framework typically:</w:t>
      </w:r>
    </w:p>
    <w:p>
      <w:pPr>
        <w:spacing w:after="120"/>
        <w:ind w:firstLine="227"/>
      </w:pPr>
      <w:r>
        <w:rPr>
          <w:rFonts w:ascii="Garamond" w:hAnsi="Garamond"/>
          <w:b w:val="0"/>
          <w:i/>
          <w:sz w:val="22"/>
        </w:rPr>
        <w:t>Has been in stable Green state for at least three months</w:t>
      </w:r>
    </w:p>
    <w:p>
      <w:pPr>
        <w:spacing w:after="120"/>
        <w:ind w:firstLine="227"/>
      </w:pPr>
      <w:r>
        <w:rPr>
          <w:rFonts w:ascii="Garamond" w:hAnsi="Garamond"/>
          <w:b w:val="0"/>
          <w:i/>
          <w:sz w:val="22"/>
        </w:rPr>
        <w:t>Has identified an interest that connects to something an external setting offers (a college course, a specialist provision, a flexi-school arrangement, a small alternative provision unit)</w:t>
      </w:r>
    </w:p>
    <w:p>
      <w:pPr>
        <w:spacing w:after="120"/>
        <w:ind w:firstLine="227"/>
      </w:pPr>
      <w:r>
        <w:rPr>
          <w:rFonts w:ascii="Garamond" w:hAnsi="Garamond"/>
          <w:b w:val="0"/>
          <w:i/>
          <w:sz w:val="22"/>
        </w:rPr>
        <w:t>Has visited the setting, with you, with no obligation, and felt curious afterwards rather than overwhelmed</w:t>
      </w:r>
    </w:p>
    <w:p>
      <w:pPr>
        <w:spacing w:after="120"/>
        <w:ind w:firstLine="227"/>
      </w:pPr>
      <w:r>
        <w:rPr>
          <w:rFonts w:ascii="Garamond" w:hAnsi="Garamond"/>
          <w:b w:val="0"/>
          <w:i/>
          <w:sz w:val="22"/>
        </w:rPr>
        <w:t>Has a clear exit strategy if it doesn't work — and knows about it</w:t>
      </w:r>
    </w:p>
    <w:p>
      <w:pPr>
        <w:spacing w:after="120"/>
        <w:ind w:firstLine="227"/>
      </w:pPr>
      <w:r>
        <w:rPr>
          <w:rFonts w:ascii="Garamond" w:hAnsi="Garamond"/>
          <w:b w:val="0"/>
          <w:i w:val="0"/>
          <w:sz w:val="22"/>
        </w:rPr>
        <w:t>The key features: low-demand entry, parental presence at the start, an explicit and unconditional exit, and a setting matched to the child rather than the setting that was previously the problem.</w:t>
      </w:r>
    </w:p>
    <w:p>
      <w:pPr>
        <w:spacing w:before="280" w:after="120"/>
      </w:pPr>
      <w:r>
        <w:rPr>
          <w:rFonts w:ascii="Garamond" w:hAnsi="Garamond"/>
          <w:b/>
          <w:color w:val="1B3A5C"/>
          <w:sz w:val="24"/>
        </w:rPr>
        <w:t>Five things to do — and not do</w:t>
      </w:r>
    </w:p>
    <w:p>
      <w:pPr>
        <w:spacing w:after="120"/>
        <w:ind w:firstLine="227"/>
      </w:pPr>
      <w:r>
        <w:rPr>
          <w:rFonts w:ascii="Garamond" w:hAnsi="Garamond"/>
          <w:b/>
          <w:i w:val="0"/>
          <w:sz w:val="22"/>
        </w:rPr>
        <w:t>1. Do not return to the same school.</w:t>
      </w:r>
    </w:p>
    <w:p>
      <w:pPr>
        <w:spacing w:after="120"/>
        <w:ind w:firstLine="227"/>
      </w:pPr>
      <w:r>
        <w:rPr>
          <w:rFonts w:ascii="Garamond" w:hAnsi="Garamond"/>
          <w:b w:val="0"/>
          <w:i w:val="0"/>
          <w:sz w:val="22"/>
        </w:rPr>
        <w:t>This sentence will be the most resisted by professionals. Schools and LAs often push for "re-engagement with the original setting" because it is administratively cleanest. It is also nearly always wrong. The building, the staff, the corridors, the timetable — all are still tagged in your child's nervous system as the source of harm. The previous environment is contraindicated.</w:t>
      </w:r>
    </w:p>
    <w:p>
      <w:pPr>
        <w:spacing w:after="120"/>
        <w:ind w:firstLine="227"/>
      </w:pPr>
      <w:r>
        <w:rPr>
          <w:rFonts w:ascii="Garamond" w:hAnsi="Garamond"/>
          <w:b/>
          <w:i w:val="0"/>
          <w:sz w:val="22"/>
        </w:rPr>
        <w:t>2. Pilot with a single touchpoint.</w:t>
      </w:r>
    </w:p>
    <w:p>
      <w:pPr>
        <w:spacing w:after="120"/>
        <w:ind w:firstLine="227"/>
      </w:pPr>
      <w:r>
        <w:rPr>
          <w:rFonts w:ascii="Garamond" w:hAnsi="Garamond"/>
          <w:b w:val="0"/>
          <w:i w:val="0"/>
          <w:sz w:val="22"/>
        </w:rPr>
        <w:t>A two-hour-per-week interest class. A one-day-per-week course at a small alternative provision. A weekly tutoring session in a setting that is not the home. One touchpoint is the experiment. If it works, the next experiment can begin. Two or three touchpoints at once is too much.</w:t>
      </w:r>
    </w:p>
    <w:p>
      <w:pPr>
        <w:spacing w:after="120"/>
        <w:ind w:firstLine="227"/>
      </w:pPr>
      <w:r>
        <w:rPr>
          <w:rFonts w:ascii="Garamond" w:hAnsi="Garamond"/>
          <w:b/>
          <w:i w:val="0"/>
          <w:sz w:val="22"/>
        </w:rPr>
        <w:t>3. Build in unconditional exits from the beginning.</w:t>
      </w:r>
    </w:p>
    <w:p>
      <w:pPr>
        <w:spacing w:after="120"/>
        <w:ind w:firstLine="227"/>
      </w:pPr>
      <w:r>
        <w:rPr>
          <w:rFonts w:ascii="Garamond" w:hAnsi="Garamond"/>
          <w:b w:val="0"/>
          <w:i w:val="0"/>
          <w:sz w:val="22"/>
        </w:rPr>
        <w:t>The child must know, from before the first session, that if they need to leave, they can leave, with no negotiation, no disappointment, and no consequence. Write this into the arrangement. Tell the provider. Tell the child you have told the provider. The unconditional exit is what makes the entry possible.</w:t>
      </w:r>
    </w:p>
    <w:p>
      <w:pPr>
        <w:spacing w:after="120"/>
        <w:ind w:firstLine="227"/>
      </w:pPr>
      <w:r>
        <w:rPr>
          <w:rFonts w:ascii="Garamond" w:hAnsi="Garamond"/>
          <w:b/>
          <w:i w:val="0"/>
          <w:sz w:val="22"/>
        </w:rPr>
        <w:t>4. Watch for the masking signal.</w:t>
      </w:r>
    </w:p>
    <w:p>
      <w:pPr>
        <w:spacing w:after="120"/>
        <w:ind w:firstLine="227"/>
      </w:pPr>
      <w:r>
        <w:rPr>
          <w:rFonts w:ascii="Garamond" w:hAnsi="Garamond"/>
          <w:b w:val="0"/>
          <w:i w:val="0"/>
          <w:sz w:val="22"/>
        </w:rPr>
        <w:t>A child who has been out of formal settings for a long time, returning to one, will sometimes appear to manage beautifully and then collapse forty-eight hours later. This is not "doing well, then having a bad day". It is masking followed by post-mask exhaustion. If your child reports that the new setting is fine and then sleeps for twelve hours on each of the next two days, the setting is not fine. Cut the dose.</w:t>
      </w:r>
    </w:p>
    <w:p>
      <w:pPr>
        <w:spacing w:after="120"/>
        <w:ind w:firstLine="227"/>
      </w:pPr>
      <w:r>
        <w:rPr>
          <w:rFonts w:ascii="Garamond" w:hAnsi="Garamond"/>
          <w:b/>
          <w:i w:val="0"/>
          <w:sz w:val="22"/>
        </w:rPr>
        <w:t>5. Do not treat reintegration as proof of recovery.</w:t>
      </w:r>
    </w:p>
    <w:p>
      <w:pPr>
        <w:spacing w:after="120"/>
        <w:ind w:firstLine="227"/>
      </w:pPr>
      <w:r>
        <w:rPr>
          <w:rFonts w:ascii="Garamond" w:hAnsi="Garamond"/>
          <w:b w:val="0"/>
          <w:i w:val="0"/>
          <w:sz w:val="22"/>
        </w:rPr>
        <w:t>This is the most important point in this chapter. A child returning to a formal setting is not "now recovered, because they are back in school". They are a recovered child experimenting with a new environment. The recovery did the work. The setting is the test. If the test fails, the recovery is not undone — only the test is.</w:t>
      </w:r>
    </w:p>
    <w:p>
      <w:pPr>
        <w:spacing w:before="280" w:after="120"/>
      </w:pPr>
      <w:r>
        <w:rPr>
          <w:rFonts w:ascii="Garamond" w:hAnsi="Garamond"/>
          <w:b/>
          <w:color w:val="1B3A5C"/>
          <w:sz w:val="24"/>
        </w:rPr>
        <w:t>When reintegration does not happen</w:t>
      </w:r>
    </w:p>
    <w:p>
      <w:pPr>
        <w:spacing w:after="120"/>
        <w:ind w:firstLine="227"/>
      </w:pPr>
      <w:r>
        <w:rPr>
          <w:rFonts w:ascii="Garamond" w:hAnsi="Garamond"/>
          <w:b w:val="0"/>
          <w:i w:val="0"/>
          <w:sz w:val="22"/>
        </w:rPr>
        <w:t>For many children in this book's audience, reintegration to any formal setting will not happen on a standard timeline. Some will go directly from EOTAS to college at 16. Some will go directly from elective home education to apprenticeship at 17. Some will arrive at university at 19 or 20 after no formal schooling at all.</w:t>
      </w:r>
    </w:p>
    <w:p>
      <w:pPr>
        <w:spacing w:after="120"/>
        <w:ind w:firstLine="227"/>
      </w:pPr>
      <w:r>
        <w:rPr>
          <w:rFonts w:ascii="Garamond" w:hAnsi="Garamond"/>
          <w:b w:val="0"/>
          <w:i w:val="0"/>
          <w:sz w:val="22"/>
        </w:rPr>
        <w:t>All of these are successful outcomes. None of them constitutes failure to reintegrate. The marker of success is not the building the child enters; it is the life they go on to build.</w:t>
      </w:r>
    </w:p>
    <w:p>
      <w:pPr>
        <w:spacing w:after="120"/>
        <w:ind w:firstLine="227"/>
      </w:pPr>
      <w:r>
        <w:rPr>
          <w:rFonts w:ascii="Garamond" w:hAnsi="Garamond"/>
          <w:b w:val="0"/>
          <w:i w:val="0"/>
          <w:sz w:val="22"/>
        </w:rPr>
        <w:t>The original myth — that mainstream school is the necessary precondition for a viable adult life — is what put many of these children in crisis in the first place. The remedy is not to spend the recovery period trying to revive the myth. The remedy is to let the child build the life that fits them, supported by people who can read what fits.</w:t>
      </w:r>
    </w:p>
    <w:p>
      <w:pPr>
        <w:spacing w:after="120"/>
        <w:ind w:firstLine="227"/>
      </w:pPr>
      <w:r>
        <w:rPr>
          <w:rFonts w:ascii="Garamond" w:hAnsi="Garamond"/>
          <w:b w:val="0"/>
          <w:i w:val="0"/>
          <w:sz w:val="22"/>
        </w:rPr>
        <w:t>That is the long game. It is not a return. It is a continuation, on different ground, of the same child you have been protecting all along.</w:t>
      </w:r>
    </w:p>
    <w:p>
      <w:pPr>
        <w:spacing w:before="480" w:after="120"/>
        <w:jc w:val="center"/>
      </w:pPr>
      <w:r>
        <w:rPr>
          <w:color w:val="6B7280"/>
          <w:sz w:val="16"/>
        </w:rPr>
        <w:t>──────────────────────────────────────────────────</w:t>
      </w:r>
    </w:p>
    <w:p>
      <w:pPr>
        <w:spacing w:after="160"/>
      </w:pPr>
      <w:r>
        <w:rPr>
          <w:rFonts w:ascii="Garamond" w:hAnsi="Garamond"/>
          <w:b/>
          <w:color w:val="1B3A5C"/>
          <w:sz w:val="24"/>
        </w:rPr>
        <w:t>You don't have to do this alone.</w:t>
      </w:r>
    </w:p>
    <w:p>
      <w:pPr>
        <w:spacing w:after="120"/>
      </w:pPr>
      <w:r>
        <w:rPr>
          <w:rFonts w:ascii="Garamond" w:hAnsi="Garamond"/>
          <w:sz w:val="20"/>
        </w:rPr>
        <w:t>This book gives you the tools, the language, and the legal pathways. Used in sequence, they work.</w:t>
      </w:r>
    </w:p>
    <w:p>
      <w:pPr>
        <w:spacing w:after="120"/>
      </w:pPr>
      <w:r>
        <w:rPr>
          <w:rFonts w:ascii="Garamond" w:hAnsi="Garamond"/>
          <w:sz w:val="20"/>
        </w:rPr>
        <w:t>If at any point along the way you would rather not do this alone — at any chapter, at any stage — that is what SEND Navigate exists for.</w:t>
      </w:r>
    </w:p>
    <w:p>
      <w:pPr>
        <w:spacing w:after="120"/>
      </w:pPr>
      <w:r>
        <w:rPr>
          <w:rFonts w:ascii="Garamond" w:hAnsi="Garamond"/>
          <w:sz w:val="20"/>
        </w:rPr>
        <w:t>Every engagement begins with a free fifteen-minute call. No pressure. No sales pitch. Just an honest conversation about where you are and what would help next.</w:t>
      </w:r>
    </w:p>
    <w:p>
      <w:pPr>
        <w:spacing w:after="120"/>
      </w:pPr>
      <w:r>
        <w:rPr>
          <w:rFonts w:ascii="Garamond" w:hAnsi="Garamond"/>
          <w:sz w:val="20"/>
        </w:rPr>
        <w:t>Family support packages run from £160 to £2,400, scoped to the actual case — never to the urgency of the moment.</w:t>
      </w:r>
    </w:p>
    <w:p>
      <w:pPr>
        <w:spacing w:before="80" w:after="80"/>
      </w:pPr>
      <w:r>
        <w:rPr>
          <w:rFonts w:ascii="Garamond" w:hAnsi="Garamond"/>
          <w:b/>
          <w:sz w:val="20"/>
        </w:rPr>
        <w:t>sendnavigate.org/book</w:t>
      </w:r>
    </w:p>
    <w:p>
      <w:pPr>
        <w:spacing w:after="80"/>
      </w:pPr>
      <w:r>
        <w:rPr>
          <w:rFonts w:ascii="Garamond" w:hAnsi="Garamond"/>
          <w:i/>
          <w:sz w:val="20"/>
        </w:rPr>
        <w:t>— Stephen Mallett</w:t>
      </w:r>
    </w:p>
    <w:p>
      <w:pPr>
        <w:spacing w:after="360"/>
        <w:jc w:val="center"/>
      </w:pPr>
      <w:r>
        <w:rPr>
          <w:color w:val="6B7280"/>
          <w:sz w:val="16"/>
        </w:rPr>
        <w:t>──────────────────────────────────────────────────</w:t>
      </w:r>
    </w:p>
    <w:p>
      <w:r>
        <w:br w:type="page"/>
      </w:r>
    </w:p>
    <w:p>
      <w:pPr>
        <w:spacing w:before="800" w:after="120"/>
        <w:jc w:val="center"/>
      </w:pPr>
      <w:r>
        <w:rPr>
          <w:rFonts w:ascii="Garamond" w:hAnsi="Garamond"/>
          <w:b w:val="0"/>
          <w:i/>
          <w:sz w:val="24"/>
        </w:rPr>
        <w:t>Chapter 15</w:t>
      </w:r>
    </w:p>
    <w:p>
      <w:pPr>
        <w:pStyle w:val="Heading1"/>
        <w:jc w:val="center"/>
      </w:pPr>
      <w:r>
        <w:rPr>
          <w:rFonts w:ascii="Garamond" w:hAnsi="Garamond"/>
        </w:rPr>
        <w:t>The Other Side of the Table</w:t>
      </w:r>
    </w:p>
    <w:p>
      <w:pPr>
        <w:spacing w:before="0" w:after="360"/>
        <w:jc w:val="center"/>
      </w:pPr>
      <w:r>
        <w:rPr>
          <w:rFonts w:ascii="Garamond" w:hAnsi="Garamond"/>
          <w:b w:val="0"/>
          <w:i/>
          <w:sz w:val="22"/>
        </w:rPr>
        <w:t>When the adults around them know</w:t>
      </w:r>
    </w:p>
    <w:p>
      <w:pPr>
        <w:spacing w:after="120"/>
        <w:ind w:firstLine="227"/>
      </w:pPr>
      <w:r>
        <w:rPr>
          <w:rFonts w:ascii="Garamond" w:hAnsi="Garamond"/>
          <w:b w:val="0"/>
          <w:i w:val="0"/>
          <w:sz w:val="22"/>
        </w:rPr>
        <w:t>This is the last chapter of this book, and it is the one that does not belong to you alone.</w:t>
      </w:r>
    </w:p>
    <w:p>
      <w:pPr>
        <w:spacing w:after="120"/>
        <w:ind w:firstLine="227"/>
      </w:pPr>
      <w:r>
        <w:rPr>
          <w:rFonts w:ascii="Garamond" w:hAnsi="Garamond"/>
          <w:b w:val="0"/>
          <w:i w:val="0"/>
          <w:sz w:val="22"/>
        </w:rPr>
        <w:t>Every other chapter has been written for you, the parent — the person at the kitchen table at 7am, the person on the receiving end of letters from the LA, the person whose child cannot get out of bed. You have learned, by now, more about education law and nervous system regulation than ninety per cent of the people who staff your child's school. You have learned to read your child's state. You have learned to write emails that protect rather than expose. You have learned the case law that obliges your Local Authority to do its job.</w:t>
      </w:r>
    </w:p>
    <w:p>
      <w:pPr>
        <w:spacing w:after="120"/>
        <w:ind w:firstLine="227"/>
      </w:pPr>
      <w:r>
        <w:rPr>
          <w:rFonts w:ascii="Garamond" w:hAnsi="Garamond"/>
          <w:b w:val="0"/>
          <w:i w:val="0"/>
          <w:sz w:val="22"/>
        </w:rPr>
        <w:t>You have, in other words, become very good at navigating a system that did not need to be navigated like this in the first place.</w:t>
      </w:r>
    </w:p>
    <w:p>
      <w:pPr>
        <w:spacing w:after="120"/>
        <w:ind w:firstLine="227"/>
      </w:pPr>
      <w:r>
        <w:rPr>
          <w:rFonts w:ascii="Garamond" w:hAnsi="Garamond"/>
          <w:b w:val="0"/>
          <w:i w:val="0"/>
          <w:sz w:val="22"/>
        </w:rPr>
        <w:t>This chapter is about that fact. About why the system requires this much skill from parents. And about what could change, in one small structural way, that would mean fewer parents in the future need to learn what you have just learned.</w:t>
      </w:r>
    </w:p>
    <w:p>
      <w:pPr>
        <w:spacing w:before="280" w:after="120"/>
      </w:pPr>
      <w:r>
        <w:rPr>
          <w:rFonts w:ascii="Garamond" w:hAnsi="Garamond"/>
          <w:b/>
          <w:color w:val="1B3A5C"/>
          <w:sz w:val="24"/>
        </w:rPr>
        <w:t>Why this gap exists</w:t>
      </w:r>
    </w:p>
    <w:p>
      <w:pPr>
        <w:spacing w:after="120"/>
        <w:ind w:firstLine="227"/>
      </w:pPr>
      <w:r>
        <w:rPr>
          <w:rFonts w:ascii="Garamond" w:hAnsi="Garamond"/>
          <w:b w:val="0"/>
          <w:i w:val="0"/>
          <w:sz w:val="22"/>
        </w:rPr>
        <w:t>In the United Kingdom, under the Health and Care Act 2022, autism and learning-disability training is a statutory requirement for every member of NHS and adult social care staff. Every clinician, every receptionist, every administrator in an NHS setting must complete the Oliver McGowan Mandatory Training, named for a teenager whose death revealed how dangerous it is when professionals do not understand the people they are serving.</w:t>
      </w:r>
    </w:p>
    <w:p>
      <w:pPr>
        <w:spacing w:after="120"/>
        <w:ind w:firstLine="227"/>
      </w:pPr>
      <w:r>
        <w:rPr>
          <w:rFonts w:ascii="Garamond" w:hAnsi="Garamond"/>
          <w:b w:val="0"/>
          <w:i w:val="0"/>
          <w:sz w:val="22"/>
        </w:rPr>
        <w:t>In schools — where most neurodivergent children spend most of their week — the same training is not statutory.</w:t>
      </w:r>
    </w:p>
    <w:p>
      <w:pPr>
        <w:spacing w:after="120"/>
        <w:ind w:firstLine="227"/>
      </w:pPr>
      <w:r>
        <w:rPr>
          <w:rFonts w:ascii="Garamond" w:hAnsi="Garamond"/>
          <w:b w:val="0"/>
          <w:i w:val="0"/>
          <w:sz w:val="22"/>
        </w:rPr>
        <w:t>The consequence is observable. Almost a quarter of mainstream school staff have received no neurodiversity training at all. Over sixty per cent of teachers report feeling unprepared to support pupils with SEND after their initial training. NHS waiting lists for ADHD and autism assessments routinely exceed two years. During that wait, a child sits in a mainstream classroom with unmet needs — and at significantly elevated risk of internal exclusion, fixed-term exclusion, and the kind of breakdown this book has been about.</w:t>
      </w:r>
    </w:p>
    <w:p>
      <w:pPr>
        <w:spacing w:after="120"/>
        <w:ind w:firstLine="227"/>
      </w:pPr>
      <w:r>
        <w:rPr>
          <w:rFonts w:ascii="Garamond" w:hAnsi="Garamond"/>
          <w:b w:val="0"/>
          <w:i w:val="0"/>
          <w:sz w:val="22"/>
        </w:rPr>
        <w:t>This is not a story of bad teachers. It is a story of an enormous structural mismatch between what classrooms now contain and what classroom staff have been trained to recognise.</w:t>
      </w:r>
    </w:p>
    <w:p>
      <w:pPr>
        <w:spacing w:after="120"/>
        <w:ind w:firstLine="227"/>
      </w:pPr>
      <w:r>
        <w:rPr>
          <w:rFonts w:ascii="Garamond" w:hAnsi="Garamond"/>
          <w:b w:val="0"/>
          <w:i w:val="0"/>
          <w:sz w:val="22"/>
        </w:rPr>
        <w:t>When a Teaching Assistant is sitting with a child in lesson three on a Tuesday, and the child is becoming dysregulated, and the TA has never been taught what dysregulation looks like or how to respond to it — the system has produced a predictable bad outcome, not a failure of the individual TA. The same TA, equipped with twenty hours of high-quality SEND training, becomes one of the most important people in your child's recovery. The training is the variable.</w:t>
      </w:r>
    </w:p>
    <w:p>
      <w:pPr>
        <w:spacing w:before="280" w:after="120"/>
      </w:pPr>
      <w:r>
        <w:rPr>
          <w:rFonts w:ascii="Garamond" w:hAnsi="Garamond"/>
          <w:b/>
          <w:color w:val="1B3A5C"/>
          <w:sz w:val="24"/>
        </w:rPr>
        <w:t>What is true about your child's school today</w:t>
      </w:r>
    </w:p>
    <w:p>
      <w:pPr>
        <w:spacing w:after="120"/>
        <w:ind w:firstLine="227"/>
      </w:pPr>
      <w:r>
        <w:rPr>
          <w:rFonts w:ascii="Garamond" w:hAnsi="Garamond"/>
          <w:b w:val="0"/>
          <w:i w:val="0"/>
          <w:sz w:val="22"/>
        </w:rPr>
        <w:t>Most schools are working hard. Most are also working from training that is too thin, too theoretical, and too distant from the classroom.</w:t>
      </w:r>
    </w:p>
    <w:p>
      <w:pPr>
        <w:spacing w:after="120"/>
        <w:ind w:firstLine="227"/>
      </w:pPr>
      <w:r>
        <w:rPr>
          <w:rFonts w:ascii="Garamond" w:hAnsi="Garamond"/>
          <w:b w:val="0"/>
          <w:i w:val="0"/>
          <w:sz w:val="22"/>
        </w:rPr>
        <w:t>This is the gap you have been compensating for. Every time you have walked into a meeting and used the phrase "Dorsal Vagal," every time you have explained the difference between Won't and Can't, every time you have sent a Section 19 letter — you have been doing the work the system should have equipped the adults in your child's school to do.</w:t>
      </w:r>
    </w:p>
    <w:p>
      <w:pPr>
        <w:spacing w:after="120"/>
        <w:ind w:firstLine="227"/>
      </w:pPr>
      <w:r>
        <w:rPr>
          <w:rFonts w:ascii="Garamond" w:hAnsi="Garamond"/>
          <w:b w:val="0"/>
          <w:i w:val="0"/>
          <w:sz w:val="22"/>
        </w:rPr>
        <w:t>It is exhausting. It is also unsustainable as a model. The numbers of children unable to access mainstream school are now too large for parents alone to be the system's compensating layer.</w:t>
      </w:r>
    </w:p>
    <w:p>
      <w:pPr>
        <w:spacing w:after="120"/>
        <w:ind w:firstLine="227"/>
      </w:pPr>
      <w:r>
        <w:rPr>
          <w:rFonts w:ascii="Garamond" w:hAnsi="Garamond"/>
          <w:b w:val="0"/>
          <w:i w:val="0"/>
          <w:sz w:val="22"/>
        </w:rPr>
        <w:t>The remedy is not to expect more from parents. The remedy is to equip the schools.</w:t>
      </w:r>
    </w:p>
    <w:p>
      <w:pPr>
        <w:spacing w:before="280" w:after="120"/>
      </w:pPr>
      <w:r>
        <w:rPr>
          <w:rFonts w:ascii="Garamond" w:hAnsi="Garamond"/>
          <w:b/>
          <w:color w:val="1B3A5C"/>
          <w:sz w:val="24"/>
        </w:rPr>
        <w:t>Two conversations worth having</w:t>
      </w:r>
    </w:p>
    <w:p>
      <w:pPr>
        <w:spacing w:after="120"/>
        <w:ind w:firstLine="227"/>
      </w:pPr>
      <w:r>
        <w:rPr>
          <w:rFonts w:ascii="Garamond" w:hAnsi="Garamond"/>
          <w:b w:val="0"/>
          <w:i w:val="0"/>
          <w:sz w:val="22"/>
        </w:rPr>
        <w:t>If you have a sympathetic SENCo at your child's school — and many SENCos are sympathetic, often more so than their headteachers know — there is a conversation worth having when the time is right.</w:t>
      </w:r>
    </w:p>
    <w:p>
      <w:pPr>
        <w:spacing w:after="120"/>
        <w:ind w:firstLine="227"/>
      </w:pPr>
      <w:r>
        <w:rPr>
          <w:rFonts w:ascii="Garamond" w:hAnsi="Garamond"/>
          <w:b w:val="0"/>
          <w:i w:val="0"/>
          <w:sz w:val="22"/>
        </w:rPr>
        <w:t>It does not need to be confrontational. It does not need to imply criticism of staff. The SENCo, in most cases, is more aware of the training gap than anyone else in the building, and is the person internally pushing for it to be addressed.</w:t>
      </w:r>
    </w:p>
    <w:p>
      <w:pPr>
        <w:spacing w:after="120"/>
        <w:ind w:firstLine="227"/>
      </w:pPr>
      <w:r>
        <w:rPr>
          <w:rFonts w:ascii="Garamond" w:hAnsi="Garamond"/>
          <w:b/>
          <w:i w:val="0"/>
          <w:sz w:val="22"/>
        </w:rPr>
        <w:t>Conversation A — with a sympathetic SENCo:</w:t>
      </w:r>
    </w:p>
    <w:p>
      <w:pPr>
        <w:spacing w:after="120"/>
        <w:ind w:firstLine="227"/>
      </w:pPr>
      <w:r>
        <w:rPr>
          <w:rFonts w:ascii="Garamond" w:hAnsi="Garamond"/>
          <w:b w:val="0"/>
          <w:i/>
          <w:sz w:val="22"/>
        </w:rPr>
        <w:t>"I'm not sure if you're aware, but there's now a SEND training programme designed exactly for situations like ours — built by a former Headteacher and SENCo, intended to be delivered in-house by your SENCo without external trainers. It's called See It. Support It. Teach It. I came across it because the same person wrote a book that has been helping me a lot. It might be worth a look — both for the school generally and for our specific situation."</w:t>
      </w:r>
    </w:p>
    <w:p>
      <w:pPr>
        <w:spacing w:after="120"/>
        <w:ind w:firstLine="227"/>
      </w:pPr>
      <w:r>
        <w:rPr>
          <w:rFonts w:ascii="Garamond" w:hAnsi="Garamond"/>
          <w:b w:val="0"/>
          <w:i w:val="0"/>
          <w:sz w:val="22"/>
        </w:rPr>
        <w:t>That conversation, said once, with the relevant link or a copy of this book passed across the desk, is enough. The SENCo will either pursue it or not. Either way, you have done what you can.</w:t>
      </w:r>
    </w:p>
    <w:p>
      <w:pPr>
        <w:spacing w:after="120"/>
        <w:ind w:firstLine="227"/>
      </w:pPr>
      <w:r>
        <w:rPr>
          <w:rFonts w:ascii="Garamond" w:hAnsi="Garamond"/>
          <w:b/>
          <w:i w:val="0"/>
          <w:sz w:val="22"/>
        </w:rPr>
        <w:t>Conversation B — with a defensive school:</w:t>
      </w:r>
    </w:p>
    <w:p>
      <w:pPr>
        <w:spacing w:after="120"/>
        <w:ind w:firstLine="227"/>
      </w:pPr>
      <w:r>
        <w:rPr>
          <w:rFonts w:ascii="Garamond" w:hAnsi="Garamond"/>
          <w:b w:val="0"/>
          <w:i/>
          <w:sz w:val="22"/>
        </w:rPr>
        <w:t>"My understanding is that the new Ofsted framework expects schools to evidence that all staff are equipped to identify and meet SEND in the mainstream classroom. I'd be interested to know what training is in place for that. There's a programme called See It. Support It. Teach It. designed specifically for this — it's licensed to schools and is intended for in-house delivery."</w:t>
      </w:r>
    </w:p>
    <w:p>
      <w:pPr>
        <w:spacing w:after="120"/>
        <w:ind w:firstLine="227"/>
      </w:pPr>
      <w:r>
        <w:rPr>
          <w:rFonts w:ascii="Garamond" w:hAnsi="Garamond"/>
          <w:b w:val="0"/>
          <w:i w:val="0"/>
          <w:sz w:val="22"/>
        </w:rPr>
        <w:t>You are not selling them anything. You are pointing them at a resource that exists and that aligns with their statutory and inspection responsibilities. The information itself is what the school needs. What they do with it is theirs.</w:t>
      </w:r>
    </w:p>
    <w:p>
      <w:pPr>
        <w:spacing w:before="280" w:after="120"/>
      </w:pPr>
      <w:r>
        <w:rPr>
          <w:rFonts w:ascii="Garamond" w:hAnsi="Garamond"/>
          <w:b/>
          <w:color w:val="1B3A5C"/>
          <w:sz w:val="24"/>
        </w:rPr>
        <w:t>A note on SEND Navigate</w:t>
      </w:r>
    </w:p>
    <w:p>
      <w:pPr>
        <w:spacing w:after="120"/>
        <w:ind w:firstLine="227"/>
      </w:pPr>
      <w:r>
        <w:rPr>
          <w:rFonts w:ascii="Garamond" w:hAnsi="Garamond"/>
          <w:b w:val="0"/>
          <w:i w:val="0"/>
          <w:sz w:val="22"/>
        </w:rPr>
        <w:t>The training programme mentioned above is one half of what SEND Navigate does.</w:t>
      </w:r>
    </w:p>
    <w:p>
      <w:pPr>
        <w:spacing w:after="120"/>
        <w:ind w:firstLine="227"/>
      </w:pPr>
      <w:r>
        <w:rPr>
          <w:rFonts w:ascii="Garamond" w:hAnsi="Garamond"/>
          <w:b w:val="0"/>
          <w:i w:val="0"/>
          <w:sz w:val="22"/>
        </w:rPr>
        <w:t>This book has signposted the other half throughout — family advisory and tribunal support for parents navigating EHCPs, refusals, and the rest of the statutory pathway. The two arms exist because of the same underlying observation. The gap between what the law expects and what families and schools have been equipped to deliver is too wide. Closing it requires work on both sides of the table.</w:t>
      </w:r>
    </w:p>
    <w:p>
      <w:pPr>
        <w:spacing w:after="120"/>
        <w:ind w:firstLine="227"/>
      </w:pPr>
      <w:r>
        <w:rPr>
          <w:rFonts w:ascii="Garamond" w:hAnsi="Garamond"/>
          <w:b w:val="0"/>
          <w:i w:val="0"/>
          <w:sz w:val="22"/>
        </w:rPr>
        <w:t>The training programme — See It. Support It. Teach It. — is three modules: identifying SEND presentation in the classroom, applying practical in-the-moment adjustments, and embedding SEND-aware practice as a regular part of teaching. It is licensed to schools for £799 and to MATs in the £1,799 to £2,999 range, with no per-user fees and no requirement for an external trainer. A SENCo can deliver it themselves. The programme is grounded in the EEF Five-a-Day and in Positive Behaviour Support — frameworks most schools will already recognise — and aligns with the recent DfE £200m teacher-training initiative and the £1.8bn Experts at Hand fund.</w:t>
      </w:r>
    </w:p>
    <w:p>
      <w:pPr>
        <w:spacing w:after="120"/>
        <w:ind w:firstLine="227"/>
      </w:pPr>
      <w:r>
        <w:rPr>
          <w:rFonts w:ascii="Garamond" w:hAnsi="Garamond"/>
          <w:b w:val="0"/>
          <w:i w:val="0"/>
          <w:sz w:val="22"/>
        </w:rPr>
        <w:t>A one-page overview of the programme is available at sendnavigate.org. A free sample module is available on request. You are welcome to forward this chapter, or this book, to anyone in your child's school who you think might find it useful.</w:t>
      </w:r>
    </w:p>
    <w:p>
      <w:pPr>
        <w:spacing w:after="120"/>
        <w:ind w:firstLine="227"/>
      </w:pPr>
      <w:r>
        <w:rPr>
          <w:rFonts w:ascii="Garamond" w:hAnsi="Garamond"/>
          <w:b w:val="0"/>
          <w:i w:val="0"/>
          <w:sz w:val="22"/>
        </w:rPr>
        <w:t>If they ask, the person to speak to is me. Stephen Mallett. The same person who wrote this book.</w:t>
      </w:r>
    </w:p>
    <w:p>
      <w:pPr>
        <w:spacing w:before="280" w:after="120"/>
      </w:pPr>
      <w:r>
        <w:rPr>
          <w:rFonts w:ascii="Garamond" w:hAnsi="Garamond"/>
          <w:b/>
          <w:color w:val="1B3A5C"/>
          <w:sz w:val="24"/>
        </w:rPr>
        <w:t>What changes when adults know</w:t>
      </w:r>
    </w:p>
    <w:p>
      <w:pPr>
        <w:spacing w:after="120"/>
        <w:ind w:firstLine="227"/>
      </w:pPr>
      <w:r>
        <w:rPr>
          <w:rFonts w:ascii="Garamond" w:hAnsi="Garamond"/>
          <w:b w:val="0"/>
          <w:i w:val="0"/>
          <w:sz w:val="22"/>
        </w:rPr>
        <w:t>When the adults in a classroom understand what they are looking at, the child's day is different by 9.30am.</w:t>
      </w:r>
    </w:p>
    <w:p>
      <w:pPr>
        <w:spacing w:after="120"/>
        <w:ind w:firstLine="227"/>
      </w:pPr>
      <w:r>
        <w:rPr>
          <w:rFonts w:ascii="Garamond" w:hAnsi="Garamond"/>
          <w:b w:val="0"/>
          <w:i w:val="0"/>
          <w:sz w:val="22"/>
        </w:rPr>
        <w:t>There is no Section 19 letter that achieves what a trained Teaching Assistant achieves quietly, in lesson three on a Tuesday, simply by knowing how to read a child's state and respond to it. There is no EHCP, however well-written, that compensates for staff who have not been taught how to deliver the provision the plan describes. There is no tribunal win that gets a child back into a school where the staff still do not understand them.</w:t>
      </w:r>
    </w:p>
    <w:p>
      <w:pPr>
        <w:spacing w:after="120"/>
        <w:ind w:firstLine="227"/>
      </w:pPr>
      <w:r>
        <w:rPr>
          <w:rFonts w:ascii="Garamond" w:hAnsi="Garamond"/>
          <w:b w:val="0"/>
          <w:i w:val="0"/>
          <w:sz w:val="22"/>
        </w:rPr>
        <w:t>The legal pathways in the rest of this book exist because, too often, the quiet skill at the front of the classroom is missing. The book ends with the modest hope that, one day, it isn't.</w:t>
      </w:r>
    </w:p>
    <w:p>
      <w:pPr>
        <w:spacing w:after="120"/>
        <w:ind w:firstLine="227"/>
      </w:pPr>
      <w:r>
        <w:rPr>
          <w:rFonts w:ascii="Garamond" w:hAnsi="Garamond"/>
          <w:b w:val="0"/>
          <w:i w:val="0"/>
          <w:sz w:val="22"/>
        </w:rPr>
        <w:t>That is the work SEND Navigate exists to do. Not to sell training to schools — and not to charge parents for letters — but to close the gap that means a parent ever has to write a Section 19 letter at all.</w:t>
      </w:r>
    </w:p>
    <w:p>
      <w:pPr>
        <w:spacing w:after="120"/>
        <w:ind w:firstLine="227"/>
      </w:pPr>
      <w:r>
        <w:rPr>
          <w:rFonts w:ascii="Garamond" w:hAnsi="Garamond"/>
          <w:b w:val="0"/>
          <w:i w:val="0"/>
          <w:sz w:val="22"/>
        </w:rPr>
        <w:t>The book you have just read is for parents who are in that gap today. The training is for the schools we hope they will not have to write to tomorrow.</w:t>
      </w:r>
    </w:p>
    <w:p>
      <w:pPr>
        <w:spacing w:after="120"/>
        <w:ind w:firstLine="227"/>
      </w:pPr>
      <w:r>
        <w:rPr>
          <w:rFonts w:ascii="Garamond" w:hAnsi="Garamond"/>
          <w:b w:val="0"/>
          <w:i w:val="0"/>
          <w:sz w:val="22"/>
        </w:rPr>
        <w:t>Thank you for trusting me with your morning.</w:t>
      </w:r>
    </w:p>
    <w:p>
      <w:pPr>
        <w:spacing w:after="120"/>
        <w:jc w:val="right"/>
      </w:pPr>
      <w:r>
        <w:rPr>
          <w:rFonts w:ascii="Garamond" w:hAnsi="Garamond"/>
          <w:b w:val="0"/>
          <w:i/>
          <w:sz w:val="22"/>
        </w:rPr>
        <w:t>— Stephen Mallett</w:t>
      </w:r>
    </w:p>
    <w:p>
      <w:r>
        <w:br w:type="page"/>
      </w:r>
    </w:p>
    <w:p>
      <w:pPr>
        <w:spacing w:before="1600" w:after="0"/>
        <w:jc w:val="center"/>
      </w:pPr>
      <w:r>
        <w:rPr>
          <w:rFonts w:ascii="Garamond" w:hAnsi="Garamond"/>
          <w:b w:val="0"/>
          <w:i w:val="0"/>
          <w:sz w:val="22"/>
        </w:rPr>
      </w:r>
    </w:p>
    <w:p>
      <w:pPr>
        <w:spacing w:before="0" w:after="0"/>
        <w:jc w:val="center"/>
      </w:pPr>
      <w:r>
        <w:rPr>
          <w:rFonts w:ascii="Garamond" w:hAnsi="Garamond"/>
          <w:b/>
          <w:i w:val="0"/>
          <w:sz w:val="36"/>
        </w:rPr>
        <w:t>APPENDICES</w:t>
      </w:r>
    </w:p>
    <w:p>
      <w:r>
        <w:br w:type="page"/>
      </w:r>
    </w:p>
    <w:p>
      <w:pPr>
        <w:pStyle w:val="Heading1"/>
        <w:jc w:val="center"/>
      </w:pPr>
      <w:r>
        <w:rPr>
          <w:rFonts w:ascii="Garamond" w:hAnsi="Garamond"/>
        </w:rPr>
        <w:t>Appendix A — The First 30 Days Protocol (printable)</w:t>
      </w:r>
    </w:p>
    <w:p>
      <w:pPr>
        <w:spacing w:after="120"/>
        <w:ind w:firstLine="227"/>
      </w:pPr>
      <w:r>
        <w:rPr>
          <w:rFonts w:ascii="Garamond" w:hAnsi="Garamond"/>
          <w:b w:val="0"/>
          <w:i/>
          <w:sz w:val="22"/>
        </w:rPr>
        <w:t>This page is designed to be printed and put on the fridge. The detail is in the main text; this is the operational summary.</w:t>
      </w:r>
    </w:p>
    <w:p>
      <w:pPr>
        <w:spacing w:before="280" w:after="120"/>
      </w:pPr>
      <w:r>
        <w:rPr>
          <w:rFonts w:ascii="Garamond" w:hAnsi="Garamond"/>
          <w:b/>
          <w:color w:val="1B3A5C"/>
          <w:sz w:val="24"/>
        </w:rPr>
        <w:t>TODAY</w:t>
      </w:r>
    </w:p>
    <w:p>
      <w:pPr>
        <w:spacing w:after="80"/>
        <w:ind w:left="340" w:hanging="227"/>
      </w:pPr>
      <w:r>
        <w:rPr>
          <w:rFonts w:ascii="Garamond" w:hAnsi="Garamond"/>
          <w:sz w:val="20"/>
        </w:rPr>
        <w:t>☐  Send the medical absence email (Chapter 6, Template 1). Do not call. Email creates a record.</w:t>
      </w:r>
    </w:p>
    <w:p>
      <w:pPr>
        <w:spacing w:after="80"/>
        <w:ind w:left="340" w:hanging="227"/>
      </w:pPr>
      <w:r>
        <w:rPr>
          <w:rFonts w:ascii="Garamond" w:hAnsi="Garamond"/>
          <w:sz w:val="20"/>
        </w:rPr>
        <w:t>☐  Remove every school item from your child's line of sight — uniform, school bag, books, planner. Put them out of the house if possible, in a cupboard if not.</w:t>
      </w:r>
    </w:p>
    <w:p>
      <w:pPr>
        <w:spacing w:after="80"/>
        <w:ind w:left="340" w:hanging="227"/>
      </w:pPr>
      <w:r>
        <w:rPr>
          <w:rFonts w:ascii="Garamond" w:hAnsi="Garamond"/>
          <w:sz w:val="20"/>
        </w:rPr>
        <w:t>☐  Drop every demand that is not directly about your child's physical safety. Sleep when they sleep. Eat what they will eat. Stop asking what they want to do today.</w:t>
      </w:r>
    </w:p>
    <w:p>
      <w:pPr>
        <w:spacing w:after="80"/>
        <w:ind w:left="340" w:hanging="227"/>
      </w:pPr>
      <w:r>
        <w:rPr>
          <w:rFonts w:ascii="Garamond" w:hAnsi="Garamond"/>
          <w:sz w:val="20"/>
        </w:rPr>
        <w:t>☐  Do not raise school, the future, or their feelings. Sit in the same room when you can. That is enough.</w:t>
      </w:r>
    </w:p>
    <w:p>
      <w:pPr>
        <w:spacing w:before="280" w:after="120"/>
      </w:pPr>
      <w:r>
        <w:rPr>
          <w:rFonts w:ascii="Garamond" w:hAnsi="Garamond"/>
          <w:b/>
          <w:color w:val="1B3A5C"/>
          <w:sz w:val="24"/>
        </w:rPr>
        <w:t>THIS WEEK</w:t>
      </w:r>
    </w:p>
    <w:p>
      <w:pPr>
        <w:spacing w:after="80"/>
        <w:ind w:left="340" w:hanging="227"/>
      </w:pPr>
      <w:r>
        <w:rPr>
          <w:rFonts w:ascii="Garamond" w:hAnsi="Garamond"/>
          <w:sz w:val="20"/>
        </w:rPr>
        <w:t>☐  Book a GP appointment. Tell the receptionist this is for an ongoing mental health absence and you need a recurring fit note (Med 3). Ask for a phone review if face-to-face is too much.</w:t>
      </w:r>
    </w:p>
    <w:p>
      <w:pPr>
        <w:spacing w:after="80"/>
        <w:ind w:left="340" w:hanging="227"/>
      </w:pPr>
      <w:r>
        <w:rPr>
          <w:rFonts w:ascii="Garamond" w:hAnsi="Garamond"/>
          <w:sz w:val="20"/>
        </w:rPr>
        <w:t>☐  Start the Symptom and Impact Log (Chapter 7, template). One entry per day. Cold facts. Physiological first.</w:t>
      </w:r>
    </w:p>
    <w:p>
      <w:pPr>
        <w:spacing w:after="80"/>
        <w:ind w:left="340" w:hanging="227"/>
      </w:pPr>
      <w:r>
        <w:rPr>
          <w:rFonts w:ascii="Garamond" w:hAnsi="Garamond"/>
          <w:sz w:val="20"/>
        </w:rPr>
        <w:t>☐  Email the school once, formally, to confirm absences are being recorded under Code I (Illness). Use Template 1 from Chapter 6.</w:t>
      </w:r>
    </w:p>
    <w:p>
      <w:pPr>
        <w:spacing w:after="80"/>
        <w:ind w:left="340" w:hanging="227"/>
      </w:pPr>
      <w:r>
        <w:rPr>
          <w:rFonts w:ascii="Garamond" w:hAnsi="Garamond"/>
          <w:sz w:val="20"/>
        </w:rPr>
        <w:t>☐  Tell no one outside your household yet. Not extended family, not parent friends. You do not have to manage anyone else's reaction this week.</w:t>
      </w:r>
    </w:p>
    <w:p>
      <w:pPr>
        <w:spacing w:before="280" w:after="120"/>
      </w:pPr>
      <w:r>
        <w:rPr>
          <w:rFonts w:ascii="Garamond" w:hAnsi="Garamond"/>
          <w:b/>
          <w:color w:val="1B3A5C"/>
          <w:sz w:val="24"/>
        </w:rPr>
        <w:t>WEEK TWO</w:t>
      </w:r>
    </w:p>
    <w:p>
      <w:pPr>
        <w:spacing w:after="80"/>
        <w:ind w:left="340" w:hanging="227"/>
      </w:pPr>
      <w:r>
        <w:rPr>
          <w:rFonts w:ascii="Garamond" w:hAnsi="Garamond"/>
          <w:sz w:val="20"/>
        </w:rPr>
        <w:t>☐  GP appointment attended. Med 3 obtained if possible — even a short one. File it in the Evidence Binder.</w:t>
      </w:r>
    </w:p>
    <w:p>
      <w:pPr>
        <w:spacing w:after="80"/>
        <w:ind w:left="340" w:hanging="227"/>
      </w:pPr>
      <w:r>
        <w:rPr>
          <w:rFonts w:ascii="Garamond" w:hAnsi="Garamond"/>
          <w:sz w:val="20"/>
        </w:rPr>
        <w:t>☐  Continue Symptom and Impact Log daily.</w:t>
      </w:r>
    </w:p>
    <w:p>
      <w:pPr>
        <w:spacing w:after="80"/>
        <w:ind w:left="340" w:hanging="227"/>
      </w:pPr>
      <w:r>
        <w:rPr>
          <w:rFonts w:ascii="Garamond" w:hAnsi="Garamond"/>
          <w:sz w:val="20"/>
        </w:rPr>
        <w:t>☐  Read Chapter 8 (Section 19). Draft, but do not send, the Formal Demand Letter.</w:t>
      </w:r>
    </w:p>
    <w:p>
      <w:pPr>
        <w:spacing w:after="80"/>
        <w:ind w:left="340" w:hanging="227"/>
      </w:pPr>
      <w:r>
        <w:rPr>
          <w:rFonts w:ascii="Garamond" w:hAnsi="Garamond"/>
          <w:sz w:val="20"/>
        </w:rPr>
        <w:t>☐  Watch for your child moving from Red (freeze) toward Amber (irritability). This is improvement, not relapse.</w:t>
      </w:r>
    </w:p>
    <w:p>
      <w:pPr>
        <w:spacing w:before="280" w:after="120"/>
      </w:pPr>
      <w:r>
        <w:rPr>
          <w:rFonts w:ascii="Garamond" w:hAnsi="Garamond"/>
          <w:b/>
          <w:color w:val="1B3A5C"/>
          <w:sz w:val="24"/>
        </w:rPr>
        <w:t>WEEK THREE</w:t>
      </w:r>
    </w:p>
    <w:p>
      <w:pPr>
        <w:spacing w:after="80"/>
        <w:ind w:left="340" w:hanging="227"/>
      </w:pPr>
      <w:r>
        <w:rPr>
          <w:rFonts w:ascii="Garamond" w:hAnsi="Garamond"/>
          <w:sz w:val="20"/>
        </w:rPr>
        <w:t>☐  Send the Section 19 Formal Demand Letter (Chapter 8) directly to the Director of Children's Services. Bypass the school.</w:t>
      </w:r>
    </w:p>
    <w:p>
      <w:pPr>
        <w:spacing w:after="80"/>
        <w:ind w:left="340" w:hanging="227"/>
      </w:pPr>
      <w:r>
        <w:rPr>
          <w:rFonts w:ascii="Garamond" w:hAnsi="Garamond"/>
          <w:sz w:val="20"/>
        </w:rPr>
        <w:t>☐  Begin researching alternative provision — online schools, tutors, EOTAS package options. Not to choose. To know what exists.</w:t>
      </w:r>
    </w:p>
    <w:p>
      <w:pPr>
        <w:spacing w:after="80"/>
        <w:ind w:left="340" w:hanging="227"/>
      </w:pPr>
      <w:r>
        <w:rPr>
          <w:rFonts w:ascii="Garamond" w:hAnsi="Garamond"/>
          <w:sz w:val="20"/>
        </w:rPr>
        <w:t>☐  Read Chapter 9. Begin drafting an EHCNA application.</w:t>
      </w:r>
    </w:p>
    <w:p>
      <w:pPr>
        <w:spacing w:before="280" w:after="120"/>
      </w:pPr>
      <w:r>
        <w:rPr>
          <w:rFonts w:ascii="Garamond" w:hAnsi="Garamond"/>
          <w:b/>
          <w:color w:val="1B3A5C"/>
          <w:sz w:val="24"/>
        </w:rPr>
        <w:t>WEEK FOUR</w:t>
      </w:r>
    </w:p>
    <w:p>
      <w:pPr>
        <w:spacing w:after="80"/>
        <w:ind w:left="340" w:hanging="227"/>
      </w:pPr>
      <w:r>
        <w:rPr>
          <w:rFonts w:ascii="Garamond" w:hAnsi="Garamond"/>
          <w:sz w:val="20"/>
        </w:rPr>
        <w:t>☐  Submit the EHCNA application. The 6-week statutory clock starts the moment they receive it.</w:t>
      </w:r>
    </w:p>
    <w:p>
      <w:pPr>
        <w:spacing w:after="80"/>
        <w:ind w:left="340" w:hanging="227"/>
      </w:pPr>
      <w:r>
        <w:rPr>
          <w:rFonts w:ascii="Garamond" w:hAnsi="Garamond"/>
          <w:sz w:val="20"/>
        </w:rPr>
        <w:t>☐  Check in with yourself. You have just done — in 30 days — what the system would have spent six months stalling on.</w:t>
      </w:r>
    </w:p>
    <w:p>
      <w:r>
        <w:br w:type="page"/>
      </w:r>
    </w:p>
    <w:p>
      <w:pPr>
        <w:pStyle w:val="Heading1"/>
        <w:jc w:val="center"/>
      </w:pPr>
      <w:r>
        <w:rPr>
          <w:rFonts w:ascii="Garamond" w:hAnsi="Garamond"/>
        </w:rPr>
        <w:t>Appendix B — Devolved Nations</w:t>
      </w:r>
    </w:p>
    <w:p>
      <w:pPr>
        <w:spacing w:after="120"/>
        <w:ind w:firstLine="227"/>
      </w:pPr>
      <w:r>
        <w:rPr>
          <w:rFonts w:ascii="Garamond" w:hAnsi="Garamond"/>
          <w:b w:val="0"/>
          <w:i w:val="0"/>
          <w:sz w:val="22"/>
        </w:rPr>
        <w:t>This book is written under the law of England. The therapeutic, communication, and parental advocacy material is broadly applicable wherever you live. The statutory framework is not.</w:t>
      </w:r>
    </w:p>
    <w:p>
      <w:pPr>
        <w:spacing w:after="120"/>
        <w:ind w:firstLine="227"/>
      </w:pPr>
      <w:r>
        <w:rPr>
          <w:rFonts w:ascii="Garamond" w:hAnsi="Garamond"/>
          <w:b w:val="0"/>
          <w:i w:val="0"/>
          <w:sz w:val="22"/>
        </w:rPr>
        <w:t>This appendix maps the English provisions cited in the main text to their equivalents in Scotland, Wales, and Northern Ireland. It is a starting point, not a complete legal guide.</w:t>
      </w:r>
    </w:p>
    <w:p>
      <w:pPr>
        <w:spacing w:before="280" w:after="120"/>
      </w:pPr>
      <w:r>
        <w:rPr>
          <w:rFonts w:ascii="Garamond" w:hAnsi="Garamond"/>
          <w:b/>
          <w:color w:val="1B3A5C"/>
          <w:sz w:val="24"/>
        </w:rPr>
        <w:t>Scotland</w:t>
      </w:r>
    </w:p>
    <w:p>
      <w:pPr>
        <w:spacing w:after="120"/>
        <w:ind w:firstLine="227"/>
      </w:pPr>
      <w:r>
        <w:rPr>
          <w:rFonts w:ascii="Garamond" w:hAnsi="Garamond"/>
          <w:b w:val="0"/>
          <w:i w:val="0"/>
          <w:sz w:val="22"/>
        </w:rPr>
        <w:t>The relevant statute is the Education (Additional Support for Learning) (Scotland) Act 2004, as amended.</w:t>
      </w:r>
    </w:p>
    <w:p>
      <w:pPr>
        <w:spacing w:after="120"/>
      </w:pPr>
      <w:r>
        <w:rPr>
          <w:rFonts w:ascii="Garamond" w:hAnsi="Garamond"/>
          <w:b w:val="0"/>
          <w:i w:val="0"/>
          <w:sz w:val="22"/>
        </w:rPr>
        <w:t>EHCP  →  Co-ordinated Support Plan (CSP)</w:t>
      </w:r>
    </w:p>
    <w:p>
      <w:pPr>
        <w:spacing w:after="120"/>
      </w:pPr>
      <w:r>
        <w:rPr>
          <w:rFonts w:ascii="Garamond" w:hAnsi="Garamond"/>
          <w:b w:val="0"/>
          <w:i w:val="0"/>
          <w:sz w:val="22"/>
        </w:rPr>
        <w:t>EHCNA  →  Request for assessment of additional support needs</w:t>
      </w:r>
    </w:p>
    <w:p>
      <w:pPr>
        <w:spacing w:after="120"/>
      </w:pPr>
      <w:r>
        <w:rPr>
          <w:rFonts w:ascii="Garamond" w:hAnsi="Garamond"/>
          <w:b w:val="0"/>
          <w:i w:val="0"/>
          <w:sz w:val="22"/>
        </w:rPr>
        <w:t>Section 19 (alternative education duty)  →  Section 14, Education (Scotland) Act 1980</w:t>
      </w:r>
    </w:p>
    <w:p>
      <w:pPr>
        <w:spacing w:after="120"/>
      </w:pPr>
      <w:r>
        <w:rPr>
          <w:rFonts w:ascii="Garamond" w:hAnsi="Garamond"/>
          <w:b w:val="0"/>
          <w:i w:val="0"/>
          <w:sz w:val="22"/>
        </w:rPr>
        <w:t>First-tier Tribunal (SEND)  →  Additional Support Needs Tribunal (ASNTS)</w:t>
      </w:r>
    </w:p>
    <w:p>
      <w:pPr>
        <w:spacing w:after="120"/>
      </w:pPr>
      <w:r>
        <w:rPr>
          <w:rFonts w:ascii="Garamond" w:hAnsi="Garamond"/>
          <w:b w:val="0"/>
          <w:i w:val="0"/>
          <w:sz w:val="22"/>
        </w:rPr>
        <w:t>EOTAS  →  Education otherwise than at a school (1980 Act) — narrower in practice</w:t>
      </w:r>
    </w:p>
    <w:p>
      <w:pPr>
        <w:spacing w:after="120"/>
      </w:pPr>
      <w:r>
        <w:rPr>
          <w:rFonts w:ascii="Garamond" w:hAnsi="Garamond"/>
          <w:b w:val="0"/>
          <w:i w:val="0"/>
          <w:sz w:val="22"/>
        </w:rPr>
        <w:t>Section 444 (attendance prosecution)  →  Sections 30–44, Education (Scotland) Act 1980</w:t>
      </w:r>
    </w:p>
    <w:p>
      <w:pPr>
        <w:spacing w:after="120"/>
        <w:ind w:firstLine="227"/>
      </w:pPr>
      <w:r>
        <w:rPr>
          <w:rFonts w:ascii="Garamond" w:hAnsi="Garamond"/>
          <w:b w:val="0"/>
          <w:i w:val="0"/>
          <w:sz w:val="22"/>
        </w:rPr>
        <w:t>Principal parental advocacy organisation: Enquire (enquire.org.uk), funded by the Scottish Government.</w:t>
      </w:r>
    </w:p>
    <w:p>
      <w:pPr>
        <w:spacing w:before="280" w:after="120"/>
      </w:pPr>
      <w:r>
        <w:rPr>
          <w:rFonts w:ascii="Garamond" w:hAnsi="Garamond"/>
          <w:b/>
          <w:color w:val="1B3A5C"/>
          <w:sz w:val="24"/>
        </w:rPr>
        <w:t>Wales</w:t>
      </w:r>
    </w:p>
    <w:p>
      <w:pPr>
        <w:spacing w:after="120"/>
        <w:ind w:firstLine="227"/>
      </w:pPr>
      <w:r>
        <w:rPr>
          <w:rFonts w:ascii="Garamond" w:hAnsi="Garamond"/>
          <w:b w:val="0"/>
          <w:i w:val="0"/>
          <w:sz w:val="22"/>
        </w:rPr>
        <w:t>The relevant statute is the Additional Learning Needs and Education Tribunal (Wales) Act 2018, fully implemented in 2021.</w:t>
      </w:r>
    </w:p>
    <w:p>
      <w:pPr>
        <w:spacing w:after="120"/>
      </w:pPr>
      <w:r>
        <w:rPr>
          <w:rFonts w:ascii="Garamond" w:hAnsi="Garamond"/>
          <w:b w:val="0"/>
          <w:i w:val="0"/>
          <w:sz w:val="22"/>
        </w:rPr>
        <w:t>EHCP  →  Individual Development Plan (IDP)</w:t>
      </w:r>
    </w:p>
    <w:p>
      <w:pPr>
        <w:spacing w:after="120"/>
      </w:pPr>
      <w:r>
        <w:rPr>
          <w:rFonts w:ascii="Garamond" w:hAnsi="Garamond"/>
          <w:b w:val="0"/>
          <w:i w:val="0"/>
          <w:sz w:val="22"/>
        </w:rPr>
        <w:t>EHCNA  →  Request for an IDP</w:t>
      </w:r>
    </w:p>
    <w:p>
      <w:pPr>
        <w:spacing w:after="120"/>
      </w:pPr>
      <w:r>
        <w:rPr>
          <w:rFonts w:ascii="Garamond" w:hAnsi="Garamond"/>
          <w:b w:val="0"/>
          <w:i w:val="0"/>
          <w:sz w:val="22"/>
        </w:rPr>
        <w:t>Section 19  →  Education Act 1996, Section 19 — still applies in Wales</w:t>
      </w:r>
    </w:p>
    <w:p>
      <w:pPr>
        <w:spacing w:after="120"/>
      </w:pPr>
      <w:r>
        <w:rPr>
          <w:rFonts w:ascii="Garamond" w:hAnsi="Garamond"/>
          <w:b w:val="0"/>
          <w:i w:val="0"/>
          <w:sz w:val="22"/>
        </w:rPr>
        <w:t>First-tier Tribunal (SEND)  →  Education Tribunal for Wales</w:t>
      </w:r>
    </w:p>
    <w:p>
      <w:pPr>
        <w:spacing w:after="120"/>
      </w:pPr>
      <w:r>
        <w:rPr>
          <w:rFonts w:ascii="Garamond" w:hAnsi="Garamond"/>
          <w:b w:val="0"/>
          <w:i w:val="0"/>
          <w:sz w:val="22"/>
        </w:rPr>
        <w:t>EOTAS  →  Education otherwise than at school (1996 Act), LA discretion</w:t>
      </w:r>
    </w:p>
    <w:p>
      <w:pPr>
        <w:spacing w:after="120"/>
      </w:pPr>
      <w:r>
        <w:rPr>
          <w:rFonts w:ascii="Garamond" w:hAnsi="Garamond"/>
          <w:b w:val="0"/>
          <w:i w:val="0"/>
          <w:sz w:val="22"/>
        </w:rPr>
        <w:t>Section 444  →  Education Act 1996, Section 444 — still applies in Wales</w:t>
      </w:r>
    </w:p>
    <w:p>
      <w:pPr>
        <w:spacing w:after="120"/>
        <w:ind w:firstLine="227"/>
      </w:pPr>
      <w:r>
        <w:rPr>
          <w:rFonts w:ascii="Garamond" w:hAnsi="Garamond"/>
          <w:b w:val="0"/>
          <w:i w:val="0"/>
          <w:sz w:val="22"/>
        </w:rPr>
        <w:t>Wales has retained Section 19 of the 1996 Act and Section 444. Principal parental advocacy organisation: SNAP Cymru (snapcymru.org).</w:t>
      </w:r>
    </w:p>
    <w:p>
      <w:pPr>
        <w:spacing w:before="280" w:after="120"/>
      </w:pPr>
      <w:r>
        <w:rPr>
          <w:rFonts w:ascii="Garamond" w:hAnsi="Garamond"/>
          <w:b/>
          <w:color w:val="1B3A5C"/>
          <w:sz w:val="24"/>
        </w:rPr>
        <w:t>Northern Ireland</w:t>
      </w:r>
    </w:p>
    <w:p>
      <w:pPr>
        <w:spacing w:after="120"/>
        <w:ind w:firstLine="227"/>
      </w:pPr>
      <w:r>
        <w:rPr>
          <w:rFonts w:ascii="Garamond" w:hAnsi="Garamond"/>
          <w:b w:val="0"/>
          <w:i w:val="0"/>
          <w:sz w:val="22"/>
        </w:rPr>
        <w:t>The relevant statute is the Education (Northern Ireland) Order 1996 and the Special Educational Needs and Disability (Northern Ireland) Order 2005 (SENDO).</w:t>
      </w:r>
    </w:p>
    <w:p>
      <w:pPr>
        <w:spacing w:after="120"/>
      </w:pPr>
      <w:r>
        <w:rPr>
          <w:rFonts w:ascii="Garamond" w:hAnsi="Garamond"/>
          <w:b w:val="0"/>
          <w:i w:val="0"/>
          <w:sz w:val="22"/>
        </w:rPr>
        <w:t>EHCP  →  Statement of Special Educational Needs</w:t>
      </w:r>
    </w:p>
    <w:p>
      <w:pPr>
        <w:spacing w:after="120"/>
      </w:pPr>
      <w:r>
        <w:rPr>
          <w:rFonts w:ascii="Garamond" w:hAnsi="Garamond"/>
          <w:b w:val="0"/>
          <w:i w:val="0"/>
          <w:sz w:val="22"/>
        </w:rPr>
        <w:t>EHCNA  →  Statutory Assessment request to the Education Authority</w:t>
      </w:r>
    </w:p>
    <w:p>
      <w:pPr>
        <w:spacing w:after="120"/>
      </w:pPr>
      <w:r>
        <w:rPr>
          <w:rFonts w:ascii="Garamond" w:hAnsi="Garamond"/>
          <w:b w:val="0"/>
          <w:i w:val="0"/>
          <w:sz w:val="22"/>
        </w:rPr>
        <w:t>Section 19  →  Article 86, Education and Libraries (NI) Order 1986</w:t>
      </w:r>
    </w:p>
    <w:p>
      <w:pPr>
        <w:spacing w:after="120"/>
      </w:pPr>
      <w:r>
        <w:rPr>
          <w:rFonts w:ascii="Garamond" w:hAnsi="Garamond"/>
          <w:b w:val="0"/>
          <w:i w:val="0"/>
          <w:sz w:val="22"/>
        </w:rPr>
        <w:t>First-tier Tribunal (SEND)  →  Special Educational Needs and Disability Tribunal (SENDIST NI)</w:t>
      </w:r>
    </w:p>
    <w:p>
      <w:pPr>
        <w:spacing w:after="120"/>
      </w:pPr>
      <w:r>
        <w:rPr>
          <w:rFonts w:ascii="Garamond" w:hAnsi="Garamond"/>
          <w:b w:val="0"/>
          <w:i w:val="0"/>
          <w:sz w:val="22"/>
        </w:rPr>
        <w:t>EOTAS  →  Provisions under the 1996 Order — less commonly used</w:t>
      </w:r>
    </w:p>
    <w:p>
      <w:pPr>
        <w:spacing w:after="120"/>
      </w:pPr>
      <w:r>
        <w:rPr>
          <w:rFonts w:ascii="Garamond" w:hAnsi="Garamond"/>
          <w:b w:val="0"/>
          <w:i w:val="0"/>
          <w:sz w:val="22"/>
        </w:rPr>
        <w:t>Section 444  →  Article 45, Education (NI) Order 1986</w:t>
      </w:r>
    </w:p>
    <w:p>
      <w:pPr>
        <w:spacing w:after="120"/>
        <w:ind w:firstLine="227"/>
      </w:pPr>
      <w:r>
        <w:rPr>
          <w:rFonts w:ascii="Garamond" w:hAnsi="Garamond"/>
          <w:b w:val="0"/>
          <w:i w:val="0"/>
          <w:sz w:val="22"/>
        </w:rPr>
        <w:t>The Education Authority (EA) is the single statutory body. Principal parental advocacy organisation: Parenting NI (parentingni.org).</w:t>
      </w:r>
    </w:p>
    <w:p>
      <w:pPr>
        <w:spacing w:before="280" w:after="120"/>
      </w:pPr>
      <w:r>
        <w:rPr>
          <w:rFonts w:ascii="Garamond" w:hAnsi="Garamond"/>
          <w:b/>
          <w:color w:val="1B3A5C"/>
          <w:sz w:val="24"/>
        </w:rPr>
        <w:t>A note for parents in the devolved nations using this book</w:t>
      </w:r>
    </w:p>
    <w:p>
      <w:pPr>
        <w:spacing w:after="120"/>
        <w:ind w:firstLine="227"/>
      </w:pPr>
      <w:r>
        <w:rPr>
          <w:rFonts w:ascii="Garamond" w:hAnsi="Garamond"/>
          <w:b w:val="0"/>
          <w:i w:val="0"/>
          <w:sz w:val="22"/>
        </w:rPr>
        <w:t>Almost all of the operational content in this book — the Sanctuary Home Protocol, the Communication Audit, the Evidence Binder, the Won't vs Can't distinction, the framework for engaging with professionals — translates directly to your jurisdiction.</w:t>
      </w:r>
    </w:p>
    <w:p>
      <w:pPr>
        <w:spacing w:after="120"/>
        <w:ind w:firstLine="227"/>
      </w:pPr>
      <w:r>
        <w:rPr>
          <w:rFonts w:ascii="Garamond" w:hAnsi="Garamond"/>
          <w:b w:val="0"/>
          <w:i w:val="0"/>
          <w:sz w:val="22"/>
        </w:rPr>
        <w:t>The pieces that do not translate are the specific statutory letters in Chapter 8, the EHCNA application process in Chapter 9, and the EOTAS arguments in Chapter 10. Where those chapters cite English law, the equivalent provisions in your jurisdiction are listed above. The structural argument — "the LA has a duty; the duty is live; the evidence demonstrates the need" — is the same. The statute cited in the letter changes.</w:t>
      </w:r>
    </w:p>
    <w:p>
      <w:pPr>
        <w:spacing w:after="120"/>
        <w:ind w:firstLine="227"/>
      </w:pPr>
      <w:r>
        <w:rPr>
          <w:rFonts w:ascii="Garamond" w:hAnsi="Garamond"/>
          <w:b w:val="0"/>
          <w:i w:val="0"/>
          <w:sz w:val="22"/>
        </w:rPr>
        <w:t>For full devolved-nations templates and a more detailed jurisdictional guide, see sendnavigate.org/devolved.</w:t>
      </w:r>
    </w:p>
    <w:p>
      <w:r>
        <w:br w:type="page"/>
      </w:r>
    </w:p>
    <w:p>
      <w:pPr>
        <w:pStyle w:val="Heading1"/>
        <w:jc w:val="center"/>
      </w:pPr>
      <w:r>
        <w:rPr>
          <w:rFonts w:ascii="Garamond" w:hAnsi="Garamond"/>
        </w:rPr>
        <w:t>Appendix C — The Symptom and Impact Log (printable)</w:t>
      </w:r>
    </w:p>
    <w:p>
      <w:pPr>
        <w:spacing w:after="120"/>
        <w:ind w:firstLine="227"/>
      </w:pPr>
      <w:r>
        <w:rPr>
          <w:rFonts w:ascii="Garamond" w:hAnsi="Garamond"/>
          <w:b w:val="0"/>
          <w:i w:val="0"/>
          <w:sz w:val="22"/>
        </w:rPr>
        <w:t>One entry per day. Cold facts. Physiological first. Do not write narrative — this log is evidence, not journal.</w:t>
      </w:r>
    </w:p>
    <w:p>
      <w:pPr>
        <w:spacing w:before="280" w:after="120"/>
      </w:pPr>
      <w:r>
        <w:rPr>
          <w:rFonts w:ascii="Garamond" w:hAnsi="Garamond"/>
          <w:b/>
          <w:color w:val="1B3A5C"/>
          <w:sz w:val="24"/>
        </w:rPr>
        <w:t>Daily entry template</w:t>
      </w:r>
    </w:p>
    <w:p>
      <w:pPr>
        <w:spacing w:after="120"/>
      </w:pPr>
      <w:r>
        <w:rPr>
          <w:rFonts w:ascii="Garamond" w:hAnsi="Garamond"/>
          <w:b/>
          <w:i w:val="0"/>
          <w:sz w:val="22"/>
        </w:rPr>
        <w:t>Date:</w:t>
      </w:r>
    </w:p>
    <w:p>
      <w:pPr>
        <w:spacing w:after="120"/>
      </w:pPr>
      <w:r>
        <w:rPr>
          <w:rFonts w:ascii="Garamond" w:hAnsi="Garamond"/>
          <w:b w:val="0"/>
          <w:i w:val="0"/>
          <w:sz w:val="22"/>
        </w:rPr>
        <w:t>_______________________________________</w:t>
      </w:r>
    </w:p>
    <w:p>
      <w:pPr>
        <w:spacing w:after="120"/>
      </w:pPr>
      <w:r>
        <w:rPr>
          <w:rFonts w:ascii="Garamond" w:hAnsi="Garamond"/>
          <w:b/>
          <w:i w:val="0"/>
          <w:sz w:val="22"/>
        </w:rPr>
        <w:t>Physiological Manifestation:</w:t>
      </w:r>
    </w:p>
    <w:p>
      <w:pPr>
        <w:spacing w:after="120"/>
      </w:pPr>
      <w:r>
        <w:rPr>
          <w:rFonts w:ascii="Garamond" w:hAnsi="Garamond"/>
          <w:b w:val="0"/>
          <w:i w:val="0"/>
          <w:sz w:val="22"/>
        </w:rPr>
        <w:t>_______________________________________</w:t>
      </w:r>
    </w:p>
    <w:p>
      <w:pPr>
        <w:spacing w:after="120"/>
      </w:pPr>
      <w:r>
        <w:rPr>
          <w:rFonts w:ascii="Garamond" w:hAnsi="Garamond"/>
          <w:b/>
          <w:i w:val="0"/>
          <w:sz w:val="22"/>
        </w:rPr>
        <w:t>Psychological / Behavioural Impact:</w:t>
      </w:r>
    </w:p>
    <w:p>
      <w:pPr>
        <w:spacing w:after="120"/>
      </w:pPr>
      <w:r>
        <w:rPr>
          <w:rFonts w:ascii="Garamond" w:hAnsi="Garamond"/>
          <w:b w:val="0"/>
          <w:i w:val="0"/>
          <w:sz w:val="22"/>
        </w:rPr>
        <w:t>_______________________________________</w:t>
      </w:r>
    </w:p>
    <w:p>
      <w:pPr>
        <w:spacing w:after="120"/>
      </w:pPr>
      <w:r>
        <w:rPr>
          <w:rFonts w:ascii="Garamond" w:hAnsi="Garamond"/>
          <w:b/>
          <w:i w:val="0"/>
          <w:sz w:val="22"/>
        </w:rPr>
        <w:t>School Touchpoint / Trigger:</w:t>
      </w:r>
    </w:p>
    <w:p>
      <w:pPr>
        <w:spacing w:after="120"/>
      </w:pPr>
      <w:r>
        <w:rPr>
          <w:rFonts w:ascii="Garamond" w:hAnsi="Garamond"/>
          <w:b w:val="0"/>
          <w:i w:val="0"/>
          <w:sz w:val="22"/>
        </w:rPr>
        <w:t>_______________________________________</w:t>
      </w:r>
    </w:p>
    <w:p>
      <w:pPr>
        <w:spacing w:after="120"/>
      </w:pPr>
      <w:r>
        <w:rPr>
          <w:rFonts w:ascii="Garamond" w:hAnsi="Garamond"/>
          <w:b/>
          <w:i w:val="0"/>
          <w:sz w:val="22"/>
        </w:rPr>
        <w:t>Action Taken:</w:t>
      </w:r>
    </w:p>
    <w:p>
      <w:pPr>
        <w:spacing w:after="120"/>
      </w:pPr>
      <w:r>
        <w:rPr>
          <w:rFonts w:ascii="Garamond" w:hAnsi="Garamond"/>
          <w:b w:val="0"/>
          <w:i w:val="0"/>
          <w:sz w:val="22"/>
        </w:rPr>
        <w:t>_______________________________________</w:t>
      </w:r>
    </w:p>
    <w:p>
      <w:pPr>
        <w:spacing w:after="120"/>
        <w:ind w:firstLine="227"/>
      </w:pPr>
      <w:r>
        <w:rPr>
          <w:rFonts w:ascii="Garamond" w:hAnsi="Garamond"/>
          <w:b w:val="0"/>
          <w:i w:val="0"/>
          <w:sz w:val="22"/>
        </w:rPr>
        <w:t>Three to four weeks of entries makes this log inarguable. Bring it to every GP appointment. Photocopy it for the Evidence Binder.</w:t>
      </w:r>
    </w:p>
    <w:p>
      <w:r>
        <w:br w:type="page"/>
      </w:r>
    </w:p>
    <w:p>
      <w:pPr>
        <w:pStyle w:val="Heading1"/>
        <w:jc w:val="center"/>
      </w:pPr>
      <w:r>
        <w:rPr>
          <w:rFonts w:ascii="Garamond" w:hAnsi="Garamond"/>
        </w:rPr>
        <w:t>Appendix D — Glossary</w:t>
      </w:r>
    </w:p>
    <w:p>
      <w:pPr>
        <w:spacing w:after="80"/>
        <w:ind w:left="680" w:hanging="680"/>
      </w:pPr>
      <w:r>
        <w:rPr>
          <w:rFonts w:ascii="Garamond" w:hAnsi="Garamond"/>
          <w:b/>
          <w:sz w:val="20"/>
        </w:rPr>
        <w:t xml:space="preserve">CAMHS  </w:t>
      </w:r>
      <w:r>
        <w:rPr>
          <w:rFonts w:ascii="Garamond" w:hAnsi="Garamond"/>
          <w:sz w:val="20"/>
        </w:rPr>
        <w:t>Child and Adolescent Mental Health Services. NHS mental health provision for under-18s.</w:t>
      </w:r>
    </w:p>
    <w:p>
      <w:pPr>
        <w:spacing w:after="80"/>
        <w:ind w:left="680" w:hanging="680"/>
      </w:pPr>
      <w:r>
        <w:rPr>
          <w:rFonts w:ascii="Garamond" w:hAnsi="Garamond"/>
          <w:b/>
          <w:sz w:val="20"/>
        </w:rPr>
        <w:t xml:space="preserve">Can't (vs Won't)  </w:t>
      </w:r>
      <w:r>
        <w:rPr>
          <w:rFonts w:ascii="Garamond" w:hAnsi="Garamond"/>
          <w:sz w:val="20"/>
        </w:rPr>
        <w:t>Neurological immobilisation — distinct from behavioural choice. See Chapter 1.</w:t>
      </w:r>
    </w:p>
    <w:p>
      <w:pPr>
        <w:spacing w:after="80"/>
        <w:ind w:left="680" w:hanging="680"/>
      </w:pPr>
      <w:r>
        <w:rPr>
          <w:rFonts w:ascii="Garamond" w:hAnsi="Garamond"/>
          <w:b/>
          <w:sz w:val="20"/>
        </w:rPr>
        <w:t xml:space="preserve">Code I  </w:t>
      </w:r>
      <w:r>
        <w:rPr>
          <w:rFonts w:ascii="Garamond" w:hAnsi="Garamond"/>
          <w:sz w:val="20"/>
        </w:rPr>
        <w:t>Department for Education attendance code for absence due to illness. Authorised.</w:t>
      </w:r>
    </w:p>
    <w:p>
      <w:pPr>
        <w:spacing w:after="80"/>
        <w:ind w:left="680" w:hanging="680"/>
      </w:pPr>
      <w:r>
        <w:rPr>
          <w:rFonts w:ascii="Garamond" w:hAnsi="Garamond"/>
          <w:b/>
          <w:sz w:val="20"/>
        </w:rPr>
        <w:t xml:space="preserve">Code C  </w:t>
      </w:r>
      <w:r>
        <w:rPr>
          <w:rFonts w:ascii="Garamond" w:hAnsi="Garamond"/>
          <w:sz w:val="20"/>
        </w:rPr>
        <w:t>DfE attendance code for other authorised circumstances.</w:t>
      </w:r>
    </w:p>
    <w:p>
      <w:pPr>
        <w:spacing w:after="80"/>
        <w:ind w:left="680" w:hanging="680"/>
      </w:pPr>
      <w:r>
        <w:rPr>
          <w:rFonts w:ascii="Garamond" w:hAnsi="Garamond"/>
          <w:b/>
          <w:sz w:val="20"/>
        </w:rPr>
        <w:t xml:space="preserve">CFA 2014  </w:t>
      </w:r>
      <w:r>
        <w:rPr>
          <w:rFonts w:ascii="Garamond" w:hAnsi="Garamond"/>
          <w:sz w:val="20"/>
        </w:rPr>
        <w:t>Children and Families Act 2014. The principal SEND statute in England.</w:t>
      </w:r>
    </w:p>
    <w:p>
      <w:pPr>
        <w:spacing w:after="80"/>
        <w:ind w:left="680" w:hanging="680"/>
      </w:pPr>
      <w:r>
        <w:rPr>
          <w:rFonts w:ascii="Garamond" w:hAnsi="Garamond"/>
          <w:b/>
          <w:sz w:val="20"/>
        </w:rPr>
        <w:t xml:space="preserve">Director of Children's Services (DCS)  </w:t>
      </w:r>
      <w:r>
        <w:rPr>
          <w:rFonts w:ascii="Garamond" w:hAnsi="Garamond"/>
          <w:sz w:val="20"/>
        </w:rPr>
        <w:t>Statutory officer in every LA responsible for children's services, including SEN. The right recipient of a Section 19 letter.</w:t>
      </w:r>
    </w:p>
    <w:p>
      <w:pPr>
        <w:spacing w:after="80"/>
        <w:ind w:left="680" w:hanging="680"/>
      </w:pPr>
      <w:r>
        <w:rPr>
          <w:rFonts w:ascii="Garamond" w:hAnsi="Garamond"/>
          <w:b/>
          <w:sz w:val="20"/>
        </w:rPr>
        <w:t xml:space="preserve">Dorsal Vagal  </w:t>
      </w:r>
      <w:r>
        <w:rPr>
          <w:rFonts w:ascii="Garamond" w:hAnsi="Garamond"/>
          <w:sz w:val="20"/>
        </w:rPr>
        <w:t>Polyvagal state of freeze/flop/shutdown. The deepest defensive state.</w:t>
      </w:r>
    </w:p>
    <w:p>
      <w:pPr>
        <w:spacing w:after="80"/>
        <w:ind w:left="680" w:hanging="680"/>
      </w:pPr>
      <w:r>
        <w:rPr>
          <w:rFonts w:ascii="Garamond" w:hAnsi="Garamond"/>
          <w:b/>
          <w:sz w:val="20"/>
        </w:rPr>
        <w:t xml:space="preserve">EBSA  </w:t>
      </w:r>
      <w:r>
        <w:rPr>
          <w:rFonts w:ascii="Garamond" w:hAnsi="Garamond"/>
          <w:sz w:val="20"/>
        </w:rPr>
        <w:t>Emotionally Based School Avoidance. The clinical term replacing 'school refusal'.</w:t>
      </w:r>
    </w:p>
    <w:p>
      <w:pPr>
        <w:spacing w:after="80"/>
        <w:ind w:left="680" w:hanging="680"/>
      </w:pPr>
      <w:r>
        <w:rPr>
          <w:rFonts w:ascii="Garamond" w:hAnsi="Garamond"/>
          <w:b/>
          <w:sz w:val="20"/>
        </w:rPr>
        <w:t xml:space="preserve">EHCNA  </w:t>
      </w:r>
      <w:r>
        <w:rPr>
          <w:rFonts w:ascii="Garamond" w:hAnsi="Garamond"/>
          <w:sz w:val="20"/>
        </w:rPr>
        <w:t>Education, Health and Care Needs Assessment. The formal process by which an LA decides whether to issue an EHCP.</w:t>
      </w:r>
    </w:p>
    <w:p>
      <w:pPr>
        <w:spacing w:after="80"/>
        <w:ind w:left="680" w:hanging="680"/>
      </w:pPr>
      <w:r>
        <w:rPr>
          <w:rFonts w:ascii="Garamond" w:hAnsi="Garamond"/>
          <w:b/>
          <w:sz w:val="20"/>
        </w:rPr>
        <w:t xml:space="preserve">EHCP  </w:t>
      </w:r>
      <w:r>
        <w:rPr>
          <w:rFonts w:ascii="Garamond" w:hAnsi="Garamond"/>
          <w:sz w:val="20"/>
        </w:rPr>
        <w:t>Education, Health and Care Plan. The legal document specifying SEN provision.</w:t>
      </w:r>
    </w:p>
    <w:p>
      <w:pPr>
        <w:spacing w:after="80"/>
        <w:ind w:left="680" w:hanging="680"/>
      </w:pPr>
      <w:r>
        <w:rPr>
          <w:rFonts w:ascii="Garamond" w:hAnsi="Garamond"/>
          <w:b/>
          <w:sz w:val="20"/>
        </w:rPr>
        <w:t xml:space="preserve">EHE  </w:t>
      </w:r>
      <w:r>
        <w:rPr>
          <w:rFonts w:ascii="Garamond" w:hAnsi="Garamond"/>
          <w:sz w:val="20"/>
        </w:rPr>
        <w:t>Elective Home Education. A parental choice to deregister and educate at home.</w:t>
      </w:r>
    </w:p>
    <w:p>
      <w:pPr>
        <w:spacing w:after="80"/>
        <w:ind w:left="680" w:hanging="680"/>
      </w:pPr>
      <w:r>
        <w:rPr>
          <w:rFonts w:ascii="Garamond" w:hAnsi="Garamond"/>
          <w:b/>
          <w:sz w:val="20"/>
        </w:rPr>
        <w:t xml:space="preserve">EOTAS  </w:t>
      </w:r>
      <w:r>
        <w:rPr>
          <w:rFonts w:ascii="Garamond" w:hAnsi="Garamond"/>
          <w:sz w:val="20"/>
        </w:rPr>
        <w:t>Education Otherwise Than At School. State-funded education delivered outside any school building under Section 61 CFA 2014.</w:t>
      </w:r>
    </w:p>
    <w:p>
      <w:pPr>
        <w:spacing w:after="80"/>
        <w:ind w:left="680" w:hanging="680"/>
      </w:pPr>
      <w:r>
        <w:rPr>
          <w:rFonts w:ascii="Garamond" w:hAnsi="Garamond"/>
          <w:b/>
          <w:sz w:val="20"/>
        </w:rPr>
        <w:t xml:space="preserve">FOI  </w:t>
      </w:r>
      <w:r>
        <w:rPr>
          <w:rFonts w:ascii="Garamond" w:hAnsi="Garamond"/>
          <w:sz w:val="20"/>
        </w:rPr>
        <w:t>Freedom of Information request. Use to obtain LA data on policies and procedures.</w:t>
      </w:r>
    </w:p>
    <w:p>
      <w:pPr>
        <w:spacing w:after="80"/>
        <w:ind w:left="680" w:hanging="680"/>
      </w:pPr>
      <w:r>
        <w:rPr>
          <w:rFonts w:ascii="Garamond" w:hAnsi="Garamond"/>
          <w:b/>
          <w:sz w:val="20"/>
        </w:rPr>
        <w:t xml:space="preserve">Med 3  </w:t>
      </w:r>
      <w:r>
        <w:rPr>
          <w:rFonts w:ascii="Garamond" w:hAnsi="Garamond"/>
          <w:sz w:val="20"/>
        </w:rPr>
        <w:t>GP fit note. Confirms medical unfitness to attend.</w:t>
      </w:r>
    </w:p>
    <w:p>
      <w:pPr>
        <w:spacing w:after="80"/>
        <w:ind w:left="680" w:hanging="680"/>
      </w:pPr>
      <w:r>
        <w:rPr>
          <w:rFonts w:ascii="Garamond" w:hAnsi="Garamond"/>
          <w:b/>
          <w:sz w:val="20"/>
        </w:rPr>
        <w:t xml:space="preserve">PDA  </w:t>
      </w:r>
      <w:r>
        <w:rPr>
          <w:rFonts w:ascii="Garamond" w:hAnsi="Garamond"/>
          <w:sz w:val="20"/>
        </w:rPr>
        <w:t>Pathological Demand Avoidance (or Pervasive Drive for Autonomy). A profile of autism.</w:t>
      </w:r>
    </w:p>
    <w:p>
      <w:pPr>
        <w:spacing w:after="80"/>
        <w:ind w:left="680" w:hanging="680"/>
      </w:pPr>
      <w:r>
        <w:rPr>
          <w:rFonts w:ascii="Garamond" w:hAnsi="Garamond"/>
          <w:b/>
          <w:sz w:val="20"/>
        </w:rPr>
        <w:t xml:space="preserve">SAO  </w:t>
      </w:r>
      <w:r>
        <w:rPr>
          <w:rFonts w:ascii="Garamond" w:hAnsi="Garamond"/>
          <w:sz w:val="20"/>
        </w:rPr>
        <w:t>School Attendance Order. Issued by the LA where they consider EHE provision inadequate.</w:t>
      </w:r>
    </w:p>
    <w:p>
      <w:pPr>
        <w:spacing w:after="80"/>
        <w:ind w:left="680" w:hanging="680"/>
      </w:pPr>
      <w:r>
        <w:rPr>
          <w:rFonts w:ascii="Garamond" w:hAnsi="Garamond"/>
          <w:b/>
          <w:sz w:val="20"/>
        </w:rPr>
        <w:t xml:space="preserve">Section 19  </w:t>
      </w:r>
      <w:r>
        <w:rPr>
          <w:rFonts w:ascii="Garamond" w:hAnsi="Garamond"/>
          <w:sz w:val="20"/>
        </w:rPr>
        <w:t>Section 19, Education Act 1996. LA statutory duty to provide alternative education.</w:t>
      </w:r>
    </w:p>
    <w:p>
      <w:pPr>
        <w:spacing w:after="80"/>
        <w:ind w:left="680" w:hanging="680"/>
      </w:pPr>
      <w:r>
        <w:rPr>
          <w:rFonts w:ascii="Garamond" w:hAnsi="Garamond"/>
          <w:b/>
          <w:sz w:val="20"/>
        </w:rPr>
        <w:t xml:space="preserve">Section 36  </w:t>
      </w:r>
      <w:r>
        <w:rPr>
          <w:rFonts w:ascii="Garamond" w:hAnsi="Garamond"/>
          <w:sz w:val="20"/>
        </w:rPr>
        <w:t>Section 36, CFA 2014. Parental right to request an EHCNA.</w:t>
      </w:r>
    </w:p>
    <w:p>
      <w:pPr>
        <w:spacing w:after="80"/>
        <w:ind w:left="680" w:hanging="680"/>
      </w:pPr>
      <w:r>
        <w:rPr>
          <w:rFonts w:ascii="Garamond" w:hAnsi="Garamond"/>
          <w:b/>
          <w:sz w:val="20"/>
        </w:rPr>
        <w:t xml:space="preserve">Section 444  </w:t>
      </w:r>
      <w:r>
        <w:rPr>
          <w:rFonts w:ascii="Garamond" w:hAnsi="Garamond"/>
          <w:sz w:val="20"/>
        </w:rPr>
        <w:t>Section 444, Education Act 1996. Offence of failing to secure regular attendance.</w:t>
      </w:r>
    </w:p>
    <w:p>
      <w:pPr>
        <w:spacing w:after="80"/>
        <w:ind w:left="680" w:hanging="680"/>
      </w:pPr>
      <w:r>
        <w:rPr>
          <w:rFonts w:ascii="Garamond" w:hAnsi="Garamond"/>
          <w:b/>
          <w:sz w:val="20"/>
        </w:rPr>
        <w:t xml:space="preserve">Section 444(2A)  </w:t>
      </w:r>
      <w:r>
        <w:rPr>
          <w:rFonts w:ascii="Garamond" w:hAnsi="Garamond"/>
          <w:sz w:val="20"/>
        </w:rPr>
        <w:t>Defence to a 444 charge: absence due to sickness or other unavoidable cause.</w:t>
      </w:r>
    </w:p>
    <w:p>
      <w:pPr>
        <w:spacing w:after="80"/>
        <w:ind w:left="680" w:hanging="680"/>
      </w:pPr>
      <w:r>
        <w:rPr>
          <w:rFonts w:ascii="Garamond" w:hAnsi="Garamond"/>
          <w:b/>
          <w:sz w:val="20"/>
        </w:rPr>
        <w:t xml:space="preserve">Section 61  </w:t>
      </w:r>
      <w:r>
        <w:rPr>
          <w:rFonts w:ascii="Garamond" w:hAnsi="Garamond"/>
          <w:sz w:val="20"/>
        </w:rPr>
        <w:t>Section 61, CFA 2014. The EOTAS provision — education otherwise than at a school.</w:t>
      </w:r>
    </w:p>
    <w:p>
      <w:pPr>
        <w:spacing w:after="80"/>
        <w:ind w:left="680" w:hanging="680"/>
      </w:pPr>
      <w:r>
        <w:rPr>
          <w:rFonts w:ascii="Garamond" w:hAnsi="Garamond"/>
          <w:b/>
          <w:sz w:val="20"/>
        </w:rPr>
        <w:t xml:space="preserve">SENCo  </w:t>
      </w:r>
      <w:r>
        <w:rPr>
          <w:rFonts w:ascii="Garamond" w:hAnsi="Garamond"/>
          <w:sz w:val="20"/>
        </w:rPr>
        <w:t>Special Educational Needs Co-ordinator. The school's internal SEN lead.</w:t>
      </w:r>
    </w:p>
    <w:p>
      <w:pPr>
        <w:spacing w:after="80"/>
        <w:ind w:left="680" w:hanging="680"/>
      </w:pPr>
      <w:r>
        <w:rPr>
          <w:rFonts w:ascii="Garamond" w:hAnsi="Garamond"/>
          <w:b/>
          <w:sz w:val="20"/>
        </w:rPr>
        <w:t xml:space="preserve">SENDIASS  </w:t>
      </w:r>
      <w:r>
        <w:rPr>
          <w:rFonts w:ascii="Garamond" w:hAnsi="Garamond"/>
          <w:sz w:val="20"/>
        </w:rPr>
        <w:t>SEN and Disability Information, Advice and Support Service. Free LA-funded parent advice (independent of the LA).</w:t>
      </w:r>
    </w:p>
    <w:p>
      <w:pPr>
        <w:spacing w:after="80"/>
        <w:ind w:left="680" w:hanging="680"/>
      </w:pPr>
      <w:r>
        <w:rPr>
          <w:rFonts w:ascii="Garamond" w:hAnsi="Garamond"/>
          <w:b/>
          <w:sz w:val="20"/>
        </w:rPr>
        <w:t xml:space="preserve">SEND Tribunal  </w:t>
      </w:r>
      <w:r>
        <w:rPr>
          <w:rFonts w:ascii="Garamond" w:hAnsi="Garamond"/>
          <w:sz w:val="20"/>
        </w:rPr>
        <w:t>First-tier Tribunal (SEND). The body that hears EHCP appeals.</w:t>
      </w:r>
    </w:p>
    <w:p>
      <w:pPr>
        <w:spacing w:after="80"/>
        <w:ind w:left="680" w:hanging="680"/>
      </w:pPr>
      <w:r>
        <w:rPr>
          <w:rFonts w:ascii="Garamond" w:hAnsi="Garamond"/>
          <w:b/>
          <w:sz w:val="20"/>
        </w:rPr>
        <w:t xml:space="preserve">Sympathetic  </w:t>
      </w:r>
      <w:r>
        <w:rPr>
          <w:rFonts w:ascii="Garamond" w:hAnsi="Garamond"/>
          <w:sz w:val="20"/>
        </w:rPr>
        <w:t>Polyvagal state of fight/flight. Activated, defensive.</w:t>
      </w:r>
    </w:p>
    <w:p>
      <w:pPr>
        <w:spacing w:after="80"/>
        <w:ind w:left="680" w:hanging="680"/>
      </w:pPr>
      <w:r>
        <w:rPr>
          <w:rFonts w:ascii="Garamond" w:hAnsi="Garamond"/>
          <w:b/>
          <w:sz w:val="20"/>
        </w:rPr>
        <w:t xml:space="preserve">Ventral Vagal  </w:t>
      </w:r>
      <w:r>
        <w:rPr>
          <w:rFonts w:ascii="Garamond" w:hAnsi="Garamond"/>
          <w:sz w:val="20"/>
        </w:rPr>
        <w:t>Polyvagal state of safe and socially engaged. The recovery target.</w:t>
      </w:r>
    </w:p>
    <w:p>
      <w:r>
        <w:br w:type="page"/>
      </w:r>
    </w:p>
    <w:p>
      <w:pPr>
        <w:pStyle w:val="Heading1"/>
        <w:jc w:val="center"/>
      </w:pPr>
      <w:r>
        <w:rPr>
          <w:rFonts w:ascii="Garamond" w:hAnsi="Garamond"/>
        </w:rPr>
        <w:t>Appendix E — Case Law Cited</w:t>
      </w:r>
    </w:p>
    <w:p>
      <w:pPr>
        <w:spacing w:after="120"/>
      </w:pPr>
      <w:r>
        <w:rPr>
          <w:rFonts w:ascii="Garamond" w:hAnsi="Garamond"/>
          <w:b/>
          <w:i w:val="0"/>
          <w:sz w:val="22"/>
        </w:rPr>
        <w:t>G v Westminster City Council [2004]</w:t>
      </w:r>
    </w:p>
    <w:p>
      <w:pPr>
        <w:spacing w:after="120"/>
      </w:pPr>
      <w:r>
        <w:rPr>
          <w:rFonts w:ascii="Garamond" w:hAnsi="Garamond"/>
          <w:b w:val="0"/>
          <w:i w:val="0"/>
          <w:sz w:val="22"/>
        </w:rPr>
        <w:t>Court of Appeal authority that the LA cannot draw a rigid line demanding a specialist consultant's diagnosis before providing support under Section 19. The duty triggers on impact, not label.</w:t>
      </w:r>
    </w:p>
    <w:p>
      <w:pPr>
        <w:spacing w:after="120"/>
      </w:pPr>
      <w:r>
        <w:rPr>
          <w:rFonts w:ascii="Garamond" w:hAnsi="Garamond"/>
          <w:b/>
          <w:i w:val="0"/>
          <w:sz w:val="22"/>
        </w:rPr>
        <w:t>TM v London Borough of Hounslow [2009] EWCA Civ 859</w:t>
      </w:r>
    </w:p>
    <w:p>
      <w:pPr>
        <w:spacing w:after="120"/>
      </w:pPr>
      <w:r>
        <w:rPr>
          <w:rFonts w:ascii="Garamond" w:hAnsi="Garamond"/>
          <w:b w:val="0"/>
          <w:i w:val="0"/>
          <w:sz w:val="22"/>
        </w:rPr>
        <w:t>Established that 'inappropriate' (for EOTAS purposes) means 'unsuitable' or 'improper' — and set the 5-point test looking at medical history, specific needs, physical reactions to school, and comparative facilities.</w:t>
      </w:r>
    </w:p>
    <w:p>
      <w:pPr>
        <w:spacing w:after="120"/>
      </w:pPr>
      <w:r>
        <w:rPr>
          <w:rFonts w:ascii="Garamond" w:hAnsi="Garamond"/>
          <w:b/>
          <w:i w:val="0"/>
          <w:sz w:val="22"/>
        </w:rPr>
        <w:t>M v Hertfordshire County Council [2019] UKUT 37 (AAC)</w:t>
      </w:r>
    </w:p>
    <w:p>
      <w:pPr>
        <w:spacing w:after="120"/>
      </w:pPr>
      <w:r>
        <w:rPr>
          <w:rFonts w:ascii="Garamond" w:hAnsi="Garamond"/>
          <w:b w:val="0"/>
          <w:i w:val="0"/>
          <w:sz w:val="22"/>
        </w:rPr>
        <w:t>Upper Tribunal confirmation that a child's school-related anxiety can be severe enough to render any school placement inappropriate. Closes the door on the 'parental enforcement' framing of long-term EBSA.</w:t>
      </w:r>
    </w:p>
    <w:p>
      <w:pPr>
        <w:spacing w:after="120"/>
      </w:pPr>
      <w:r>
        <w:rPr>
          <w:rFonts w:ascii="Garamond" w:hAnsi="Garamond"/>
          <w:b/>
          <w:i w:val="0"/>
          <w:sz w:val="22"/>
        </w:rPr>
        <w:t>Derbyshire CC v EM and DM [2019]</w:t>
      </w:r>
    </w:p>
    <w:p>
      <w:pPr>
        <w:spacing w:after="120"/>
      </w:pPr>
      <w:r>
        <w:rPr>
          <w:rFonts w:ascii="Garamond" w:hAnsi="Garamond"/>
          <w:b w:val="0"/>
          <w:i w:val="0"/>
          <w:sz w:val="22"/>
        </w:rPr>
        <w:t>High Court ruling that 'inappropriate' in EOTAS does not mean only the current school is a bad fit — it means any school building is unsuitable.</w:t>
      </w:r>
    </w:p>
    <w:p>
      <w:pPr>
        <w:spacing w:after="120"/>
      </w:pPr>
      <w:r>
        <w:rPr>
          <w:rFonts w:ascii="Garamond" w:hAnsi="Garamond"/>
          <w:b/>
          <w:i w:val="0"/>
          <w:sz w:val="22"/>
        </w:rPr>
        <w:t>NN v Cheshire East Council [2021] UKUT 220 (AAC)</w:t>
      </w:r>
    </w:p>
    <w:p>
      <w:pPr>
        <w:spacing w:after="120"/>
      </w:pPr>
      <w:r>
        <w:rPr>
          <w:rFonts w:ascii="Garamond" w:hAnsi="Garamond"/>
          <w:b w:val="0"/>
          <w:i w:val="0"/>
          <w:sz w:val="22"/>
        </w:rPr>
        <w:t>Upper Tribunal: when an EOTAS package is agreed, Section I (placement section) of the EHCP must be left blank. Forces the LA to fund the home package under Section F.</w:t>
      </w:r>
    </w:p>
    <w:p>
      <w:r>
        <w:br w:type="page"/>
      </w:r>
    </w:p>
    <w:p>
      <w:pPr>
        <w:pStyle w:val="Heading1"/>
        <w:jc w:val="center"/>
      </w:pPr>
      <w:r>
        <w:rPr>
          <w:rFonts w:ascii="Garamond" w:hAnsi="Garamond"/>
        </w:rPr>
        <w:t>About the Author</w:t>
      </w:r>
    </w:p>
    <w:p>
      <w:pPr>
        <w:spacing w:after="120"/>
        <w:ind w:firstLine="227"/>
      </w:pPr>
      <w:r>
        <w:rPr>
          <w:rFonts w:ascii="Garamond" w:hAnsi="Garamond"/>
          <w:b w:val="0"/>
          <w:i w:val="0"/>
          <w:sz w:val="22"/>
        </w:rPr>
        <w:t>Stephen Mallett is a former Headteacher and SENCo with twenty-five years inside the UK education system. He has led schools through inspection, overseen complex SEND provision, written and defended EHCPs, and made the calls to Local Authorities that parents are usually the wrong side of.</w:t>
      </w:r>
    </w:p>
    <w:p>
      <w:pPr>
        <w:spacing w:after="120"/>
        <w:ind w:firstLine="227"/>
      </w:pPr>
      <w:r>
        <w:rPr>
          <w:rFonts w:ascii="Garamond" w:hAnsi="Garamond"/>
          <w:b w:val="0"/>
          <w:i w:val="0"/>
          <w:sz w:val="22"/>
        </w:rPr>
        <w:t>He is also a parent. The framework in this book is the one he reached for when his own family needed it — and the one he could not find on a shelf.</w:t>
      </w:r>
    </w:p>
    <w:p>
      <w:pPr>
        <w:spacing w:after="120"/>
        <w:ind w:firstLine="227"/>
      </w:pPr>
      <w:r>
        <w:rPr>
          <w:rFonts w:ascii="Garamond" w:hAnsi="Garamond"/>
          <w:b w:val="0"/>
          <w:i w:val="0"/>
          <w:sz w:val="22"/>
        </w:rPr>
        <w:t>He is the founder of SEND Navigate, which provides specialist EHCP and tribunal advisory support to families and the See It. Support It. Teach It. SEND training programme to schools and MATs.</w:t>
      </w:r>
    </w:p>
    <w:p>
      <w:pPr>
        <w:spacing w:after="120"/>
        <w:ind w:firstLine="227"/>
      </w:pPr>
      <w:r>
        <w:rPr>
          <w:rFonts w:ascii="Garamond" w:hAnsi="Garamond"/>
          <w:b w:val="0"/>
          <w:i w:val="0"/>
          <w:sz w:val="22"/>
        </w:rPr>
        <w:t>He is the author of Parent Shield, the first volume in The SEND Navigate Library.</w:t>
      </w:r>
    </w:p>
    <w:p>
      <w:pPr>
        <w:spacing w:after="120"/>
        <w:ind w:firstLine="227"/>
      </w:pPr>
      <w:r>
        <w:rPr>
          <w:rFonts w:ascii="Garamond" w:hAnsi="Garamond"/>
          <w:b w:val="0"/>
          <w:i w:val="0"/>
          <w:sz w:val="22"/>
        </w:rPr>
        <w:t>He lives in the United Kingdom and works with families across England.</w:t>
      </w:r>
    </w:p>
    <w:p>
      <w:pPr>
        <w:spacing w:before="360" w:after="0"/>
        <w:jc w:val="center"/>
      </w:pPr>
      <w:r>
        <w:rPr>
          <w:rFonts w:ascii="Garamond" w:hAnsi="Garamond"/>
          <w:b w:val="0"/>
          <w:i/>
          <w:sz w:val="20"/>
        </w:rPr>
        <w:t>sendnavigate.org   ·   hello@sendnavigate.org</w:t>
      </w:r>
    </w:p>
    <w:p>
      <w:r>
        <w:br w:type="page"/>
      </w:r>
    </w:p>
    <w:p>
      <w:pPr>
        <w:pStyle w:val="Heading1"/>
        <w:jc w:val="center"/>
      </w:pPr>
      <w:r>
        <w:rPr>
          <w:rFonts w:ascii="Garamond" w:hAnsi="Garamond"/>
        </w:rPr>
        <w:t>About SEND Navigate</w:t>
      </w:r>
    </w:p>
    <w:p>
      <w:pPr>
        <w:spacing w:after="120"/>
        <w:ind w:firstLine="227"/>
      </w:pPr>
      <w:r>
        <w:rPr>
          <w:rFonts w:ascii="Garamond" w:hAnsi="Garamond"/>
          <w:b w:val="0"/>
          <w:i w:val="0"/>
          <w:sz w:val="22"/>
        </w:rPr>
        <w:t>SEND Navigate exists to close the gap between what the law in England promises children with special educational needs — and what the system, as it currently operates, actually delivers.</w:t>
      </w:r>
    </w:p>
    <w:p>
      <w:pPr>
        <w:spacing w:after="120"/>
        <w:ind w:firstLine="227"/>
      </w:pPr>
      <w:r>
        <w:rPr>
          <w:rFonts w:ascii="Garamond" w:hAnsi="Garamond"/>
          <w:b w:val="0"/>
          <w:i w:val="0"/>
          <w:sz w:val="22"/>
        </w:rPr>
        <w:t>It operates in two arms.</w:t>
      </w:r>
    </w:p>
    <w:p>
      <w:pPr>
        <w:spacing w:before="280" w:after="120"/>
      </w:pPr>
      <w:r>
        <w:rPr>
          <w:rFonts w:ascii="Garamond" w:hAnsi="Garamond"/>
          <w:b/>
          <w:color w:val="1B3A5C"/>
          <w:sz w:val="24"/>
        </w:rPr>
        <w:t>For Families</w:t>
      </w:r>
    </w:p>
    <w:p>
      <w:pPr>
        <w:spacing w:after="120"/>
        <w:ind w:firstLine="227"/>
      </w:pPr>
      <w:r>
        <w:rPr>
          <w:rFonts w:ascii="Garamond" w:hAnsi="Garamond"/>
          <w:b w:val="0"/>
          <w:i w:val="0"/>
          <w:sz w:val="22"/>
        </w:rPr>
        <w:t>Specialist EHCP and tribunal advisory support for parents and carers navigating the special educational needs system in England.</w:t>
      </w:r>
    </w:p>
    <w:p>
      <w:pPr>
        <w:spacing w:after="120"/>
        <w:ind w:firstLine="227"/>
      </w:pPr>
      <w:r>
        <w:rPr>
          <w:rFonts w:ascii="Garamond" w:hAnsi="Garamond"/>
          <w:b w:val="0"/>
          <w:i w:val="0"/>
          <w:sz w:val="22"/>
        </w:rPr>
        <w:t>Every engagement begins with a free fifteen-minute call.</w:t>
      </w:r>
    </w:p>
    <w:p>
      <w:pPr>
        <w:spacing w:after="120"/>
      </w:pPr>
      <w:r>
        <w:rPr>
          <w:rFonts w:ascii="Garamond" w:hAnsi="Garamond"/>
          <w:b w:val="0"/>
          <w:i w:val="0"/>
          <w:sz w:val="22"/>
        </w:rPr>
        <w:t>Initial Consultation  ·  £160</w:t>
      </w:r>
    </w:p>
    <w:p>
      <w:pPr>
        <w:spacing w:after="120"/>
      </w:pPr>
      <w:r>
        <w:rPr>
          <w:rFonts w:ascii="Garamond" w:hAnsi="Garamond"/>
          <w:b w:val="0"/>
          <w:i w:val="0"/>
          <w:sz w:val="22"/>
        </w:rPr>
        <w:t>EHCP Application Support  ·  £395</w:t>
      </w:r>
    </w:p>
    <w:p>
      <w:pPr>
        <w:spacing w:after="120"/>
      </w:pPr>
      <w:r>
        <w:rPr>
          <w:rFonts w:ascii="Garamond" w:hAnsi="Garamond"/>
          <w:b w:val="0"/>
          <w:i w:val="0"/>
          <w:sz w:val="22"/>
        </w:rPr>
        <w:t>EHCP Review &amp; Strengthening  ·  £480</w:t>
      </w:r>
    </w:p>
    <w:p>
      <w:pPr/>
      <w:r>
        <w:rPr>
          <w:rFonts w:ascii="Garamond" w:hAnsi="Garamond"/>
          <w:sz w:val="22"/>
        </w:rPr>
        <w:t>Exclusion &amp; Discrimination Support  ·  £1,200</w:t>
      </w:r>
    </w:p>
    <w:p>
      <w:pPr>
        <w:spacing w:after="120"/>
      </w:pPr>
      <w:r>
        <w:rPr>
          <w:rFonts w:ascii="Garamond" w:hAnsi="Garamond"/>
          <w:b w:val="0"/>
          <w:i w:val="0"/>
          <w:sz w:val="22"/>
        </w:rPr>
        <w:t>LA Decision Appeal Package  ·  £1,440</w:t>
      </w:r>
    </w:p>
    <w:p>
      <w:pPr>
        <w:spacing w:after="120"/>
      </w:pPr>
      <w:r>
        <w:rPr>
          <w:rFonts w:ascii="Garamond" w:hAnsi="Garamond"/>
          <w:b w:val="0"/>
          <w:i w:val="0"/>
          <w:sz w:val="22"/>
        </w:rPr>
        <w:t>Complete Tribunal Preparation Pack  ·  £2,400</w:t>
      </w:r>
    </w:p>
    <w:p>
      <w:pPr>
        <w:spacing w:after="120"/>
      </w:pPr>
      <w:r>
        <w:rPr>
          <w:rFonts w:ascii="Garamond" w:hAnsi="Garamond"/>
          <w:b w:val="0"/>
          <w:i/>
          <w:sz w:val="22"/>
        </w:rPr>
        <w:t>sendnavigate.org/ehcp-advisory</w:t>
      </w:r>
    </w:p>
    <w:p>
      <w:pPr>
        <w:spacing w:before="280" w:after="120"/>
      </w:pPr>
      <w:r>
        <w:rPr>
          <w:rFonts w:ascii="Garamond" w:hAnsi="Garamond"/>
          <w:b/>
          <w:color w:val="1B3A5C"/>
          <w:sz w:val="24"/>
        </w:rPr>
        <w:t>For Schools and MATs</w:t>
      </w:r>
    </w:p>
    <w:p>
      <w:pPr>
        <w:spacing w:after="120"/>
        <w:ind w:firstLine="227"/>
      </w:pPr>
      <w:r>
        <w:rPr>
          <w:rFonts w:ascii="Garamond" w:hAnsi="Garamond"/>
          <w:b w:val="0"/>
          <w:i w:val="0"/>
          <w:sz w:val="22"/>
        </w:rPr>
        <w:t>See It. Support It. Teach It. — a three-module SEND training programme, designed for in-house delivery by your SENCo, with no external trainer required.</w:t>
      </w:r>
    </w:p>
    <w:p>
      <w:pPr>
        <w:spacing w:after="120"/>
        <w:ind w:firstLine="227"/>
      </w:pPr>
      <w:r>
        <w:rPr>
          <w:rFonts w:ascii="Garamond" w:hAnsi="Garamond"/>
          <w:b w:val="0"/>
          <w:i w:val="0"/>
          <w:sz w:val="22"/>
        </w:rPr>
        <w:t>Aligned with the EEF Five-a-Day, Positive Behaviour Support, and the new Ofsted framework's expectations for SEND provision in the mainstream classroom.</w:t>
      </w:r>
    </w:p>
    <w:p>
      <w:pPr>
        <w:spacing w:after="120"/>
      </w:pPr>
      <w:r>
        <w:rPr>
          <w:rFonts w:ascii="Garamond" w:hAnsi="Garamond"/>
          <w:b w:val="0"/>
          <w:i w:val="0"/>
          <w:sz w:val="22"/>
        </w:rPr>
        <w:t>School Licence  ·  £799</w:t>
      </w:r>
    </w:p>
    <w:p>
      <w:pPr>
        <w:spacing w:after="120"/>
      </w:pPr>
      <w:r>
        <w:rPr>
          <w:rFonts w:ascii="Garamond" w:hAnsi="Garamond"/>
          <w:b w:val="0"/>
          <w:i w:val="0"/>
          <w:sz w:val="22"/>
        </w:rPr>
        <w:t>Small MAT Licence (2–5 schools)  ·  £1,799</w:t>
      </w:r>
    </w:p>
    <w:p>
      <w:pPr>
        <w:spacing w:after="120"/>
      </w:pPr>
      <w:r>
        <w:rPr>
          <w:rFonts w:ascii="Garamond" w:hAnsi="Garamond"/>
          <w:b w:val="0"/>
          <w:i w:val="0"/>
          <w:sz w:val="22"/>
        </w:rPr>
        <w:t>Large MAT Licence (6+ schools)  ·  £2,999</w:t>
      </w:r>
    </w:p>
    <w:p>
      <w:pPr>
        <w:spacing w:after="120"/>
      </w:pPr>
      <w:r>
        <w:rPr>
          <w:rFonts w:ascii="Garamond" w:hAnsi="Garamond"/>
          <w:b w:val="0"/>
          <w:i w:val="0"/>
          <w:sz w:val="22"/>
        </w:rPr>
        <w:t>CPD / INSET Provider Licence  ·  £2,500</w:t>
      </w:r>
    </w:p>
    <w:p>
      <w:pPr>
        <w:spacing w:after="120"/>
      </w:pPr>
      <w:r>
        <w:rPr>
          <w:rFonts w:ascii="Garamond" w:hAnsi="Garamond"/>
          <w:b w:val="0"/>
          <w:i/>
          <w:sz w:val="22"/>
        </w:rPr>
        <w:t>sendnavigate.org</w:t>
      </w:r>
    </w:p>
    <w:p>
      <w:pPr>
        <w:spacing w:after="120"/>
        <w:ind w:firstLine="227"/>
      </w:pPr>
      <w:r>
        <w:rPr>
          <w:rFonts w:ascii="Garamond" w:hAnsi="Garamond"/>
          <w:b w:val="0"/>
          <w:i w:val="0"/>
          <w:sz w:val="22"/>
        </w:rPr>
        <w:t>Both arms are run by Stephen Mallett — former Headteacher, SENCo, and author of Parent Shield and When Your Child Can't Go to School.</w:t>
      </w:r>
    </w:p>
    <w:p>
      <w:pPr>
        <w:spacing w:after="120"/>
      </w:pPr>
      <w:r>
        <w:rPr>
          <w:rFonts w:ascii="Garamond" w:hAnsi="Garamond"/>
          <w:b w:val="0"/>
          <w:i/>
          <w:sz w:val="22"/>
        </w:rPr>
        <w:t>hello@sendnavigate.org</w:t>
      </w:r>
    </w:p>
    <w:p>
      <w:r>
        <w:br w:type="page"/>
      </w:r>
    </w:p>
    <w:p>
      <w:pPr>
        <w:pStyle w:val="Heading1"/>
        <w:jc w:val="center"/>
      </w:pPr>
      <w:r>
        <w:rPr>
          <w:rFonts w:ascii="Garamond" w:hAnsi="Garamond"/>
        </w:rPr>
        <w:t>The Companion Workbook</w:t>
      </w:r>
    </w:p>
    <w:p>
      <w:pPr>
        <w:spacing w:before="0" w:after="360"/>
        <w:jc w:val="center"/>
      </w:pPr>
      <w:r>
        <w:rPr>
          <w:rFonts w:ascii="Garamond" w:hAnsi="Garamond"/>
          <w:b w:val="0"/>
          <w:i/>
          <w:sz w:val="22"/>
        </w:rPr>
        <w:t>The free companion to this book.</w:t>
      </w:r>
    </w:p>
    <w:p>
      <w:pPr>
        <w:spacing w:after="120"/>
        <w:ind w:firstLine="227"/>
      </w:pPr>
      <w:r>
        <w:rPr>
          <w:rFonts w:ascii="Garamond" w:hAnsi="Garamond"/>
          <w:b w:val="0"/>
          <w:i w:val="0"/>
          <w:sz w:val="22"/>
        </w:rPr>
        <w:t>Forty pages. Fillable. Designed to be opened alongside the book as you work through your case.</w:t>
      </w:r>
    </w:p>
    <w:p>
      <w:pPr>
        <w:spacing w:after="120"/>
        <w:ind w:firstLine="227"/>
      </w:pPr>
      <w:r>
        <w:rPr>
          <w:rFonts w:ascii="Garamond" w:hAnsi="Garamond"/>
          <w:b w:val="0"/>
          <w:i w:val="0"/>
          <w:sz w:val="22"/>
        </w:rPr>
        <w:t>Includes:</w:t>
      </w:r>
    </w:p>
    <w:p>
      <w:pPr>
        <w:spacing w:after="40"/>
        <w:ind w:left="340" w:hanging="227"/>
      </w:pPr>
      <w:r>
        <w:rPr>
          <w:rFonts w:ascii="Garamond" w:hAnsi="Garamond"/>
          <w:sz w:val="20"/>
        </w:rPr>
        <w:t>•  The Three-State Daily Tracker</w:t>
      </w:r>
    </w:p>
    <w:p>
      <w:pPr>
        <w:spacing w:after="40"/>
        <w:ind w:left="340" w:hanging="227"/>
      </w:pPr>
      <w:r>
        <w:rPr>
          <w:rFonts w:ascii="Garamond" w:hAnsi="Garamond"/>
          <w:sz w:val="20"/>
        </w:rPr>
        <w:t>•  The Symptom and Impact Log</w:t>
      </w:r>
    </w:p>
    <w:p>
      <w:pPr>
        <w:spacing w:after="40"/>
        <w:ind w:left="340" w:hanging="227"/>
      </w:pPr>
      <w:r>
        <w:rPr>
          <w:rFonts w:ascii="Garamond" w:hAnsi="Garamond"/>
          <w:sz w:val="20"/>
        </w:rPr>
        <w:t>•  The Core Demands Audit</w:t>
      </w:r>
    </w:p>
    <w:p>
      <w:pPr>
        <w:spacing w:after="40"/>
        <w:ind w:left="340" w:hanging="227"/>
      </w:pPr>
      <w:r>
        <w:rPr>
          <w:rFonts w:ascii="Garamond" w:hAnsi="Garamond"/>
          <w:sz w:val="20"/>
        </w:rPr>
        <w:t>•  The Communication Templates (editable)</w:t>
      </w:r>
    </w:p>
    <w:p>
      <w:pPr>
        <w:spacing w:after="40"/>
        <w:ind w:left="340" w:hanging="227"/>
      </w:pPr>
      <w:r>
        <w:rPr>
          <w:rFonts w:ascii="Garamond" w:hAnsi="Garamond"/>
          <w:sz w:val="20"/>
        </w:rPr>
        <w:t>•  The Section 19 Letter (with fillable fields)</w:t>
      </w:r>
    </w:p>
    <w:p>
      <w:pPr>
        <w:spacing w:after="40"/>
        <w:ind w:left="340" w:hanging="227"/>
      </w:pPr>
      <w:r>
        <w:rPr>
          <w:rFonts w:ascii="Garamond" w:hAnsi="Garamond"/>
          <w:sz w:val="20"/>
        </w:rPr>
        <w:t>•  The EHCNA Application Outline</w:t>
      </w:r>
    </w:p>
    <w:p>
      <w:pPr>
        <w:spacing w:after="40"/>
        <w:ind w:left="340" w:hanging="227"/>
      </w:pPr>
      <w:r>
        <w:rPr>
          <w:rFonts w:ascii="Garamond" w:hAnsi="Garamond"/>
          <w:sz w:val="20"/>
        </w:rPr>
        <w:t>•  The Costed EOTAS Package Builder</w:t>
      </w:r>
    </w:p>
    <w:p>
      <w:pPr>
        <w:spacing w:after="40"/>
        <w:ind w:left="340" w:hanging="227"/>
      </w:pPr>
      <w:r>
        <w:rPr>
          <w:rFonts w:ascii="Garamond" w:hAnsi="Garamond"/>
          <w:sz w:val="20"/>
        </w:rPr>
        <w:t>•  The Your Situation Map — a one-page summary you can bring to a free fifteen-minute call</w:t>
      </w:r>
    </w:p>
    <w:p>
      <w:pPr>
        <w:spacing w:before="360" w:after="0"/>
        <w:jc w:val="center"/>
      </w:pPr>
      <w:r>
        <w:rPr>
          <w:rFonts w:ascii="Garamond" w:hAnsi="Garamond"/>
          <w:b w:val="0"/>
          <w:i w:val="0"/>
          <w:sz w:val="22"/>
        </w:rPr>
        <w:t>Free download:</w:t>
      </w:r>
    </w:p>
    <w:p>
      <w:pPr>
        <w:spacing w:before="0" w:after="0"/>
        <w:jc w:val="center"/>
      </w:pPr>
      <w:r>
        <w:rPr>
          <w:rFonts w:ascii="Garamond" w:hAnsi="Garamond"/>
          <w:b/>
          <w:i w:val="0"/>
          <w:sz w:val="24"/>
        </w:rPr>
        <w:t>sendnavigate.org/workbook</w:t>
      </w:r>
    </w:p>
    <w:p>
      <w:r>
        <w:br w:type="page"/>
      </w:r>
    </w:p>
    <w:p>
      <w:pPr>
        <w:pStyle w:val="Heading1"/>
        <w:jc w:val="center"/>
      </w:pPr>
      <w:r>
        <w:rPr>
          <w:rFonts w:ascii="Garamond" w:hAnsi="Garamond"/>
        </w:rPr>
        <w:t>Acknowledgements</w:t>
      </w:r>
    </w:p>
    <w:p>
      <w:pPr>
        <w:spacing w:after="120"/>
        <w:ind w:firstLine="227"/>
      </w:pPr>
      <w:r>
        <w:rPr>
          <w:rFonts w:ascii="Garamond" w:hAnsi="Garamond"/>
          <w:b w:val="0"/>
          <w:i w:val="0"/>
          <w:sz w:val="22"/>
        </w:rPr>
        <w:t>This book was written for parents I have met across twenty-five years inside the system, on every side of the table. They will not be named here, but they will recognise themselves in these pages.</w:t>
      </w:r>
    </w:p>
    <w:p>
      <w:pPr>
        <w:spacing w:after="120"/>
        <w:ind w:firstLine="227"/>
      </w:pPr>
      <w:r>
        <w:rPr>
          <w:rFonts w:ascii="Garamond" w:hAnsi="Garamond"/>
          <w:b w:val="0"/>
          <w:i w:val="0"/>
          <w:sz w:val="22"/>
        </w:rPr>
        <w:t>I am grateful to —</w:t>
      </w:r>
    </w:p>
    <w:p>
      <w:pPr>
        <w:spacing w:after="120"/>
        <w:ind w:firstLine="227"/>
      </w:pPr>
      <w:r>
        <w:rPr>
          <w:rFonts w:ascii="Garamond" w:hAnsi="Garamond"/>
          <w:b w:val="0"/>
          <w:i/>
          <w:sz w:val="22"/>
        </w:rPr>
        <w:t>The parents who read the manuscript in early form and pushed back where it mattered.</w:t>
      </w:r>
    </w:p>
    <w:p>
      <w:pPr>
        <w:spacing w:after="120"/>
        <w:ind w:firstLine="227"/>
      </w:pPr>
      <w:r>
        <w:rPr>
          <w:rFonts w:ascii="Garamond" w:hAnsi="Garamond"/>
          <w:b w:val="0"/>
          <w:i/>
          <w:sz w:val="22"/>
        </w:rPr>
        <w:t>The colleagues — SENCos, Headteachers, Educational Psychologists — who let me check the framework against their experience.</w:t>
      </w:r>
    </w:p>
    <w:p>
      <w:pPr>
        <w:spacing w:after="120"/>
        <w:ind w:firstLine="227"/>
      </w:pPr>
      <w:r>
        <w:rPr>
          <w:rFonts w:ascii="Garamond" w:hAnsi="Garamond"/>
          <w:b w:val="0"/>
          <w:i/>
          <w:sz w:val="22"/>
        </w:rPr>
        <w:t>The SEND community organisations — Square Peg, Not Fine in School, the PDA Society — whose work makes this kind of book possible.</w:t>
      </w:r>
    </w:p>
    <w:p>
      <w:pPr>
        <w:spacing w:after="120"/>
        <w:ind w:firstLine="227"/>
      </w:pPr>
      <w:r>
        <w:rPr>
          <w:rFonts w:ascii="Garamond" w:hAnsi="Garamond"/>
          <w:b w:val="0"/>
          <w:i/>
          <w:sz w:val="22"/>
        </w:rPr>
        <w:t>The legal practitioners who reviewed the chapters on Section 19, EHCP, and EOTAS, and corrected what I had wrong.</w:t>
      </w:r>
    </w:p>
    <w:p>
      <w:pPr>
        <w:spacing w:after="120"/>
        <w:ind w:firstLine="227"/>
      </w:pPr>
      <w:r>
        <w:rPr>
          <w:rFonts w:ascii="Garamond" w:hAnsi="Garamond"/>
          <w:b w:val="0"/>
          <w:i/>
          <w:sz w:val="22"/>
        </w:rPr>
        <w:t>[Family — names, with thanks.]</w:t>
      </w:r>
    </w:p>
    <w:p>
      <w:pPr>
        <w:spacing w:after="120"/>
        <w:ind w:firstLine="227"/>
      </w:pPr>
      <w:r>
        <w:rPr>
          <w:rFonts w:ascii="Garamond" w:hAnsi="Garamond"/>
          <w:b w:val="0"/>
          <w:i w:val="0"/>
          <w:sz w:val="22"/>
        </w:rPr>
        <w:t>Most of all, to the children whose distress I watched professionals fail to read. This is what I wish we had known sooner. It is here for the children who come next.</w:t>
      </w:r>
    </w:p>
    <w:p>
      <w:pPr>
        <w:spacing w:before="240" w:after="0"/>
        <w:jc w:val="center"/>
      </w:pPr>
      <w:r>
        <w:rPr>
          <w:rFonts w:ascii="Garamond" w:hAnsi="Garamond"/>
          <w:b w:val="0"/>
          <w:i/>
          <w:sz w:val="22"/>
        </w:rPr>
        <w:t>— Stephen Mallett</w:t>
      </w:r>
    </w:p>
    <w:p>
      <w:r>
        <w:br w:type="page"/>
      </w:r>
    </w:p>
    <w:p>
      <w:pPr>
        <w:spacing w:before="2400" w:after="0"/>
        <w:jc w:val="center"/>
      </w:pPr>
      <w:r>
        <w:rPr>
          <w:rFonts w:ascii="Garamond" w:hAnsi="Garamond"/>
          <w:b w:val="0"/>
          <w:i w:val="0"/>
          <w:sz w:val="22"/>
        </w:rPr>
      </w:r>
    </w:p>
    <w:p>
      <w:pPr>
        <w:spacing w:after="120"/>
        <w:ind w:firstLine="227"/>
      </w:pPr>
      <w:r>
        <w:rPr>
          <w:rFonts w:ascii="Garamond" w:hAnsi="Garamond"/>
          <w:b w:val="0"/>
          <w:i/>
          <w:sz w:val="22"/>
        </w:rPr>
        <w:t>If you have read this book in sequence, you have read your way through the worst phase of your family's life.</w:t>
      </w:r>
    </w:p>
    <w:p>
      <w:pPr>
        <w:spacing w:after="120"/>
        <w:ind w:firstLine="227"/>
      </w:pPr>
      <w:r>
        <w:rPr>
          <w:rFonts w:ascii="Garamond" w:hAnsi="Garamond"/>
          <w:b w:val="0"/>
          <w:i/>
          <w:sz w:val="22"/>
        </w:rPr>
        <w:t>I'm sorry it was needed.</w:t>
      </w:r>
    </w:p>
    <w:p>
      <w:pPr>
        <w:spacing w:after="120"/>
        <w:ind w:firstLine="227"/>
      </w:pPr>
      <w:r>
        <w:rPr>
          <w:rFonts w:ascii="Garamond" w:hAnsi="Garamond"/>
          <w:b w:val="0"/>
          <w:i/>
          <w:sz w:val="22"/>
        </w:rPr>
        <w:t>The book exists because the system, in its current shape, does not yet meet the children who fall out of it. While that remains true, parents will need manuals like this one. I hope, one day, that books like this are remembered as documents of a specific period — and not as ongoing necessities.</w:t>
      </w:r>
    </w:p>
    <w:p>
      <w:pPr>
        <w:spacing w:after="120"/>
        <w:ind w:firstLine="227"/>
      </w:pPr>
      <w:r>
        <w:rPr>
          <w:rFonts w:ascii="Garamond" w:hAnsi="Garamond"/>
          <w:b w:val="0"/>
          <w:i/>
          <w:sz w:val="22"/>
        </w:rPr>
        <w:t>Until then, you have the manual.</w:t>
      </w:r>
    </w:p>
    <w:p>
      <w:pPr>
        <w:spacing w:after="120"/>
        <w:ind w:firstLine="227"/>
      </w:pPr>
      <w:r>
        <w:rPr>
          <w:rFonts w:ascii="Garamond" w:hAnsi="Garamond"/>
          <w:b w:val="0"/>
          <w:i/>
          <w:sz w:val="22"/>
        </w:rPr>
        <w:t>And if you would rather not finish this alone, the free call is at sendnavigate.org/book.</w:t>
      </w:r>
    </w:p>
    <w:p>
      <w:pPr>
        <w:spacing w:after="120"/>
        <w:ind w:firstLine="227"/>
      </w:pPr>
      <w:r>
        <w:rPr>
          <w:rFonts w:ascii="Garamond" w:hAnsi="Garamond"/>
          <w:b w:val="0"/>
          <w:i/>
          <w:sz w:val="22"/>
        </w:rPr>
        <w:t>Take care of yourself. The child you saved is here because of you.</w:t>
      </w:r>
    </w:p>
    <w:p>
      <w:pPr>
        <w:spacing w:before="360" w:after="0"/>
        <w:jc w:val="center"/>
      </w:pPr>
      <w:r>
        <w:rPr>
          <w:rFonts w:ascii="Garamond" w:hAnsi="Garamond"/>
          <w:b/>
          <w:i w:val="0"/>
          <w:sz w:val="22"/>
        </w:rPr>
        <w:t>Stephen Mallett</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aramond" w:hAnsi="Garamond"/>
      <w:b/>
      <w:bCs/>
      <w:i/>
      <w:iCs/>
      <w:color w:val="1B3A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