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2"/>
          <w:szCs w:val="32"/>
        </w:rPr>
        <w:t xml:space="preserve">SEND Navigate</w:t>
      </w:r>
    </w:p>
    <w:p>
      <w:pPr>
        <w:spacing w:after="80"/>
        <w:jc w:val="center"/>
      </w:pPr>
      <w:r>
        <w:rPr>
          <w:b/>
          <w:bCs/>
          <w:color w:val="1F4E79"/>
          <w:sz w:val="40"/>
          <w:szCs w:val="40"/>
        </w:rPr>
        <w:t xml:space="preserve">SEN Casework Capability Playbook</w:t>
      </w:r>
    </w:p>
    <w:p>
      <w:pPr>
        <w:spacing w:after="360"/>
        <w:jc w:val="center"/>
      </w:pPr>
      <w:r>
        <w:rPr>
          <w:i/>
          <w:iCs/>
          <w:color w:val="595959"/>
          <w:sz w:val="22"/>
          <w:szCs w:val="22"/>
        </w:rPr>
        <w:t xml:space="preserve">How the seven SEN casework skills support each EHCP &amp; Tribunal Advisory package — and when to use them</w:t>
      </w:r>
    </w:p>
    <w:p>
      <w:pPr>
        <w:pStyle w:val="Heading1"/>
      </w:pPr>
      <w:r>
        <w:t xml:space="preserve">What this document is</w:t>
      </w:r>
    </w:p>
    <w:p>
      <w:pPr>
        <w:spacing w:after="120"/>
      </w:pPr>
      <w:r>
        <w:t xml:space="preserve">SEND Navigate's family-facing advisory side is supported by a set of seven SEN casework skills built specifically for English EHCP, tribunal and disability discrimination work. They sit inside Stephen's working environment and are invoked directly during case delivery — not by the client, by Stephen as the practitioner.</w:t>
      </w:r>
    </w:p>
    <w:p>
      <w:pPr>
        <w:spacing w:after="120"/>
      </w:pPr>
      <w:r>
        <w:t xml:space="preserve">This playbook does two things. First, it summarises each of the seven skills in plain English so you remember what's available without re-reading the technical descriptions. Second, it maps each skill onto the five paid service packages so you know which combinations to reach for when a particular case lands.</w:t>
      </w:r>
    </w:p>
    <w:p>
      <w:pPr>
        <w:spacing w:after="120"/>
      </w:pPr>
      <w:r>
        <w:rPr>
          <w:i/>
          <w:iCs/>
        </w:rPr>
        <w:t xml:space="preserve">Keep this alongside the EHCP &amp; Tribunal Advisory landing page and the Stripe product list. It's the internal counterpart to the public service catalogue.</w:t>
      </w:r>
    </w:p>
    <w:p>
      <w:pPr>
        <w:pStyle w:val="Heading1"/>
      </w:pPr>
      <w:r>
        <w:t xml:space="preserve">The seven SEN casework skills</w:t>
      </w:r>
    </w:p>
    <w:p>
      <w:pPr>
        <w:pStyle w:val="Heading2"/>
      </w:pPr>
      <w:r>
        <w:t xml:space="preserve">sen-case-intake</w:t>
      </w:r>
    </w:p>
    <w:p>
      <w:pPr>
        <w:spacing w:after="120"/>
      </w:pPr>
      <w:r>
        <w:rPr>
          <w:b/>
          <w:bCs/>
        </w:rPr>
        <w:t xml:space="preserve">Open a new case cleanly — classify every document, extract the facts, build the folder.</w:t>
      </w:r>
    </w:p>
    <w:p>
      <w:pPr>
        <w:spacing w:after="120"/>
      </w:pPr>
      <w:r>
        <w:t xml:space="preserve">Use at the start of every paid engagement. Takes a folder of documents the parent has sent over and produces a structured case file with classified evidence, extracted dates and a recommendation for the next skill to run.</w:t>
      </w:r>
    </w:p>
    <w:p>
      <w:pPr>
        <w:spacing w:after="60"/>
      </w:pPr>
      <w:r>
        <w:rPr>
          <w:b/>
          <w:bCs/>
        </w:rPr>
        <w:t xml:space="preserve">Triggers:</w:t>
      </w:r>
    </w:p>
    <w:p>
      <w:pPr>
        <w:pStyle w:val="ListParagraph"/>
        <w:numPr>
          <w:ilvl w:val="0"/>
          <w:numId w:val="2"/>
        </w:numPr>
        <w:spacing w:after="40"/>
      </w:pPr>
      <w:r>
        <w:t xml:space="preserve">"open a new case for [child name]"</w:t>
      </w:r>
    </w:p>
    <w:p>
      <w:pPr>
        <w:pStyle w:val="ListParagraph"/>
        <w:numPr>
          <w:ilvl w:val="0"/>
          <w:numId w:val="2"/>
        </w:numPr>
        <w:spacing w:after="40"/>
      </w:pPr>
      <w:r>
        <w:t xml:space="preserve">"intake these documents"</w:t>
      </w:r>
    </w:p>
    <w:p>
      <w:pPr>
        <w:pStyle w:val="ListParagraph"/>
        <w:numPr>
          <w:ilvl w:val="0"/>
          <w:numId w:val="2"/>
        </w:numPr>
        <w:spacing w:after="40"/>
      </w:pPr>
      <w:r>
        <w:t xml:space="preserve">"set up a new SEN case"</w:t>
      </w:r>
    </w:p>
    <w:p>
      <w:pPr>
        <w:pStyle w:val="ListParagraph"/>
        <w:numPr>
          <w:ilvl w:val="0"/>
          <w:numId w:val="2"/>
        </w:numPr>
        <w:spacing w:after="40"/>
      </w:pPr>
      <w:r>
        <w:t xml:space="preserve">Whenever a parent uploads a folder of EHCP / LA letters / reports for the first time</w:t>
      </w:r>
    </w:p>
    <w:p>
      <w:pPr>
        <w:spacing w:after="60"/>
      </w:pPr>
      <w:r>
        <w:rPr>
          <w:b/>
          <w:bCs/>
        </w:rPr>
        <w:t xml:space="preserve">Outputs:</w:t>
      </w:r>
    </w:p>
    <w:p>
      <w:pPr>
        <w:spacing w:after="120"/>
      </w:pPr>
      <w:r>
        <w:rPr>
          <w:i/>
          <w:iCs/>
        </w:rPr>
        <w:t xml:space="preserve">Structured case folder. Document classification log. Extracted case facts (key dates, parties, current stage). Recommendation for the next skill to invoke.</w:t>
      </w:r>
    </w:p>
    <w:p>
      <w:pPr>
        <w:spacing w:after="120"/>
      </w:pPr>
      <w:r>
        <w:t xml:space="preserve"/>
      </w:r>
    </w:p>
    <w:p>
      <w:pPr>
        <w:pStyle w:val="Heading2"/>
      </w:pPr>
      <w:r>
        <w:t xml:space="preserve">sen-ehcp-analyse</w:t>
      </w:r>
    </w:p>
    <w:p>
      <w:pPr>
        <w:spacing w:after="120"/>
      </w:pPr>
      <w:r>
        <w:rPr>
          <w:b/>
          <w:bCs/>
        </w:rPr>
        <w:t xml:space="preserve">Audit any EHCP section by section against specificity case law.</w:t>
      </w:r>
    </w:p>
    <w:p>
      <w:pPr>
        <w:spacing w:after="120"/>
      </w:pPr>
      <w:r>
        <w:t xml:space="preserve">The heart of the £480 EHCP Review &amp; Strengthening package. Reviews a draft, final or amended EHCP, scores Section F (provision) against L v Clarke specificity criteria, and lists every vague, missing or unlawful element with the legal citation that supports challenging it.</w:t>
      </w:r>
    </w:p>
    <w:p>
      <w:pPr>
        <w:spacing w:after="60"/>
      </w:pPr>
      <w:r>
        <w:rPr>
          <w:b/>
          <w:bCs/>
        </w:rPr>
        <w:t xml:space="preserve">Triggers:</w:t>
      </w:r>
    </w:p>
    <w:p>
      <w:pPr>
        <w:pStyle w:val="ListParagraph"/>
        <w:numPr>
          <w:ilvl w:val="0"/>
          <w:numId w:val="2"/>
        </w:numPr>
        <w:spacing w:after="40"/>
      </w:pPr>
      <w:r>
        <w:t xml:space="preserve">"analyse this EHCP"</w:t>
      </w:r>
    </w:p>
    <w:p>
      <w:pPr>
        <w:pStyle w:val="ListParagraph"/>
        <w:numPr>
          <w:ilvl w:val="0"/>
          <w:numId w:val="2"/>
        </w:numPr>
        <w:spacing w:after="40"/>
      </w:pPr>
      <w:r>
        <w:t xml:space="preserve">"check Section F"</w:t>
      </w:r>
    </w:p>
    <w:p>
      <w:pPr>
        <w:pStyle w:val="ListParagraph"/>
        <w:numPr>
          <w:ilvl w:val="0"/>
          <w:numId w:val="2"/>
        </w:numPr>
        <w:spacing w:after="40"/>
      </w:pPr>
      <w:r>
        <w:t xml:space="preserve">"audit the plan for specificity"</w:t>
      </w:r>
    </w:p>
    <w:p>
      <w:pPr>
        <w:pStyle w:val="ListParagraph"/>
        <w:numPr>
          <w:ilvl w:val="0"/>
          <w:numId w:val="2"/>
        </w:numPr>
        <w:spacing w:after="40"/>
      </w:pPr>
      <w:r>
        <w:t xml:space="preserve">"score Section F against L v Clarke"</w:t>
      </w:r>
    </w:p>
    <w:p>
      <w:pPr>
        <w:spacing w:after="60"/>
      </w:pPr>
      <w:r>
        <w:rPr>
          <w:b/>
          <w:bCs/>
        </w:rPr>
        <w:t xml:space="preserve">Outputs:</w:t>
      </w:r>
    </w:p>
    <w:p>
      <w:pPr>
        <w:spacing w:after="120"/>
      </w:pPr>
      <w:r>
        <w:rPr>
          <w:i/>
          <w:iCs/>
        </w:rPr>
        <w:t xml:space="preserve">Section-by-section audit (A through K). Specificity score on Section F. Annotated list of every weakness with the legal authority to challenge it. Recommended amendment list ready to drop into sen-letter-draft.</w:t>
      </w:r>
    </w:p>
    <w:p>
      <w:pPr>
        <w:spacing w:after="120"/>
      </w:pPr>
      <w:r>
        <w:t xml:space="preserve"/>
      </w:r>
    </w:p>
    <w:p>
      <w:pPr>
        <w:pStyle w:val="Heading2"/>
      </w:pPr>
      <w:r>
        <w:t xml:space="preserve">sen-letter-draft</w:t>
      </w:r>
    </w:p>
    <w:p>
      <w:pPr>
        <w:spacing w:after="120"/>
      </w:pPr>
      <w:r>
        <w:rPr>
          <w:b/>
          <w:bCs/>
        </w:rPr>
        <w:t xml:space="preserve">Draft any SEN/EHCP letter in the right tone with the right citations.</w:t>
      </w:r>
    </w:p>
    <w:p>
      <w:pPr>
        <w:spacing w:after="120"/>
      </w:pPr>
      <w:r>
        <w:t xml:space="preserve">Workhorse skill used across every package. Drafts letters to the LA, SEN team, school SENCO, mediation service or for a Subject Access Request. Tone-matched to the relationship and the escalation level, statutory references included where they help.</w:t>
      </w:r>
    </w:p>
    <w:p>
      <w:pPr>
        <w:spacing w:after="60"/>
      </w:pPr>
      <w:r>
        <w:rPr>
          <w:b/>
          <w:bCs/>
        </w:rPr>
        <w:t xml:space="preserve">Triggers:</w:t>
      </w:r>
    </w:p>
    <w:p>
      <w:pPr>
        <w:pStyle w:val="ListParagraph"/>
        <w:numPr>
          <w:ilvl w:val="0"/>
          <w:numId w:val="2"/>
        </w:numPr>
        <w:spacing w:after="40"/>
      </w:pPr>
      <w:r>
        <w:t xml:space="preserve">"draft a letter to the LA"</w:t>
      </w:r>
    </w:p>
    <w:p>
      <w:pPr>
        <w:pStyle w:val="ListParagraph"/>
        <w:numPr>
          <w:ilvl w:val="0"/>
          <w:numId w:val="2"/>
        </w:numPr>
        <w:spacing w:after="40"/>
      </w:pPr>
      <w:r>
        <w:t xml:space="preserve">"write to the SEN team"</w:t>
      </w:r>
    </w:p>
    <w:p>
      <w:pPr>
        <w:pStyle w:val="ListParagraph"/>
        <w:numPr>
          <w:ilvl w:val="0"/>
          <w:numId w:val="2"/>
        </w:numPr>
        <w:spacing w:after="40"/>
      </w:pPr>
      <w:r>
        <w:t xml:space="preserve">"draft a request to assess"</w:t>
      </w:r>
    </w:p>
    <w:p>
      <w:pPr>
        <w:pStyle w:val="ListParagraph"/>
        <w:numPr>
          <w:ilvl w:val="0"/>
          <w:numId w:val="2"/>
        </w:numPr>
        <w:spacing w:after="40"/>
      </w:pPr>
      <w:r>
        <w:t xml:space="preserve">"complain to the LA"</w:t>
      </w:r>
    </w:p>
    <w:p>
      <w:pPr>
        <w:pStyle w:val="ListParagraph"/>
        <w:numPr>
          <w:ilvl w:val="0"/>
          <w:numId w:val="2"/>
        </w:numPr>
        <w:spacing w:after="40"/>
      </w:pPr>
      <w:r>
        <w:t xml:space="preserve">"draft a working document request"</w:t>
      </w:r>
    </w:p>
    <w:p>
      <w:pPr>
        <w:pStyle w:val="ListParagraph"/>
        <w:numPr>
          <w:ilvl w:val="0"/>
          <w:numId w:val="2"/>
        </w:numPr>
        <w:spacing w:after="40"/>
      </w:pPr>
      <w:r>
        <w:t xml:space="preserve">"subject access request for SEN file"</w:t>
      </w:r>
    </w:p>
    <w:p>
      <w:pPr>
        <w:spacing w:after="60"/>
      </w:pPr>
      <w:r>
        <w:rPr>
          <w:b/>
          <w:bCs/>
        </w:rPr>
        <w:t xml:space="preserve">Outputs:</w:t>
      </w:r>
    </w:p>
    <w:p>
      <w:pPr>
        <w:spacing w:after="120"/>
      </w:pPr>
      <w:r>
        <w:rPr>
          <w:i/>
          <w:iCs/>
        </w:rPr>
        <w:t xml:space="preserve">A ready-to-send letter addressed to the right party, with the right statutory citations, at the right tone for the relationship.</w:t>
      </w:r>
    </w:p>
    <w:p>
      <w:pPr>
        <w:spacing w:after="120"/>
      </w:pPr>
      <w:r>
        <w:t xml:space="preserve"/>
      </w:r>
    </w:p>
    <w:p>
      <w:pPr>
        <w:pStyle w:val="Heading2"/>
      </w:pPr>
      <w:r>
        <w:t xml:space="preserve">sen-deadline-tracker</w:t>
      </w:r>
    </w:p>
    <w:p>
      <w:pPr>
        <w:spacing w:after="120"/>
      </w:pPr>
      <w:r>
        <w:rPr>
          <w:b/>
          <w:bCs/>
        </w:rPr>
        <w:t xml:space="preserve">Convert any case event date into every statutory deadline that follows.</w:t>
      </w:r>
    </w:p>
    <w:p>
      <w:pPr>
        <w:spacing w:after="120"/>
      </w:pPr>
      <w:r>
        <w:t xml:space="preserve">Run on every new case at intake. Given any single date (request to assess, decision letter, draft plan, final plan, mediation certificate, annual review, exclusion), it returns every relevant statutory deadline that flows from it — with the regulation that creates each deadline.</w:t>
      </w:r>
    </w:p>
    <w:p>
      <w:pPr>
        <w:spacing w:after="60"/>
      </w:pPr>
      <w:r>
        <w:rPr>
          <w:b/>
          <w:bCs/>
        </w:rPr>
        <w:t xml:space="preserve">Triggers:</w:t>
      </w:r>
    </w:p>
    <w:p>
      <w:pPr>
        <w:pStyle w:val="ListParagraph"/>
        <w:numPr>
          <w:ilvl w:val="0"/>
          <w:numId w:val="2"/>
        </w:numPr>
        <w:spacing w:after="40"/>
      </w:pPr>
      <w:r>
        <w:t xml:space="preserve">"what's the deadline for..."</w:t>
      </w:r>
    </w:p>
    <w:p>
      <w:pPr>
        <w:pStyle w:val="ListParagraph"/>
        <w:numPr>
          <w:ilvl w:val="0"/>
          <w:numId w:val="2"/>
        </w:numPr>
        <w:spacing w:after="40"/>
      </w:pPr>
      <w:r>
        <w:t xml:space="preserve">"when must the LA..."</w:t>
      </w:r>
    </w:p>
    <w:p>
      <w:pPr>
        <w:pStyle w:val="ListParagraph"/>
        <w:numPr>
          <w:ilvl w:val="0"/>
          <w:numId w:val="2"/>
        </w:numPr>
        <w:spacing w:after="40"/>
      </w:pPr>
      <w:r>
        <w:t xml:space="preserve">"is this late?"</w:t>
      </w:r>
    </w:p>
    <w:p>
      <w:pPr>
        <w:pStyle w:val="ListParagraph"/>
        <w:numPr>
          <w:ilvl w:val="0"/>
          <w:numId w:val="2"/>
        </w:numPr>
        <w:spacing w:after="40"/>
      </w:pPr>
      <w:r>
        <w:t xml:space="preserve">"calculate the appeal window"</w:t>
      </w:r>
    </w:p>
    <w:p>
      <w:pPr>
        <w:pStyle w:val="ListParagraph"/>
        <w:numPr>
          <w:ilvl w:val="0"/>
          <w:numId w:val="2"/>
        </w:numPr>
        <w:spacing w:after="40"/>
      </w:pPr>
      <w:r>
        <w:t xml:space="preserve">Any reference to statutory timescales</w:t>
      </w:r>
    </w:p>
    <w:p>
      <w:pPr>
        <w:spacing w:after="60"/>
      </w:pPr>
      <w:r>
        <w:rPr>
          <w:b/>
          <w:bCs/>
        </w:rPr>
        <w:t xml:space="preserve">Outputs:</w:t>
      </w:r>
    </w:p>
    <w:p>
      <w:pPr>
        <w:spacing w:after="120"/>
      </w:pPr>
      <w:r>
        <w:rPr>
          <w:i/>
          <w:iCs/>
        </w:rPr>
        <w:t xml:space="preserve">A dated timeline of every applicable statutory deadline with the regulation reference. Highlights anything already missed. Sets the diary for the engagement.</w:t>
      </w:r>
    </w:p>
    <w:p>
      <w:pPr>
        <w:spacing w:after="120"/>
      </w:pPr>
      <w:r>
        <w:t xml:space="preserve"/>
      </w:r>
    </w:p>
    <w:p>
      <w:pPr>
        <w:pStyle w:val="Heading2"/>
      </w:pPr>
      <w:r>
        <w:t xml:space="preserve">sen-evidence-audit</w:t>
      </w:r>
    </w:p>
    <w:p>
      <w:pPr>
        <w:spacing w:after="120"/>
      </w:pPr>
      <w:r>
        <w:rPr>
          <w:b/>
          <w:bCs/>
        </w:rPr>
        <w:t xml:space="preserve">Catalogue the evidence base, identify what's missing, build the tribunal bundle.</w:t>
      </w:r>
    </w:p>
    <w:p>
      <w:pPr>
        <w:spacing w:after="120"/>
      </w:pPr>
      <w:r>
        <w:t xml:space="preserve">Essential for the £1,440 Appeal and £2,400 Tribunal Preparation packages. Audits the case file against the evidence requirements of the specific case type, lists what's missing, recommends additional reports or witness statements, and outputs the standard First-tier Tribunal bundle index.</w:t>
      </w:r>
    </w:p>
    <w:p>
      <w:pPr>
        <w:spacing w:after="60"/>
      </w:pPr>
      <w:r>
        <w:rPr>
          <w:b/>
          <w:bCs/>
        </w:rPr>
        <w:t xml:space="preserve">Triggers:</w:t>
      </w:r>
    </w:p>
    <w:p>
      <w:pPr>
        <w:pStyle w:val="ListParagraph"/>
        <w:numPr>
          <w:ilvl w:val="0"/>
          <w:numId w:val="2"/>
        </w:numPr>
        <w:spacing w:after="40"/>
      </w:pPr>
      <w:r>
        <w:t xml:space="preserve">"audit the evidence"</w:t>
      </w:r>
    </w:p>
    <w:p>
      <w:pPr>
        <w:pStyle w:val="ListParagraph"/>
        <w:numPr>
          <w:ilvl w:val="0"/>
          <w:numId w:val="2"/>
        </w:numPr>
        <w:spacing w:after="40"/>
      </w:pPr>
      <w:r>
        <w:t xml:space="preserve">"what's missing from the bundle"</w:t>
      </w:r>
    </w:p>
    <w:p>
      <w:pPr>
        <w:pStyle w:val="ListParagraph"/>
        <w:numPr>
          <w:ilvl w:val="0"/>
          <w:numId w:val="2"/>
        </w:numPr>
        <w:spacing w:after="40"/>
      </w:pPr>
      <w:r>
        <w:t xml:space="preserve">"do we have enough evidence"</w:t>
      </w:r>
    </w:p>
    <w:p>
      <w:pPr>
        <w:pStyle w:val="ListParagraph"/>
        <w:numPr>
          <w:ilvl w:val="0"/>
          <w:numId w:val="2"/>
        </w:numPr>
        <w:spacing w:after="40"/>
      </w:pPr>
      <w:r>
        <w:t xml:space="preserve">"prepare the bundle"</w:t>
      </w:r>
    </w:p>
    <w:p>
      <w:pPr>
        <w:pStyle w:val="ListParagraph"/>
        <w:numPr>
          <w:ilvl w:val="0"/>
          <w:numId w:val="2"/>
        </w:numPr>
        <w:spacing w:after="40"/>
      </w:pPr>
      <w:r>
        <w:t xml:space="preserve">Before lodging a SEND35 or responding to one</w:t>
      </w:r>
    </w:p>
    <w:p>
      <w:pPr>
        <w:spacing w:after="60"/>
      </w:pPr>
      <w:r>
        <w:rPr>
          <w:b/>
          <w:bCs/>
        </w:rPr>
        <w:t xml:space="preserve">Outputs:</w:t>
      </w:r>
    </w:p>
    <w:p>
      <w:pPr>
        <w:spacing w:after="120"/>
      </w:pPr>
      <w:r>
        <w:rPr>
          <w:i/>
          <w:iCs/>
        </w:rPr>
        <w:t xml:space="preserve">Evidence inventory. Gap analysis. Specific recommendations for additional evidence. Tribunal bundle index ready to file.</w:t>
      </w:r>
    </w:p>
    <w:p>
      <w:pPr>
        <w:spacing w:after="120"/>
      </w:pPr>
      <w:r>
        <w:t xml:space="preserve"/>
      </w:r>
    </w:p>
    <w:p>
      <w:pPr>
        <w:pStyle w:val="Heading2"/>
      </w:pPr>
      <w:r>
        <w:t xml:space="preserve">sen-appeal-grounds</w:t>
      </w:r>
    </w:p>
    <w:p>
      <w:pPr>
        <w:spacing w:after="120"/>
      </w:pPr>
      <w:r>
        <w:rPr>
          <w:b/>
          <w:bCs/>
        </w:rPr>
        <w:t xml:space="preserve">Draft First-tier Tribunal (SEND) appeal grounds with statutory and case law citations.</w:t>
      </w:r>
    </w:p>
    <w:p>
      <w:pPr>
        <w:spacing w:after="120"/>
      </w:pPr>
      <w:r>
        <w:t xml:space="preserve">The legal core of the £1,440 Appeal and £2,400 Tribunal Preparation packages. Produces grounds tailored to the case type — refusal to assess, content of plan (Sections B, F, I), placement, or cease-to-maintain — with the statutory basis and the case law that supports the argument.</w:t>
      </w:r>
    </w:p>
    <w:p>
      <w:pPr>
        <w:spacing w:after="60"/>
      </w:pPr>
      <w:r>
        <w:rPr>
          <w:b/>
          <w:bCs/>
        </w:rPr>
        <w:t xml:space="preserve">Triggers:</w:t>
      </w:r>
    </w:p>
    <w:p>
      <w:pPr>
        <w:pStyle w:val="ListParagraph"/>
        <w:numPr>
          <w:ilvl w:val="0"/>
          <w:numId w:val="2"/>
        </w:numPr>
        <w:spacing w:after="40"/>
      </w:pPr>
      <w:r>
        <w:t xml:space="preserve">"draft grounds of appeal"</w:t>
      </w:r>
    </w:p>
    <w:p>
      <w:pPr>
        <w:pStyle w:val="ListParagraph"/>
        <w:numPr>
          <w:ilvl w:val="0"/>
          <w:numId w:val="2"/>
        </w:numPr>
        <w:spacing w:after="40"/>
      </w:pPr>
      <w:r>
        <w:t xml:space="preserve">"write the SEND35 grounds"</w:t>
      </w:r>
    </w:p>
    <w:p>
      <w:pPr>
        <w:pStyle w:val="ListParagraph"/>
        <w:numPr>
          <w:ilvl w:val="0"/>
          <w:numId w:val="2"/>
        </w:numPr>
        <w:spacing w:after="40"/>
      </w:pPr>
      <w:r>
        <w:t xml:space="preserve">"draft appeal against refusal to assess"</w:t>
      </w:r>
    </w:p>
    <w:p>
      <w:pPr>
        <w:pStyle w:val="ListParagraph"/>
        <w:numPr>
          <w:ilvl w:val="0"/>
          <w:numId w:val="2"/>
        </w:numPr>
        <w:spacing w:after="40"/>
      </w:pPr>
      <w:r>
        <w:t xml:space="preserve">"Section F appeal grounds"</w:t>
      </w:r>
    </w:p>
    <w:p>
      <w:pPr>
        <w:pStyle w:val="ListParagraph"/>
        <w:numPr>
          <w:ilvl w:val="0"/>
          <w:numId w:val="2"/>
        </w:numPr>
        <w:spacing w:after="40"/>
      </w:pPr>
      <w:r>
        <w:t xml:space="preserve">"Section I placement appeal grounds"</w:t>
      </w:r>
    </w:p>
    <w:p>
      <w:pPr>
        <w:pStyle w:val="ListParagraph"/>
        <w:numPr>
          <w:ilvl w:val="0"/>
          <w:numId w:val="2"/>
        </w:numPr>
        <w:spacing w:after="40"/>
      </w:pPr>
      <w:r>
        <w:t xml:space="preserve">"cease-to-maintain appeal grounds"</w:t>
      </w:r>
    </w:p>
    <w:p>
      <w:pPr>
        <w:spacing w:after="60"/>
      </w:pPr>
      <w:r>
        <w:rPr>
          <w:b/>
          <w:bCs/>
        </w:rPr>
        <w:t xml:space="preserve">Outputs:</w:t>
      </w:r>
    </w:p>
    <w:p>
      <w:pPr>
        <w:spacing w:after="120"/>
      </w:pPr>
      <w:r>
        <w:rPr>
          <w:i/>
          <w:iCs/>
        </w:rPr>
        <w:t xml:space="preserve">Formal grounds of appeal ready to attach to a SEND35 notice of appeal, with statutory references and case law citations.</w:t>
      </w:r>
    </w:p>
    <w:p>
      <w:pPr>
        <w:spacing w:after="120"/>
      </w:pPr>
      <w:r>
        <w:t xml:space="preserve"/>
      </w:r>
    </w:p>
    <w:p>
      <w:pPr>
        <w:pStyle w:val="Heading2"/>
      </w:pPr>
      <w:r>
        <w:t xml:space="preserve">sen-disability-discrimination</w:t>
      </w:r>
    </w:p>
    <w:p>
      <w:pPr>
        <w:spacing w:after="120"/>
      </w:pPr>
      <w:r>
        <w:rPr>
          <w:b/>
          <w:bCs/>
        </w:rPr>
        <w:t xml:space="preserve">Draft Equality Act 2010 disability discrimination claims against schools.</w:t>
      </w:r>
    </w:p>
    <w:p>
      <w:pPr>
        <w:spacing w:after="120"/>
      </w:pPr>
      <w:r>
        <w:t xml:space="preserve">Specialist skill for cases where a school has treated a pupil unlawfully because of their disability — exclusion linked to autism, refusal of reasonable adjustments, indirect discrimination. Drafts the SEND37 claim with the correct statutory basis under Schedule 17 of the Equality Act 2010.</w:t>
      </w:r>
    </w:p>
    <w:p>
      <w:pPr>
        <w:spacing w:after="60"/>
      </w:pPr>
      <w:r>
        <w:rPr>
          <w:b/>
          <w:bCs/>
        </w:rPr>
        <w:t xml:space="preserve">Triggers:</w:t>
      </w:r>
    </w:p>
    <w:p>
      <w:pPr>
        <w:pStyle w:val="ListParagraph"/>
        <w:numPr>
          <w:ilvl w:val="0"/>
          <w:numId w:val="2"/>
        </w:numPr>
        <w:spacing w:after="40"/>
      </w:pPr>
      <w:r>
        <w:t xml:space="preserve">"draft a discrimination claim"</w:t>
      </w:r>
    </w:p>
    <w:p>
      <w:pPr>
        <w:pStyle w:val="ListParagraph"/>
        <w:numPr>
          <w:ilvl w:val="0"/>
          <w:numId w:val="2"/>
        </w:numPr>
        <w:spacing w:after="40"/>
      </w:pPr>
      <w:r>
        <w:t xml:space="preserve">"school excluded my child because of autism"</w:t>
      </w:r>
    </w:p>
    <w:p>
      <w:pPr>
        <w:pStyle w:val="ListParagraph"/>
        <w:numPr>
          <w:ilvl w:val="0"/>
          <w:numId w:val="2"/>
        </w:numPr>
        <w:spacing w:after="40"/>
      </w:pPr>
      <w:r>
        <w:t xml:space="preserve">"school refused reasonable adjustments"</w:t>
      </w:r>
    </w:p>
    <w:p>
      <w:pPr>
        <w:pStyle w:val="ListParagraph"/>
        <w:numPr>
          <w:ilvl w:val="0"/>
          <w:numId w:val="2"/>
        </w:numPr>
        <w:spacing w:after="40"/>
      </w:pPr>
      <w:r>
        <w:t xml:space="preserve">"SEND37 claim"</w:t>
      </w:r>
    </w:p>
    <w:p>
      <w:pPr>
        <w:pStyle w:val="ListParagraph"/>
        <w:numPr>
          <w:ilvl w:val="0"/>
          <w:numId w:val="2"/>
        </w:numPr>
        <w:spacing w:after="40"/>
      </w:pPr>
      <w:r>
        <w:t xml:space="preserve">"Schedule 17 claim"</w:t>
      </w:r>
    </w:p>
    <w:p>
      <w:pPr>
        <w:pStyle w:val="ListParagraph"/>
        <w:numPr>
          <w:ilvl w:val="0"/>
          <w:numId w:val="2"/>
        </w:numPr>
        <w:spacing w:after="40"/>
      </w:pPr>
      <w:r>
        <w:t xml:space="preserve">"failure to make reasonable adjustments"</w:t>
      </w:r>
    </w:p>
    <w:p>
      <w:pPr>
        <w:spacing w:after="60"/>
      </w:pPr>
      <w:r>
        <w:rPr>
          <w:b/>
          <w:bCs/>
        </w:rPr>
        <w:t xml:space="preserve">Outputs:</w:t>
      </w:r>
    </w:p>
    <w:p>
      <w:pPr>
        <w:spacing w:after="120"/>
      </w:pPr>
      <w:r>
        <w:rPr>
          <w:i/>
          <w:iCs/>
        </w:rPr>
        <w:t xml:space="preserve">SEND37 disability discrimination claim with statutory basis, factual narrative, list of discriminatory acts, and the remedies available from the tribunal.</w:t>
      </w:r>
    </w:p>
    <w:p>
      <w:pPr>
        <w:spacing w:after="120"/>
      </w:pPr>
      <w:r>
        <w:t xml:space="preserve"/>
      </w:r>
    </w:p>
    <w:p>
      <w:r>
        <w:br w:type="page"/>
      </w:r>
    </w:p>
    <w:p>
      <w:pPr>
        <w:pStyle w:val="Heading1"/>
      </w:pPr>
      <w:r>
        <w:t xml:space="preserve">Mapping skills to the five paid packages</w:t>
      </w:r>
    </w:p>
    <w:p>
      <w:pPr>
        <w:spacing w:after="120"/>
      </w:pPr>
      <w:r>
        <w:t xml:space="preserve">Each Stripe-priced package on the EHCP &amp; Tribunal Advisory page maps to a specific sequence of skill calls. Use this table to remember which combination of skills to reach for the moment a payment notification comes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Package</w:t>
            </w:r>
          </w:p>
        </w:tc>
        <w:tc>
          <w:tcPr>
            <w:tcW w:type="dxa" w:w="1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Price</w:t>
            </w:r>
          </w:p>
        </w:tc>
        <w:tc>
          <w:tcPr>
            <w:tcW w:type="dxa" w:w="60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Skills used — in order</w:t>
            </w:r>
          </w:p>
        </w:tc>
      </w:tr>
      <w:tr>
        <w:tc>
          <w:tcPr>
            <w:tcW w:type="dxa" w:w="2200"/>
            <w:tcBorders>
              <w:top w:val="single" w:color="BFBFBF" w:sz="4"/>
              <w:left w:val="single" w:color="BFBFBF" w:sz="4"/>
              <w:bottom w:val="single" w:color="BFBFBF" w:sz="4"/>
              <w:right w:val="single" w:color="BFBFBF" w:sz="4"/>
            </w:tcBorders>
            <w:shd w:fill="D9E5F0" w:val="clear"/>
            <w:tcMar>
              <w:top w:type="dxa" w:w="100"/>
              <w:left w:type="dxa" w:w="140"/>
              <w:bottom w:type="dxa" w:w="100"/>
              <w:right w:type="dxa" w:w="140"/>
            </w:tcMar>
          </w:tcPr>
          <w:p>
            <w:r>
              <w:rPr>
                <w:b/>
                <w:bCs/>
                <w:i w:val="false"/>
                <w:iCs w:val="false"/>
              </w:rPr>
              <w:t xml:space="preserve">Initial Consultation</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i w:val="false"/>
                <w:iCs w:val="false"/>
              </w:rPr>
              <w:t xml:space="preserve">£160</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i w:val="false"/>
                <w:iCs w:val="false"/>
              </w:rPr>
              <w:t xml:space="preserve">sen-case-intake → sen-ehcp-analyse (if EHCP present) → sen-deadline-tracker → produce written notes summarising position and recommended next steps.</w:t>
            </w:r>
          </w:p>
        </w:tc>
      </w:tr>
      <w:tr>
        <w:tc>
          <w:tcPr>
            <w:tcW w:type="dxa" w:w="2200"/>
            <w:tcBorders>
              <w:top w:val="single" w:color="BFBFBF" w:sz="4"/>
              <w:left w:val="single" w:color="BFBFBF" w:sz="4"/>
              <w:bottom w:val="single" w:color="BFBFBF" w:sz="4"/>
              <w:right w:val="single" w:color="BFBFBF" w:sz="4"/>
            </w:tcBorders>
            <w:shd w:fill="D9E5F0" w:val="clear"/>
            <w:tcMar>
              <w:top w:type="dxa" w:w="100"/>
              <w:left w:type="dxa" w:w="140"/>
              <w:bottom w:type="dxa" w:w="100"/>
              <w:right w:type="dxa" w:w="140"/>
            </w:tcMar>
          </w:tcPr>
          <w:p>
            <w:r>
              <w:rPr>
                <w:b/>
                <w:bCs/>
                <w:i w:val="false"/>
                <w:iCs w:val="false"/>
              </w:rPr>
              <w:t xml:space="preserve">EHCP Application Support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i w:val="false"/>
                <w:iCs w:val="false"/>
              </w:rPr>
              <w:t xml:space="preserve">£395</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i w:val="false"/>
                <w:iCs w:val="false"/>
              </w:rPr>
              <w:t xml:space="preserve">sen-case-intake → sen-deadline-tracker → sen-evidence-audit (existing reports) → sen-letter-draft (request to assess, response to refusal, Section A parent representations). Ongoing letter-drafting throughout the statutory process.</w:t>
            </w:r>
          </w:p>
        </w:tc>
      </w:tr>
      <w:tr>
        <w:tc>
          <w:tcPr>
            <w:tcW w:type="dxa" w:w="2200"/>
            <w:tcBorders>
              <w:top w:val="single" w:color="BFBFBF" w:sz="4"/>
              <w:left w:val="single" w:color="BFBFBF" w:sz="4"/>
              <w:bottom w:val="single" w:color="BFBFBF" w:sz="4"/>
              <w:right w:val="single" w:color="BFBFBF" w:sz="4"/>
            </w:tcBorders>
            <w:shd w:fill="D9E5F0" w:val="clear"/>
            <w:tcMar>
              <w:top w:type="dxa" w:w="100"/>
              <w:left w:type="dxa" w:w="140"/>
              <w:bottom w:type="dxa" w:w="100"/>
              <w:right w:type="dxa" w:w="140"/>
            </w:tcMar>
          </w:tcPr>
          <w:p>
            <w:r>
              <w:rPr>
                <w:b/>
                <w:bCs/>
                <w:i w:val="false"/>
                <w:iCs w:val="false"/>
              </w:rPr>
              <w:t xml:space="preserve">EHCP Review &amp; Strengthening</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i w:val="false"/>
                <w:iCs w:val="false"/>
              </w:rPr>
              <w:t xml:space="preserve">£480</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i w:val="false"/>
                <w:iCs w:val="false"/>
              </w:rPr>
              <w:t xml:space="preserve">sen-case-intake → sen-ehcp-analyse (the headline deliverable — section-by-section audit) → sen-letter-draft (amendment requests for annual review). Output is the audit report and the drafted amendment letters.</w:t>
            </w:r>
          </w:p>
        </w:tc>
      </w:tr>
      <w:tr>
        <w:tc>
          <w:tcPr>
            <w:tcW w:type="dxa" w:w="2200"/>
            <w:tcBorders>
              <w:top w:val="single" w:color="BFBFBF" w:sz="4"/>
              <w:left w:val="single" w:color="BFBFBF" w:sz="4"/>
              <w:bottom w:val="single" w:color="BFBFBF" w:sz="4"/>
              <w:right w:val="single" w:color="BFBFBF" w:sz="4"/>
            </w:tcBorders>
            <w:shd w:fill="D9E5F0" w:val="clear"/>
            <w:tcMar>
              <w:top w:type="dxa" w:w="100"/>
              <w:left w:type="dxa" w:w="140"/>
              <w:bottom w:type="dxa" w:w="100"/>
              <w:right w:type="dxa" w:w="140"/>
            </w:tcMar>
          </w:tcPr>
          <w:p>
            <w:r>
              <w:rPr>
                <w:b/>
                <w:bCs/>
                <w:i w:val="false"/>
                <w:iCs w:val="false"/>
              </w:rPr>
              <w:t xml:space="preserve">Exclusion &amp; Discrimination Support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i w:val="false"/>
                <w:iCs w:val="false"/>
              </w:rPr>
              <w:t xml:space="preserve">£1,200</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i w:val="false"/>
                <w:iCs w:val="false"/>
              </w:rPr>
              <w:t xml:space="preserve">sen-case-intake → sen-deadline-tracker (lock the 6-month SEND37 window or 15-school-day governors' review window) → sen-evidence-audit (exclusion letters, incident records, school correspondence) → sen-disability-discrimination (drafts the SEND37) OR sen-letter-draft (governors' independent review submission, where the route is procedural rather than discrimination-based). Coaching the parent through the next stage in writing.</w:t>
            </w:r>
          </w:p>
        </w:tc>
      </w:tr>
      <w:tr>
        <w:tc>
          <w:tcPr>
            <w:tcW w:type="dxa" w:w="2200"/>
            <w:tcBorders>
              <w:top w:val="single" w:color="BFBFBF" w:sz="4"/>
              <w:left w:val="single" w:color="BFBFBF" w:sz="4"/>
              <w:bottom w:val="single" w:color="BFBFBF" w:sz="4"/>
              <w:right w:val="single" w:color="BFBFBF" w:sz="4"/>
            </w:tcBorders>
            <w:shd w:fill="D9E5F0" w:val="clear"/>
            <w:tcMar>
              <w:top w:type="dxa" w:w="100"/>
              <w:left w:type="dxa" w:w="140"/>
              <w:bottom w:type="dxa" w:w="100"/>
              <w:right w:type="dxa" w:w="140"/>
            </w:tcMar>
          </w:tcPr>
          <w:p>
            <w:r>
              <w:rPr>
                <w:b/>
                <w:bCs/>
                <w:i w:val="false"/>
                <w:iCs w:val="false"/>
              </w:rPr>
              <w:t xml:space="preserve">LA Decision Appeal Package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i w:val="false"/>
                <w:iCs w:val="false"/>
              </w:rPr>
              <w:t xml:space="preserve">£1,440</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i w:val="false"/>
                <w:iCs w:val="false"/>
              </w:rPr>
              <w:t xml:space="preserve">sen-case-intake → sen-deadline-tracker (lock the appeal window first) → sen-ehcp-analyse → sen-evidence-audit → sen-appeal-grounds (the legal centre of the engagement) → sen-letter-draft (mediation correspondence, LA chasers). Comprehensive Legal Analysis Document is the audit + grounds combined.</w:t>
            </w:r>
          </w:p>
        </w:tc>
      </w:tr>
      <w:tr>
        <w:tc>
          <w:tcPr>
            <w:tcW w:type="dxa" w:w="2200"/>
            <w:tcBorders>
              <w:top w:val="single" w:color="BFBFBF" w:sz="4"/>
              <w:left w:val="single" w:color="BFBFBF" w:sz="4"/>
              <w:bottom w:val="single" w:color="BFBFBF" w:sz="4"/>
              <w:right w:val="single" w:color="BFBFBF" w:sz="4"/>
            </w:tcBorders>
            <w:shd w:fill="D9E5F0" w:val="clear"/>
            <w:tcMar>
              <w:top w:type="dxa" w:w="100"/>
              <w:left w:type="dxa" w:w="140"/>
              <w:bottom w:type="dxa" w:w="100"/>
              <w:right w:type="dxa" w:w="140"/>
            </w:tcMar>
          </w:tcPr>
          <w:p>
            <w:r>
              <w:rPr>
                <w:b/>
                <w:bCs/>
                <w:i w:val="false"/>
                <w:iCs w:val="false"/>
              </w:rPr>
              <w:t xml:space="preserve">Complete Tribunal Preparation Pack</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i w:val="false"/>
                <w:iCs w:val="false"/>
              </w:rPr>
              <w:t xml:space="preserve">£2,400</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i w:val="false"/>
                <w:iCs w:val="false"/>
              </w:rPr>
              <w:t xml:space="preserve">Everything in the Appeal Package, plus sen-evidence-audit run fully to produce the bundle index, plus refined sen-appeal-grounds for the written submission, plus witness statement support (sen-letter-draft adapted to witness format). Hearing Day Guide is the synthesis output.</w:t>
            </w:r>
          </w:p>
        </w:tc>
      </w:tr>
    </w:tbl>
    <w:p>
      <w:pPr>
        <w:spacing w:after="200"/>
      </w:pPr>
      <w:r>
        <w:t xml:space="preserve"/>
      </w:r>
    </w:p>
    <w:p>
      <w:pPr>
        <w:pStyle w:val="Heading1"/>
      </w:pPr>
      <w:r>
        <w:t xml:space="preserve">Operational rhythm — how a typical case runs</w:t>
      </w:r>
    </w:p>
    <w:p>
      <w:pPr>
        <w:spacing w:after="120"/>
      </w:pPr>
      <w:r>
        <w:t xml:space="preserve">Six steps. The same shape applies to every paid engagement, with the depth and the skill set scaling to the package.</w:t>
      </w:r>
    </w:p>
    <w:p>
      <w:pPr>
        <w:pStyle w:val="ListParagraph"/>
        <w:numPr>
          <w:ilvl w:val="0"/>
          <w:numId w:val="2"/>
        </w:numPr>
        <w:spacing w:after="40"/>
      </w:pPr>
      <w:r>
        <w:t xml:space="preserve">1. Free 15-minute call — qualify the case, agree the package, take payment via the right Stripe link.</w:t>
      </w:r>
    </w:p>
    <w:p>
      <w:pPr>
        <w:pStyle w:val="ListParagraph"/>
        <w:numPr>
          <w:ilvl w:val="0"/>
          <w:numId w:val="2"/>
        </w:numPr>
        <w:spacing w:after="40"/>
      </w:pPr>
      <w:r>
        <w:t xml:space="preserve">2. Parent sends documents — intake email gives a secure upload link. Stephen runs sen-case-intake to structure the folder.</w:t>
      </w:r>
    </w:p>
    <w:p>
      <w:pPr>
        <w:pStyle w:val="ListParagraph"/>
        <w:numPr>
          <w:ilvl w:val="0"/>
          <w:numId w:val="2"/>
        </w:numPr>
        <w:spacing w:after="40"/>
      </w:pPr>
      <w:r>
        <w:t xml:space="preserve">3. Set the diary — sen-deadline-tracker on every case, day one. No statutory deadline ever gets missed by accident.</w:t>
      </w:r>
    </w:p>
    <w:p>
      <w:pPr>
        <w:pStyle w:val="ListParagraph"/>
        <w:numPr>
          <w:ilvl w:val="0"/>
          <w:numId w:val="2"/>
        </w:numPr>
        <w:spacing w:after="40"/>
      </w:pPr>
      <w:r>
        <w:t xml:space="preserve">4. Diagnose — depending on package, sen-ehcp-analyse and/or sen-evidence-audit to map the position.</w:t>
      </w:r>
    </w:p>
    <w:p>
      <w:pPr>
        <w:pStyle w:val="ListParagraph"/>
        <w:numPr>
          <w:ilvl w:val="0"/>
          <w:numId w:val="2"/>
        </w:numPr>
        <w:spacing w:after="40"/>
      </w:pPr>
      <w:r>
        <w:t xml:space="preserve">5. Build — sen-letter-draft, sen-appeal-grounds or sen-disability-discrimination as required. Everything written down so the parent sees the work.</w:t>
      </w:r>
    </w:p>
    <w:p>
      <w:pPr>
        <w:pStyle w:val="ListParagraph"/>
        <w:numPr>
          <w:ilvl w:val="0"/>
          <w:numId w:val="2"/>
        </w:numPr>
        <w:spacing w:after="40"/>
      </w:pPr>
      <w:r>
        <w:t xml:space="preserve">6. Hand over — written report, drafted letters, agreed next steps. Email support throughout for the package duration.</w:t>
      </w:r>
    </w:p>
    <w:p>
      <w:pPr>
        <w:spacing w:after="200"/>
      </w:pPr>
      <w:r>
        <w:t xml:space="preserve"/>
      </w:r>
    </w:p>
    <w:p>
      <w:pPr>
        <w:pStyle w:val="Heading1"/>
      </w:pPr>
      <w:r>
        <w:t xml:space="preserve">Why this matters commercially</w:t>
      </w:r>
    </w:p>
    <w:p>
      <w:pPr>
        <w:spacing w:after="120"/>
      </w:pPr>
      <w:r>
        <w:t xml:space="preserve">These skills are how a one-person consultancy delivers law-firm-quality casework at consumer prices. The £160 Initial Consultation is profitable in a way it could not be without sen-case-intake and sen-deadline-tracker doing the structuring work in minutes. The £2,400 Tribunal Pack would not be defensible at that price without sen-appeal-grounds and sen-evidence-audit doing the legal drafting and the bundle preparation.</w:t>
      </w:r>
    </w:p>
    <w:p>
      <w:pPr>
        <w:spacing w:after="120"/>
      </w:pPr>
      <w:r>
        <w:t xml:space="preserve">Stated plainly: the skills are the moat. Anyone can put up a landing page selling EHCP advice for £480. Very few can actually deliver a section-by-section audit with the right case-law citations in two days flat. That capability gap is what makes the price point work and what keeps satisfied clients referring on.</w:t>
      </w:r>
    </w:p>
    <w:p>
      <w:pPr>
        <w:pBdr>
          <w:top w:val="single" w:color="BFBFBF" w:sz="6"/>
        </w:pBdr>
        <w:spacing w:before="360"/>
        <w:jc w:val="center"/>
      </w:pPr>
      <w:r>
        <w:rPr>
          <w:i/>
          <w:iCs/>
          <w:color w:val="595959"/>
          <w:sz w:val="16"/>
          <w:szCs w:val="16"/>
        </w:rPr>
        <w:t xml:space="preserve">SEN Casework Capability Playbook   |   SEND Navigate   |   Internal reference — do not share with clients   |   v1.0 May 2026</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SEN Casework Capability Playbook  •  SEND Navigate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D8A7A"/>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D478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2026-05-29T09:06:45.879Z</dcterms:created>
  <dcterms:modified xsi:type="dcterms:W3CDTF">2026-05-29T09:06:45.904Z</dcterms:modified>
</cp:coreProperties>
</file>

<file path=docProps/custom.xml><?xml version="1.0" encoding="utf-8"?>
<Properties xmlns="http://schemas.openxmlformats.org/officeDocument/2006/custom-properties" xmlns:vt="http://schemas.openxmlformats.org/officeDocument/2006/docPropsVTypes"/>
</file>