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8F05" w14:textId="77777777" w:rsidR="00A3772D" w:rsidRPr="00A3772D" w:rsidRDefault="00A3772D" w:rsidP="005E34F5">
      <w:pPr>
        <w:tabs>
          <w:tab w:val="right" w:pos="8959"/>
        </w:tabs>
        <w:spacing w:after="100"/>
        <w:rPr>
          <w:rFonts w:ascii="Arial" w:hAnsi="Arial" w:cs="Arial"/>
          <w:b/>
          <w:bCs/>
          <w:sz w:val="18"/>
          <w:szCs w:val="18"/>
        </w:rPr>
      </w:pPr>
      <w:r w:rsidRPr="00A3772D">
        <w:rPr>
          <w:rFonts w:ascii="Arial" w:hAnsi="Arial" w:cs="Arial"/>
          <w:b/>
          <w:bCs/>
          <w:sz w:val="18"/>
          <w:szCs w:val="18"/>
        </w:rPr>
        <w:t>Summary</w:t>
      </w:r>
    </w:p>
    <w:p w14:paraId="65AE31CE" w14:textId="3D03157A" w:rsidR="00427B96" w:rsidRPr="00C00619" w:rsidRDefault="00D46CE3" w:rsidP="00D46CE3">
      <w:pPr>
        <w:tabs>
          <w:tab w:val="right" w:pos="8959"/>
        </w:tabs>
        <w:spacing w:after="100"/>
        <w:rPr>
          <w:rFonts w:ascii="Arial" w:hAnsi="Arial" w:cs="Arial"/>
          <w:sz w:val="18"/>
          <w:szCs w:val="18"/>
        </w:rPr>
      </w:pPr>
      <w:r w:rsidRPr="00D46CE3">
        <w:rPr>
          <w:rFonts w:ascii="Arial" w:hAnsi="Arial" w:cs="Arial"/>
          <w:bCs/>
          <w:sz w:val="18"/>
          <w:szCs w:val="18"/>
        </w:rPr>
        <w:t>Highly accomplished derivatives risk manager with trading and marketing experience spanning both Rates and C</w:t>
      </w:r>
      <w:r w:rsidR="00FD3D03">
        <w:rPr>
          <w:rFonts w:ascii="Arial" w:hAnsi="Arial" w:cs="Arial"/>
          <w:bCs/>
          <w:sz w:val="18"/>
          <w:szCs w:val="18"/>
        </w:rPr>
        <w:t>redit</w:t>
      </w:r>
      <w:r w:rsidRPr="00D46CE3">
        <w:rPr>
          <w:rFonts w:ascii="Arial" w:hAnsi="Arial" w:cs="Arial"/>
          <w:bCs/>
          <w:sz w:val="18"/>
          <w:szCs w:val="18"/>
        </w:rPr>
        <w:t xml:space="preserve"> products. I have specialised in exposing and managing </w:t>
      </w:r>
      <w:r w:rsidR="004D697C">
        <w:rPr>
          <w:rFonts w:ascii="Arial" w:hAnsi="Arial" w:cs="Arial"/>
          <w:bCs/>
          <w:sz w:val="18"/>
          <w:szCs w:val="18"/>
        </w:rPr>
        <w:t xml:space="preserve">the </w:t>
      </w:r>
      <w:r w:rsidRPr="00D46CE3">
        <w:rPr>
          <w:rFonts w:ascii="Arial" w:hAnsi="Arial" w:cs="Arial"/>
          <w:bCs/>
          <w:sz w:val="18"/>
          <w:szCs w:val="18"/>
        </w:rPr>
        <w:t>contingent risks across the largest IB franchise over 25 years</w:t>
      </w:r>
      <w:r w:rsidR="0002655F" w:rsidRPr="0002655F">
        <w:rPr>
          <w:rFonts w:ascii="Arial" w:hAnsi="Arial" w:cs="Arial"/>
          <w:bCs/>
          <w:sz w:val="18"/>
          <w:szCs w:val="18"/>
        </w:rPr>
        <w:t xml:space="preserve"> </w:t>
      </w:r>
      <w:r w:rsidR="0002655F" w:rsidRPr="00D46CE3">
        <w:rPr>
          <w:rFonts w:ascii="Arial" w:hAnsi="Arial" w:cs="Arial"/>
          <w:bCs/>
          <w:sz w:val="18"/>
          <w:szCs w:val="18"/>
        </w:rPr>
        <w:t>at JPM</w:t>
      </w:r>
      <w:r w:rsidR="0002655F">
        <w:rPr>
          <w:rFonts w:ascii="Arial" w:hAnsi="Arial" w:cs="Arial"/>
          <w:bCs/>
          <w:sz w:val="18"/>
          <w:szCs w:val="18"/>
        </w:rPr>
        <w:t>organ</w:t>
      </w:r>
      <w:r w:rsidRPr="00D46CE3">
        <w:rPr>
          <w:rFonts w:ascii="Arial" w:hAnsi="Arial" w:cs="Arial"/>
          <w:bCs/>
          <w:sz w:val="18"/>
          <w:szCs w:val="18"/>
        </w:rPr>
        <w:t xml:space="preserve">, developing and leading </w:t>
      </w:r>
      <w:r w:rsidR="00FD3D03">
        <w:rPr>
          <w:rFonts w:ascii="Arial" w:hAnsi="Arial" w:cs="Arial"/>
          <w:bCs/>
          <w:sz w:val="18"/>
          <w:szCs w:val="18"/>
        </w:rPr>
        <w:t xml:space="preserve">the industry initiatives on what is now </w:t>
      </w:r>
      <w:r w:rsidRPr="00D46CE3">
        <w:rPr>
          <w:rFonts w:ascii="Arial" w:hAnsi="Arial" w:cs="Arial"/>
          <w:bCs/>
          <w:sz w:val="18"/>
          <w:szCs w:val="18"/>
        </w:rPr>
        <w:t>summarised as</w:t>
      </w:r>
      <w:r w:rsidR="00FD3D03">
        <w:rPr>
          <w:rFonts w:ascii="Arial" w:hAnsi="Arial" w:cs="Arial"/>
          <w:bCs/>
          <w:sz w:val="18"/>
          <w:szCs w:val="18"/>
        </w:rPr>
        <w:t xml:space="preserve"> the “</w:t>
      </w:r>
      <w:r w:rsidRPr="00D46CE3">
        <w:rPr>
          <w:rFonts w:ascii="Arial" w:hAnsi="Arial" w:cs="Arial"/>
          <w:bCs/>
          <w:sz w:val="18"/>
          <w:szCs w:val="18"/>
        </w:rPr>
        <w:t>XVAs</w:t>
      </w:r>
      <w:r w:rsidR="00FD3D03">
        <w:rPr>
          <w:rFonts w:ascii="Arial" w:hAnsi="Arial" w:cs="Arial"/>
          <w:bCs/>
          <w:sz w:val="18"/>
          <w:szCs w:val="18"/>
        </w:rPr>
        <w:t>”</w:t>
      </w:r>
      <w:r w:rsidRPr="00D46CE3">
        <w:rPr>
          <w:rFonts w:ascii="Arial" w:hAnsi="Arial" w:cs="Arial"/>
          <w:bCs/>
          <w:sz w:val="18"/>
          <w:szCs w:val="18"/>
        </w:rPr>
        <w:t>. Mo</w:t>
      </w:r>
      <w:r w:rsidR="00FD3D03">
        <w:rPr>
          <w:rFonts w:ascii="Arial" w:hAnsi="Arial" w:cs="Arial"/>
          <w:bCs/>
          <w:sz w:val="18"/>
          <w:szCs w:val="18"/>
        </w:rPr>
        <w:t>st</w:t>
      </w:r>
      <w:r w:rsidRPr="00D46CE3">
        <w:rPr>
          <w:rFonts w:ascii="Arial" w:hAnsi="Arial" w:cs="Arial"/>
          <w:bCs/>
          <w:sz w:val="18"/>
          <w:szCs w:val="18"/>
        </w:rPr>
        <w:t xml:space="preserve"> recently I have led the implementation and management of </w:t>
      </w:r>
      <w:r w:rsidR="0002655F">
        <w:rPr>
          <w:rFonts w:ascii="Arial" w:hAnsi="Arial" w:cs="Arial"/>
          <w:bCs/>
          <w:sz w:val="18"/>
          <w:szCs w:val="18"/>
        </w:rPr>
        <w:t xml:space="preserve">the contingent </w:t>
      </w:r>
      <w:r w:rsidRPr="00D46CE3">
        <w:rPr>
          <w:rFonts w:ascii="Arial" w:hAnsi="Arial" w:cs="Arial"/>
          <w:bCs/>
          <w:sz w:val="18"/>
          <w:szCs w:val="18"/>
        </w:rPr>
        <w:t>market risks within the Clearing and FnO businesses</w:t>
      </w:r>
      <w:r>
        <w:rPr>
          <w:rFonts w:ascii="Arial" w:hAnsi="Arial" w:cs="Arial"/>
          <w:bCs/>
          <w:sz w:val="18"/>
          <w:szCs w:val="18"/>
        </w:rPr>
        <w:t>.</w:t>
      </w:r>
    </w:p>
    <w:p w14:paraId="34D14DD7" w14:textId="77777777" w:rsidR="00CA6890" w:rsidRPr="00E9725D" w:rsidRDefault="00CA6890" w:rsidP="005E34F5">
      <w:pPr>
        <w:tabs>
          <w:tab w:val="right" w:pos="8959"/>
        </w:tabs>
        <w:spacing w:after="100"/>
        <w:rPr>
          <w:rFonts w:ascii="Arial" w:hAnsi="Arial" w:cs="Arial"/>
          <w:b/>
          <w:sz w:val="18"/>
          <w:szCs w:val="18"/>
        </w:rPr>
      </w:pPr>
    </w:p>
    <w:p w14:paraId="59F75C73" w14:textId="6653B846" w:rsidR="00866DD8" w:rsidRPr="00E9725D" w:rsidRDefault="00866DD8" w:rsidP="005E34F5">
      <w:pPr>
        <w:tabs>
          <w:tab w:val="right" w:pos="8959"/>
        </w:tabs>
        <w:spacing w:after="100"/>
        <w:rPr>
          <w:rFonts w:ascii="Arial" w:hAnsi="Arial" w:cs="Arial"/>
          <w:sz w:val="18"/>
          <w:szCs w:val="18"/>
        </w:rPr>
      </w:pPr>
      <w:r w:rsidRPr="00E9725D">
        <w:rPr>
          <w:rFonts w:ascii="Arial" w:hAnsi="Arial" w:cs="Arial"/>
          <w:b/>
          <w:sz w:val="18"/>
          <w:szCs w:val="18"/>
        </w:rPr>
        <w:t>JPMorgan</w:t>
      </w:r>
      <w:r w:rsidRPr="00E9725D">
        <w:rPr>
          <w:rFonts w:ascii="Arial" w:hAnsi="Arial" w:cs="Arial"/>
          <w:b/>
          <w:sz w:val="18"/>
          <w:szCs w:val="18"/>
        </w:rPr>
        <w:tab/>
      </w:r>
      <w:r w:rsidR="000E19E9" w:rsidRPr="00E9725D">
        <w:rPr>
          <w:rFonts w:ascii="Arial" w:hAnsi="Arial" w:cs="Arial"/>
          <w:b/>
          <w:sz w:val="18"/>
          <w:szCs w:val="18"/>
        </w:rPr>
        <w:t xml:space="preserve">Sep </w:t>
      </w:r>
      <w:r w:rsidRPr="00E9725D">
        <w:rPr>
          <w:rFonts w:ascii="Arial" w:hAnsi="Arial" w:cs="Arial"/>
          <w:b/>
          <w:sz w:val="18"/>
          <w:szCs w:val="18"/>
        </w:rPr>
        <w:t>1</w:t>
      </w:r>
      <w:r w:rsidR="00050EBC" w:rsidRPr="00E9725D">
        <w:rPr>
          <w:rFonts w:ascii="Arial" w:hAnsi="Arial" w:cs="Arial"/>
          <w:b/>
          <w:sz w:val="18"/>
          <w:szCs w:val="18"/>
        </w:rPr>
        <w:t xml:space="preserve">993 </w:t>
      </w:r>
      <w:r w:rsidR="000E19E9" w:rsidRPr="00E9725D">
        <w:rPr>
          <w:rFonts w:ascii="Arial" w:hAnsi="Arial" w:cs="Arial"/>
          <w:b/>
          <w:sz w:val="18"/>
          <w:szCs w:val="18"/>
        </w:rPr>
        <w:t>–</w:t>
      </w:r>
      <w:r w:rsidR="00050EBC" w:rsidRPr="00E9725D">
        <w:rPr>
          <w:rFonts w:ascii="Arial" w:hAnsi="Arial" w:cs="Arial"/>
          <w:b/>
          <w:sz w:val="18"/>
          <w:szCs w:val="18"/>
        </w:rPr>
        <w:t xml:space="preserve"> </w:t>
      </w:r>
      <w:r w:rsidR="000E19E9" w:rsidRPr="00E9725D">
        <w:rPr>
          <w:rFonts w:ascii="Arial" w:hAnsi="Arial" w:cs="Arial"/>
          <w:b/>
          <w:sz w:val="18"/>
          <w:szCs w:val="18"/>
        </w:rPr>
        <w:t>Dec 2022</w:t>
      </w:r>
    </w:p>
    <w:p w14:paraId="476AE8B9" w14:textId="280FA997" w:rsidR="00AF2B7F" w:rsidRPr="00E9725D" w:rsidRDefault="00AF2B7F" w:rsidP="00141F16">
      <w:pPr>
        <w:pStyle w:val="Header"/>
        <w:tabs>
          <w:tab w:val="clear" w:pos="4153"/>
          <w:tab w:val="clear" w:pos="8306"/>
          <w:tab w:val="right" w:pos="8959"/>
        </w:tabs>
        <w:rPr>
          <w:rFonts w:ascii="Arial" w:hAnsi="Arial" w:cs="Arial"/>
          <w:bCs/>
          <w:i/>
          <w:iCs/>
          <w:sz w:val="18"/>
          <w:szCs w:val="18"/>
        </w:rPr>
      </w:pPr>
      <w:r w:rsidRPr="00E9725D">
        <w:rPr>
          <w:rFonts w:ascii="Arial" w:hAnsi="Arial" w:cs="Arial"/>
          <w:b/>
          <w:i/>
          <w:sz w:val="18"/>
          <w:szCs w:val="18"/>
        </w:rPr>
        <w:t xml:space="preserve">Risk and </w:t>
      </w:r>
      <w:r w:rsidR="00B60613" w:rsidRPr="00E9725D">
        <w:rPr>
          <w:rFonts w:ascii="Arial" w:hAnsi="Arial" w:cs="Arial"/>
          <w:b/>
          <w:i/>
          <w:sz w:val="18"/>
          <w:szCs w:val="18"/>
        </w:rPr>
        <w:t>Capital</w:t>
      </w:r>
      <w:r w:rsidRPr="00E9725D">
        <w:rPr>
          <w:rFonts w:ascii="Arial" w:hAnsi="Arial" w:cs="Arial"/>
          <w:b/>
          <w:i/>
          <w:sz w:val="18"/>
          <w:szCs w:val="18"/>
        </w:rPr>
        <w:t xml:space="preserve"> for Clearing</w:t>
      </w:r>
      <w:r w:rsidR="00A73215" w:rsidRPr="00E9725D">
        <w:rPr>
          <w:rFonts w:ascii="Arial" w:hAnsi="Arial" w:cs="Arial"/>
          <w:b/>
          <w:i/>
          <w:sz w:val="18"/>
          <w:szCs w:val="18"/>
        </w:rPr>
        <w:t>: OTC</w:t>
      </w:r>
      <w:r w:rsidRPr="00E9725D">
        <w:rPr>
          <w:rFonts w:ascii="Arial" w:hAnsi="Arial" w:cs="Arial"/>
          <w:b/>
          <w:i/>
          <w:sz w:val="18"/>
          <w:szCs w:val="18"/>
        </w:rPr>
        <w:t>, FnO and FXPB</w:t>
      </w:r>
      <w:r w:rsidRPr="00E9725D">
        <w:rPr>
          <w:rFonts w:ascii="Arial" w:hAnsi="Arial" w:cs="Arial"/>
          <w:b/>
          <w:i/>
          <w:sz w:val="18"/>
          <w:szCs w:val="18"/>
        </w:rPr>
        <w:tab/>
      </w:r>
      <w:r w:rsidRPr="00E9725D">
        <w:rPr>
          <w:rFonts w:ascii="Arial" w:hAnsi="Arial" w:cs="Arial"/>
          <w:b/>
          <w:bCs/>
          <w:i/>
          <w:iCs/>
          <w:sz w:val="18"/>
          <w:szCs w:val="18"/>
        </w:rPr>
        <w:t>201</w:t>
      </w:r>
      <w:r w:rsidR="005B2F0A" w:rsidRPr="00E9725D">
        <w:rPr>
          <w:rFonts w:ascii="Arial" w:hAnsi="Arial" w:cs="Arial"/>
          <w:b/>
          <w:bCs/>
          <w:i/>
          <w:iCs/>
          <w:sz w:val="18"/>
          <w:szCs w:val="18"/>
        </w:rPr>
        <w:t>6</w:t>
      </w:r>
      <w:r w:rsidRPr="00E9725D">
        <w:rPr>
          <w:rFonts w:ascii="Arial" w:hAnsi="Arial" w:cs="Arial"/>
          <w:b/>
          <w:bCs/>
          <w:i/>
          <w:iCs/>
          <w:sz w:val="18"/>
          <w:szCs w:val="18"/>
        </w:rPr>
        <w:t xml:space="preserve"> - </w:t>
      </w:r>
      <w:r w:rsidR="000E19E9" w:rsidRPr="00E9725D">
        <w:rPr>
          <w:rFonts w:ascii="Arial" w:hAnsi="Arial" w:cs="Arial"/>
          <w:b/>
          <w:bCs/>
          <w:i/>
          <w:iCs/>
          <w:sz w:val="18"/>
          <w:szCs w:val="18"/>
        </w:rPr>
        <w:t>2022</w:t>
      </w:r>
    </w:p>
    <w:p w14:paraId="22566496" w14:textId="72F858A0" w:rsidR="00B60613" w:rsidRDefault="00490E03" w:rsidP="005E34F5">
      <w:pPr>
        <w:pStyle w:val="Header"/>
        <w:tabs>
          <w:tab w:val="clear" w:pos="4153"/>
          <w:tab w:val="clear" w:pos="8306"/>
          <w:tab w:val="right" w:pos="8959"/>
        </w:tabs>
        <w:spacing w:after="100"/>
        <w:rPr>
          <w:rFonts w:ascii="Arial" w:hAnsi="Arial" w:cs="Arial"/>
          <w:bCs/>
          <w:sz w:val="18"/>
          <w:szCs w:val="18"/>
        </w:rPr>
      </w:pPr>
      <w:r>
        <w:rPr>
          <w:rFonts w:ascii="Arial" w:hAnsi="Arial" w:cs="Arial"/>
          <w:bCs/>
          <w:sz w:val="18"/>
          <w:szCs w:val="18"/>
        </w:rPr>
        <w:t>In 2016 I was entrusted</w:t>
      </w:r>
      <w:r w:rsidR="00201C9C" w:rsidRPr="00E9725D">
        <w:rPr>
          <w:rFonts w:ascii="Arial" w:hAnsi="Arial" w:cs="Arial"/>
          <w:bCs/>
          <w:sz w:val="18"/>
          <w:szCs w:val="18"/>
        </w:rPr>
        <w:t xml:space="preserve"> to lead </w:t>
      </w:r>
      <w:r w:rsidR="009F0F1E" w:rsidRPr="00E9725D">
        <w:rPr>
          <w:rFonts w:ascii="Arial" w:hAnsi="Arial" w:cs="Arial"/>
          <w:bCs/>
          <w:sz w:val="18"/>
          <w:szCs w:val="18"/>
        </w:rPr>
        <w:t>the establishment of a new team within the Clearing and F&amp;O business to introduce front-office risk management and pricing discipline</w:t>
      </w:r>
      <w:r w:rsidR="00D74C83" w:rsidRPr="00E9725D">
        <w:rPr>
          <w:rFonts w:ascii="Arial" w:hAnsi="Arial" w:cs="Arial"/>
          <w:bCs/>
          <w:sz w:val="18"/>
          <w:szCs w:val="18"/>
        </w:rPr>
        <w:t xml:space="preserve"> to this agency business</w:t>
      </w:r>
      <w:r w:rsidR="009F0F1E" w:rsidRPr="00E9725D">
        <w:rPr>
          <w:rFonts w:ascii="Arial" w:hAnsi="Arial" w:cs="Arial"/>
          <w:bCs/>
          <w:sz w:val="18"/>
          <w:szCs w:val="18"/>
        </w:rPr>
        <w:t xml:space="preserve">. </w:t>
      </w:r>
      <w:r w:rsidR="00D74C83" w:rsidRPr="00E9725D">
        <w:rPr>
          <w:rFonts w:ascii="Arial" w:hAnsi="Arial" w:cs="Arial"/>
          <w:bCs/>
          <w:sz w:val="18"/>
          <w:szCs w:val="18"/>
        </w:rPr>
        <w:t>Fundamentally</w:t>
      </w:r>
      <w:r w:rsidR="009F0F1E" w:rsidRPr="00E9725D">
        <w:rPr>
          <w:rFonts w:ascii="Arial" w:hAnsi="Arial" w:cs="Arial"/>
          <w:bCs/>
          <w:sz w:val="18"/>
          <w:szCs w:val="18"/>
        </w:rPr>
        <w:t xml:space="preserve"> redesigned the risk and capital infrastructure and transformed the approach to client pricing and risk return. Resulted in </w:t>
      </w:r>
      <w:r w:rsidR="00D74C83" w:rsidRPr="00E9725D">
        <w:rPr>
          <w:rFonts w:ascii="Arial" w:hAnsi="Arial" w:cs="Arial"/>
          <w:bCs/>
          <w:sz w:val="18"/>
          <w:szCs w:val="18"/>
        </w:rPr>
        <w:t>a doubling</w:t>
      </w:r>
      <w:r w:rsidR="009F0F1E" w:rsidRPr="00E9725D">
        <w:rPr>
          <w:rFonts w:ascii="Arial" w:hAnsi="Arial" w:cs="Arial"/>
          <w:bCs/>
          <w:sz w:val="18"/>
          <w:szCs w:val="18"/>
        </w:rPr>
        <w:t xml:space="preserve"> </w:t>
      </w:r>
      <w:r w:rsidR="00D74C83" w:rsidRPr="00E9725D">
        <w:rPr>
          <w:rFonts w:ascii="Arial" w:hAnsi="Arial" w:cs="Arial"/>
          <w:bCs/>
          <w:sz w:val="18"/>
          <w:szCs w:val="18"/>
        </w:rPr>
        <w:t>of the revenue in the</w:t>
      </w:r>
      <w:r w:rsidR="009F0F1E" w:rsidRPr="00E9725D">
        <w:rPr>
          <w:rFonts w:ascii="Arial" w:hAnsi="Arial" w:cs="Arial"/>
          <w:bCs/>
          <w:sz w:val="18"/>
          <w:szCs w:val="18"/>
        </w:rPr>
        <w:t xml:space="preserve"> Clearing business revenue, while reducing capital, GSIB footprint. JPMorgan rose to the top position (by revenue, margin, etc.) without compromising </w:t>
      </w:r>
      <w:proofErr w:type="spellStart"/>
      <w:r w:rsidR="009F0F1E" w:rsidRPr="00E9725D">
        <w:rPr>
          <w:rFonts w:ascii="Arial" w:hAnsi="Arial" w:cs="Arial"/>
          <w:bCs/>
          <w:sz w:val="18"/>
          <w:szCs w:val="18"/>
        </w:rPr>
        <w:t>RoE</w:t>
      </w:r>
      <w:proofErr w:type="spellEnd"/>
      <w:r w:rsidR="009F0F1E" w:rsidRPr="00E9725D">
        <w:rPr>
          <w:rFonts w:ascii="Arial" w:hAnsi="Arial" w:cs="Arial"/>
          <w:bCs/>
          <w:sz w:val="18"/>
          <w:szCs w:val="18"/>
        </w:rPr>
        <w:t xml:space="preserve"> or risk discipline. Team's efforts recognized with the Risk award for best OTC Client Clearer in </w:t>
      </w:r>
      <w:hyperlink r:id="rId8" w:history="1">
        <w:r w:rsidR="00541476" w:rsidRPr="00E9725D">
          <w:rPr>
            <w:rStyle w:val="Hyperlink"/>
            <w:rFonts w:ascii="Arial" w:hAnsi="Arial" w:cs="Arial"/>
            <w:bCs/>
            <w:sz w:val="18"/>
            <w:szCs w:val="18"/>
          </w:rPr>
          <w:t>2019</w:t>
        </w:r>
      </w:hyperlink>
      <w:r w:rsidR="00541476" w:rsidRPr="00E9725D">
        <w:rPr>
          <w:rFonts w:ascii="Arial" w:hAnsi="Arial" w:cs="Arial"/>
          <w:bCs/>
          <w:sz w:val="18"/>
          <w:szCs w:val="18"/>
        </w:rPr>
        <w:t xml:space="preserve"> and </w:t>
      </w:r>
      <w:hyperlink r:id="rId9" w:history="1">
        <w:r w:rsidR="00541476" w:rsidRPr="00E9725D">
          <w:rPr>
            <w:rStyle w:val="Hyperlink"/>
            <w:rFonts w:ascii="Arial" w:hAnsi="Arial" w:cs="Arial"/>
            <w:bCs/>
            <w:sz w:val="18"/>
            <w:szCs w:val="18"/>
          </w:rPr>
          <w:t>2021</w:t>
        </w:r>
      </w:hyperlink>
      <w:r w:rsidR="00541476" w:rsidRPr="00E9725D">
        <w:rPr>
          <w:rFonts w:ascii="Arial" w:hAnsi="Arial" w:cs="Arial"/>
          <w:bCs/>
          <w:sz w:val="18"/>
          <w:szCs w:val="18"/>
        </w:rPr>
        <w:t>.</w:t>
      </w:r>
      <w:r w:rsidR="009F0F1E" w:rsidRPr="00E9725D">
        <w:rPr>
          <w:rFonts w:ascii="Arial" w:hAnsi="Arial" w:cs="Arial"/>
          <w:bCs/>
          <w:sz w:val="18"/>
          <w:szCs w:val="18"/>
        </w:rPr>
        <w:t xml:space="preserve"> Actively involved in major CCPs' Risk Committees and contributed to risk management discussions. Represented JPMorgan and the industry to US and UK regulators, notably co-authoring </w:t>
      </w:r>
      <w:r w:rsidR="00541476" w:rsidRPr="00E9725D">
        <w:rPr>
          <w:rFonts w:ascii="Arial" w:hAnsi="Arial" w:cs="Arial"/>
          <w:bCs/>
          <w:sz w:val="18"/>
          <w:szCs w:val="18"/>
        </w:rPr>
        <w:t xml:space="preserve">a </w:t>
      </w:r>
      <w:hyperlink r:id="rId10" w:history="1">
        <w:r w:rsidR="00541476" w:rsidRPr="00E9725D">
          <w:rPr>
            <w:rStyle w:val="Hyperlink"/>
            <w:rFonts w:ascii="Arial" w:hAnsi="Arial" w:cs="Arial"/>
            <w:bCs/>
            <w:sz w:val="18"/>
            <w:szCs w:val="18"/>
          </w:rPr>
          <w:t>white pape</w:t>
        </w:r>
      </w:hyperlink>
      <w:r w:rsidR="00541476" w:rsidRPr="00E9725D">
        <w:rPr>
          <w:rFonts w:ascii="Arial" w:hAnsi="Arial" w:cs="Arial"/>
          <w:bCs/>
          <w:sz w:val="18"/>
          <w:szCs w:val="18"/>
        </w:rPr>
        <w:t xml:space="preserve">r </w:t>
      </w:r>
      <w:r w:rsidR="009F0F1E" w:rsidRPr="00E9725D">
        <w:rPr>
          <w:rFonts w:ascii="Arial" w:hAnsi="Arial" w:cs="Arial"/>
          <w:bCs/>
          <w:sz w:val="18"/>
          <w:szCs w:val="18"/>
        </w:rPr>
        <w:t>on CCP risk and resiliency</w:t>
      </w:r>
      <w:r w:rsidR="00541476" w:rsidRPr="00E9725D">
        <w:rPr>
          <w:rFonts w:ascii="Arial" w:hAnsi="Arial" w:cs="Arial"/>
          <w:bCs/>
          <w:sz w:val="18"/>
          <w:szCs w:val="18"/>
        </w:rPr>
        <w:t xml:space="preserve"> (</w:t>
      </w:r>
      <w:hyperlink r:id="rId11" w:history="1">
        <w:r w:rsidR="00541476" w:rsidRPr="00E9725D">
          <w:rPr>
            <w:rStyle w:val="Hyperlink"/>
            <w:rFonts w:ascii="Arial" w:hAnsi="Arial" w:cs="Arial"/>
            <w:bCs/>
            <w:sz w:val="18"/>
            <w:szCs w:val="18"/>
          </w:rPr>
          <w:t>FT</w:t>
        </w:r>
      </w:hyperlink>
      <w:r w:rsidR="00541476" w:rsidRPr="00E9725D">
        <w:rPr>
          <w:rStyle w:val="Hyperlink"/>
          <w:rFonts w:ascii="Arial" w:hAnsi="Arial" w:cs="Arial"/>
          <w:bCs/>
          <w:sz w:val="18"/>
          <w:szCs w:val="18"/>
        </w:rPr>
        <w:t>)</w:t>
      </w:r>
      <w:r w:rsidR="009F0F1E" w:rsidRPr="00E9725D">
        <w:rPr>
          <w:rFonts w:ascii="Arial" w:hAnsi="Arial" w:cs="Arial"/>
          <w:bCs/>
          <w:sz w:val="18"/>
          <w:szCs w:val="18"/>
        </w:rPr>
        <w:t>, and engaging in initiatives related to bilateral and cleared derivatives.</w:t>
      </w:r>
    </w:p>
    <w:p w14:paraId="03899245" w14:textId="77777777" w:rsidR="00BF706C" w:rsidRPr="00E9725D" w:rsidRDefault="00BF706C" w:rsidP="005E34F5">
      <w:pPr>
        <w:pStyle w:val="Header"/>
        <w:tabs>
          <w:tab w:val="clear" w:pos="4153"/>
          <w:tab w:val="clear" w:pos="8306"/>
          <w:tab w:val="right" w:pos="8959"/>
        </w:tabs>
        <w:spacing w:after="100"/>
        <w:rPr>
          <w:rFonts w:ascii="Arial" w:hAnsi="Arial" w:cs="Arial"/>
          <w:bCs/>
          <w:sz w:val="18"/>
          <w:szCs w:val="18"/>
        </w:rPr>
      </w:pPr>
    </w:p>
    <w:p w14:paraId="14F342C3" w14:textId="4ADDFF28" w:rsidR="00AF2B7F" w:rsidRPr="00E9725D" w:rsidRDefault="00B60613" w:rsidP="00141F16">
      <w:pPr>
        <w:pStyle w:val="Header"/>
        <w:tabs>
          <w:tab w:val="clear" w:pos="4153"/>
          <w:tab w:val="clear" w:pos="8306"/>
          <w:tab w:val="right" w:pos="8959"/>
        </w:tabs>
        <w:rPr>
          <w:rFonts w:ascii="Arial" w:hAnsi="Arial" w:cs="Arial"/>
          <w:b/>
          <w:i/>
          <w:sz w:val="18"/>
          <w:szCs w:val="18"/>
        </w:rPr>
      </w:pPr>
      <w:r w:rsidRPr="00E9725D">
        <w:rPr>
          <w:rFonts w:ascii="Arial" w:hAnsi="Arial" w:cs="Arial"/>
          <w:b/>
          <w:i/>
          <w:sz w:val="18"/>
          <w:szCs w:val="18"/>
        </w:rPr>
        <w:t xml:space="preserve">Implementation of </w:t>
      </w:r>
      <w:r w:rsidR="00AF2B7F" w:rsidRPr="00E9725D">
        <w:rPr>
          <w:rFonts w:ascii="Arial" w:hAnsi="Arial" w:cs="Arial"/>
          <w:b/>
          <w:i/>
          <w:sz w:val="18"/>
          <w:szCs w:val="18"/>
        </w:rPr>
        <w:t>FVA &amp;</w:t>
      </w:r>
      <w:r w:rsidRPr="00E9725D">
        <w:rPr>
          <w:rFonts w:ascii="Arial" w:hAnsi="Arial" w:cs="Arial"/>
          <w:b/>
          <w:i/>
          <w:sz w:val="18"/>
          <w:szCs w:val="18"/>
        </w:rPr>
        <w:t xml:space="preserve"> KVA</w:t>
      </w:r>
      <w:r w:rsidR="00596F8F" w:rsidRPr="00E9725D">
        <w:rPr>
          <w:rFonts w:ascii="Arial" w:hAnsi="Arial" w:cs="Arial"/>
          <w:b/>
          <w:i/>
          <w:sz w:val="18"/>
          <w:szCs w:val="18"/>
        </w:rPr>
        <w:t xml:space="preserve"> </w:t>
      </w:r>
      <w:r w:rsidR="00C81439" w:rsidRPr="00E9725D">
        <w:rPr>
          <w:rFonts w:ascii="Arial" w:hAnsi="Arial" w:cs="Arial"/>
          <w:b/>
          <w:i/>
          <w:sz w:val="18"/>
          <w:szCs w:val="18"/>
        </w:rPr>
        <w:t xml:space="preserve"> </w:t>
      </w:r>
      <w:r w:rsidRPr="00E9725D">
        <w:rPr>
          <w:rFonts w:ascii="Arial" w:hAnsi="Arial" w:cs="Arial"/>
          <w:b/>
          <w:i/>
          <w:sz w:val="18"/>
          <w:szCs w:val="18"/>
        </w:rPr>
        <w:t xml:space="preserve"> </w:t>
      </w:r>
      <w:r w:rsidRPr="00E9725D">
        <w:rPr>
          <w:rFonts w:ascii="Arial" w:hAnsi="Arial" w:cs="Arial"/>
          <w:b/>
          <w:i/>
          <w:sz w:val="18"/>
          <w:szCs w:val="18"/>
        </w:rPr>
        <w:tab/>
      </w:r>
      <w:r w:rsidR="00AF2B7F" w:rsidRPr="00E9725D">
        <w:rPr>
          <w:rFonts w:ascii="Arial" w:hAnsi="Arial" w:cs="Arial"/>
          <w:b/>
          <w:i/>
          <w:sz w:val="18"/>
          <w:szCs w:val="18"/>
        </w:rPr>
        <w:t xml:space="preserve"> 2012 -201</w:t>
      </w:r>
      <w:r w:rsidR="005B2F0A" w:rsidRPr="00E9725D">
        <w:rPr>
          <w:rFonts w:ascii="Arial" w:hAnsi="Arial" w:cs="Arial"/>
          <w:b/>
          <w:i/>
          <w:sz w:val="18"/>
          <w:szCs w:val="18"/>
        </w:rPr>
        <w:t>6</w:t>
      </w:r>
    </w:p>
    <w:p w14:paraId="711C22AF" w14:textId="6D3584B6" w:rsidR="008D7C82" w:rsidRPr="00E9725D" w:rsidRDefault="008D7C82" w:rsidP="005E34F5">
      <w:pPr>
        <w:pStyle w:val="Header"/>
        <w:tabs>
          <w:tab w:val="clear" w:pos="4153"/>
          <w:tab w:val="clear" w:pos="8306"/>
          <w:tab w:val="right" w:pos="8959"/>
        </w:tabs>
        <w:spacing w:after="100"/>
        <w:rPr>
          <w:rFonts w:ascii="Arial" w:hAnsi="Arial" w:cs="Arial"/>
          <w:bCs/>
          <w:sz w:val="18"/>
          <w:szCs w:val="18"/>
        </w:rPr>
      </w:pPr>
      <w:r w:rsidRPr="00E9725D">
        <w:rPr>
          <w:rFonts w:ascii="Arial" w:hAnsi="Arial" w:cs="Arial"/>
          <w:bCs/>
          <w:sz w:val="18"/>
          <w:szCs w:val="18"/>
        </w:rPr>
        <w:t xml:space="preserve">Led the global team in implementing funding adjustments (FVA) and lifetime cost of capital (KVA) for the derivative franchise. This strategic change had a significant impact on the firm, resulting in a </w:t>
      </w:r>
      <w:hyperlink r:id="rId12" w:history="1">
        <w:r w:rsidR="001338C1" w:rsidRPr="00E9725D">
          <w:rPr>
            <w:rStyle w:val="Hyperlink"/>
            <w:rFonts w:ascii="Arial" w:hAnsi="Arial" w:cs="Arial"/>
            <w:bCs/>
            <w:sz w:val="18"/>
            <w:szCs w:val="18"/>
          </w:rPr>
          <w:t>$1.5bn P&amp;L adjustment</w:t>
        </w:r>
      </w:hyperlink>
      <w:r w:rsidRPr="00E9725D">
        <w:rPr>
          <w:rFonts w:ascii="Arial" w:hAnsi="Arial" w:cs="Arial"/>
          <w:bCs/>
          <w:sz w:val="18"/>
          <w:szCs w:val="18"/>
        </w:rPr>
        <w:t xml:space="preserve"> and influencing the derivative industry worldwide. Additionally, played a key role in JPMorgan's response to the Non-Cleared Margin rule and new capital metrics (SLR, LCR &amp; NSFR) and co-chaired the ISDA Collateral committee.</w:t>
      </w:r>
    </w:p>
    <w:p w14:paraId="13A8A965" w14:textId="57049823" w:rsidR="00B60613" w:rsidRPr="00E9725D" w:rsidRDefault="00B60613" w:rsidP="005E34F5">
      <w:pPr>
        <w:pStyle w:val="Header"/>
        <w:tabs>
          <w:tab w:val="clear" w:pos="4153"/>
          <w:tab w:val="clear" w:pos="8306"/>
          <w:tab w:val="right" w:pos="8959"/>
        </w:tabs>
        <w:spacing w:after="100"/>
        <w:rPr>
          <w:rFonts w:ascii="Arial" w:hAnsi="Arial" w:cs="Arial"/>
          <w:b/>
          <w:iCs/>
          <w:sz w:val="18"/>
          <w:szCs w:val="18"/>
        </w:rPr>
      </w:pPr>
    </w:p>
    <w:p w14:paraId="59F75C76" w14:textId="0E06DE26" w:rsidR="00FC7930" w:rsidRPr="00E9725D" w:rsidRDefault="00891025" w:rsidP="00141F16">
      <w:pPr>
        <w:pStyle w:val="Header"/>
        <w:tabs>
          <w:tab w:val="clear" w:pos="4153"/>
          <w:tab w:val="clear" w:pos="8306"/>
          <w:tab w:val="right" w:pos="8959"/>
        </w:tabs>
        <w:rPr>
          <w:rFonts w:ascii="Arial" w:hAnsi="Arial" w:cs="Arial"/>
          <w:b/>
          <w:i/>
          <w:sz w:val="18"/>
          <w:szCs w:val="18"/>
        </w:rPr>
      </w:pPr>
      <w:r w:rsidRPr="00E9725D">
        <w:rPr>
          <w:rFonts w:ascii="Arial" w:hAnsi="Arial" w:cs="Arial"/>
          <w:b/>
          <w:i/>
          <w:sz w:val="18"/>
          <w:szCs w:val="18"/>
        </w:rPr>
        <w:t>OIS/</w:t>
      </w:r>
      <w:r w:rsidR="000B7A3A" w:rsidRPr="00E9725D">
        <w:rPr>
          <w:rFonts w:ascii="Arial" w:hAnsi="Arial" w:cs="Arial"/>
          <w:b/>
          <w:i/>
          <w:sz w:val="18"/>
          <w:szCs w:val="18"/>
        </w:rPr>
        <w:t>CSA</w:t>
      </w:r>
      <w:r w:rsidR="00C81439" w:rsidRPr="00E9725D">
        <w:rPr>
          <w:rFonts w:ascii="Arial" w:hAnsi="Arial" w:cs="Arial"/>
          <w:b/>
          <w:i/>
          <w:sz w:val="18"/>
          <w:szCs w:val="18"/>
        </w:rPr>
        <w:t>-specific</w:t>
      </w:r>
      <w:r w:rsidR="000B7A3A" w:rsidRPr="00E9725D">
        <w:rPr>
          <w:rFonts w:ascii="Arial" w:hAnsi="Arial" w:cs="Arial"/>
          <w:b/>
          <w:i/>
          <w:sz w:val="18"/>
          <w:szCs w:val="18"/>
        </w:rPr>
        <w:t xml:space="preserve"> funding </w:t>
      </w:r>
      <w:r w:rsidR="00FC7930" w:rsidRPr="00E9725D">
        <w:rPr>
          <w:rFonts w:ascii="Arial" w:hAnsi="Arial" w:cs="Arial"/>
          <w:b/>
          <w:i/>
          <w:sz w:val="18"/>
          <w:szCs w:val="18"/>
        </w:rPr>
        <w:tab/>
        <w:t xml:space="preserve"> 20</w:t>
      </w:r>
      <w:r w:rsidR="006D5806" w:rsidRPr="00E9725D">
        <w:rPr>
          <w:rFonts w:ascii="Arial" w:hAnsi="Arial" w:cs="Arial"/>
          <w:b/>
          <w:i/>
          <w:sz w:val="18"/>
          <w:szCs w:val="18"/>
        </w:rPr>
        <w:t>09</w:t>
      </w:r>
      <w:r w:rsidR="00FC7930" w:rsidRPr="00E9725D">
        <w:rPr>
          <w:rFonts w:ascii="Arial" w:hAnsi="Arial" w:cs="Arial"/>
          <w:b/>
          <w:i/>
          <w:sz w:val="18"/>
          <w:szCs w:val="18"/>
        </w:rPr>
        <w:t xml:space="preserve"> - </w:t>
      </w:r>
      <w:r w:rsidR="00B60613" w:rsidRPr="00E9725D">
        <w:rPr>
          <w:rFonts w:ascii="Arial" w:hAnsi="Arial" w:cs="Arial"/>
          <w:b/>
          <w:i/>
          <w:sz w:val="18"/>
          <w:szCs w:val="18"/>
        </w:rPr>
        <w:t>2012</w:t>
      </w:r>
    </w:p>
    <w:p w14:paraId="645079CD" w14:textId="1AACE1ED" w:rsidR="00D413DA" w:rsidRPr="00E9725D" w:rsidRDefault="00D413DA" w:rsidP="005E34F5">
      <w:pPr>
        <w:pStyle w:val="Header"/>
        <w:tabs>
          <w:tab w:val="clear" w:pos="4153"/>
          <w:tab w:val="clear" w:pos="8306"/>
          <w:tab w:val="right" w:pos="8959"/>
        </w:tabs>
        <w:spacing w:after="100"/>
        <w:rPr>
          <w:rFonts w:ascii="Arial" w:hAnsi="Arial" w:cs="Arial"/>
          <w:bCs/>
          <w:sz w:val="18"/>
          <w:szCs w:val="18"/>
        </w:rPr>
      </w:pPr>
      <w:r w:rsidRPr="00E9725D">
        <w:rPr>
          <w:rFonts w:ascii="Arial" w:hAnsi="Arial" w:cs="Arial"/>
          <w:bCs/>
          <w:sz w:val="18"/>
          <w:szCs w:val="18"/>
        </w:rPr>
        <w:t>As a founding member of the Differential Discounting (DD) desk, introduced single &amp; multi-currency OIS discounting for collateralized derivatives globally. Managed the complex, high-volume DD desk, responsible for funding risks on over 3 million trades. Led the development of the firm's approach to risk management, trading currency basis, Libor-OIS, revenue attribution, and ultimately trading out of risk positions. Oversaw the technology infrastructure for implementation, considering economic, legal, and regulatory factors for each CSA governing funding value.</w:t>
      </w:r>
    </w:p>
    <w:p w14:paraId="58BAC1BC" w14:textId="542BF758" w:rsidR="00055749" w:rsidRPr="00E9725D" w:rsidRDefault="00055749" w:rsidP="005E34F5">
      <w:pPr>
        <w:pStyle w:val="Header"/>
        <w:tabs>
          <w:tab w:val="clear" w:pos="4153"/>
          <w:tab w:val="clear" w:pos="8306"/>
          <w:tab w:val="right" w:pos="8959"/>
        </w:tabs>
        <w:spacing w:after="100"/>
        <w:rPr>
          <w:rFonts w:ascii="Arial" w:hAnsi="Arial" w:cs="Arial"/>
          <w:bCs/>
          <w:sz w:val="18"/>
          <w:szCs w:val="18"/>
        </w:rPr>
      </w:pPr>
    </w:p>
    <w:p w14:paraId="59F75C81" w14:textId="1B3ABA41" w:rsidR="0056144A" w:rsidRPr="00E9725D" w:rsidRDefault="00B65548" w:rsidP="00141F16">
      <w:pPr>
        <w:pStyle w:val="Header"/>
        <w:tabs>
          <w:tab w:val="clear" w:pos="4153"/>
          <w:tab w:val="clear" w:pos="8306"/>
          <w:tab w:val="right" w:pos="8959"/>
        </w:tabs>
        <w:rPr>
          <w:rFonts w:ascii="Arial" w:hAnsi="Arial" w:cs="Arial"/>
          <w:b/>
          <w:i/>
          <w:sz w:val="18"/>
          <w:szCs w:val="18"/>
        </w:rPr>
      </w:pPr>
      <w:r w:rsidRPr="00E9725D">
        <w:rPr>
          <w:rFonts w:ascii="Arial" w:hAnsi="Arial" w:cs="Arial"/>
          <w:b/>
          <w:i/>
          <w:sz w:val="18"/>
          <w:szCs w:val="18"/>
        </w:rPr>
        <w:t xml:space="preserve">Trading experience: </w:t>
      </w:r>
      <w:r w:rsidR="00532268" w:rsidRPr="00E9725D">
        <w:rPr>
          <w:rFonts w:ascii="Arial" w:hAnsi="Arial" w:cs="Arial"/>
          <w:b/>
          <w:i/>
          <w:sz w:val="18"/>
          <w:szCs w:val="18"/>
        </w:rPr>
        <w:t>Derivative execution for ABS</w:t>
      </w:r>
      <w:r w:rsidR="0056144A" w:rsidRPr="00E9725D">
        <w:rPr>
          <w:rFonts w:ascii="Arial" w:hAnsi="Arial" w:cs="Arial"/>
          <w:b/>
          <w:i/>
          <w:sz w:val="18"/>
          <w:szCs w:val="18"/>
        </w:rPr>
        <w:tab/>
        <w:t>2003 - 2009</w:t>
      </w:r>
    </w:p>
    <w:p w14:paraId="59F75C89" w14:textId="4C877A5A" w:rsidR="009252F9" w:rsidRPr="00E9725D" w:rsidRDefault="008072D9" w:rsidP="005E34F5">
      <w:pPr>
        <w:tabs>
          <w:tab w:val="right" w:pos="8959"/>
        </w:tabs>
        <w:spacing w:after="100"/>
        <w:rPr>
          <w:rFonts w:ascii="Arial" w:hAnsi="Arial" w:cs="Arial"/>
          <w:sz w:val="18"/>
          <w:szCs w:val="18"/>
          <w:lang w:val="en-US"/>
        </w:rPr>
      </w:pPr>
      <w:r w:rsidRPr="00E9725D">
        <w:rPr>
          <w:rFonts w:ascii="Arial" w:hAnsi="Arial" w:cs="Arial"/>
          <w:sz w:val="18"/>
          <w:szCs w:val="18"/>
          <w:lang w:val="en-US"/>
        </w:rPr>
        <w:t>Developed and led the dominant Perfect Asset Swap franchise in the world for servicing the CLO market. Achieved an estimated market share of 65-70% through client acquisition, trading execution, transaction management, IT development, and overseeing middle and back-office operations</w:t>
      </w:r>
      <w:r w:rsidR="00C4523E" w:rsidRPr="00E9725D">
        <w:rPr>
          <w:rFonts w:ascii="Arial" w:hAnsi="Arial" w:cs="Arial"/>
          <w:sz w:val="18"/>
          <w:szCs w:val="18"/>
          <w:lang w:val="en-US"/>
        </w:rPr>
        <w:t>.</w:t>
      </w:r>
    </w:p>
    <w:p w14:paraId="7FE9EA4A" w14:textId="77777777" w:rsidR="00C4523E" w:rsidRPr="00E9725D" w:rsidRDefault="00C4523E" w:rsidP="005E34F5">
      <w:pPr>
        <w:tabs>
          <w:tab w:val="right" w:pos="8959"/>
        </w:tabs>
        <w:spacing w:after="100"/>
        <w:rPr>
          <w:rFonts w:ascii="Arial" w:hAnsi="Arial" w:cs="Arial"/>
          <w:sz w:val="18"/>
          <w:szCs w:val="18"/>
          <w:lang w:val="en-US"/>
        </w:rPr>
      </w:pPr>
    </w:p>
    <w:p w14:paraId="59F75C8C" w14:textId="73482FD8" w:rsidR="00EC60B9" w:rsidRPr="00E9725D" w:rsidRDefault="00EC60B9" w:rsidP="00141F16">
      <w:pPr>
        <w:pStyle w:val="Header"/>
        <w:tabs>
          <w:tab w:val="clear" w:pos="4153"/>
          <w:tab w:val="clear" w:pos="8306"/>
          <w:tab w:val="right" w:pos="8959"/>
        </w:tabs>
        <w:rPr>
          <w:rFonts w:ascii="Arial" w:hAnsi="Arial" w:cs="Arial"/>
          <w:b/>
          <w:i/>
          <w:sz w:val="18"/>
          <w:szCs w:val="18"/>
        </w:rPr>
      </w:pPr>
      <w:r w:rsidRPr="00E9725D">
        <w:rPr>
          <w:rFonts w:ascii="Arial" w:hAnsi="Arial" w:cs="Arial"/>
          <w:b/>
          <w:i/>
          <w:sz w:val="18"/>
          <w:szCs w:val="18"/>
        </w:rPr>
        <w:t xml:space="preserve">Levered US </w:t>
      </w:r>
      <w:r w:rsidR="00B849E5" w:rsidRPr="00E9725D">
        <w:rPr>
          <w:rFonts w:ascii="Arial" w:hAnsi="Arial" w:cs="Arial"/>
          <w:b/>
          <w:i/>
          <w:sz w:val="18"/>
          <w:szCs w:val="18"/>
        </w:rPr>
        <w:t>M</w:t>
      </w:r>
      <w:r w:rsidRPr="00E9725D">
        <w:rPr>
          <w:rFonts w:ascii="Arial" w:hAnsi="Arial" w:cs="Arial"/>
          <w:b/>
          <w:i/>
          <w:sz w:val="18"/>
          <w:szCs w:val="18"/>
        </w:rPr>
        <w:t xml:space="preserve">uni </w:t>
      </w:r>
      <w:r w:rsidR="00B849E5" w:rsidRPr="00E9725D">
        <w:rPr>
          <w:rFonts w:ascii="Arial" w:hAnsi="Arial" w:cs="Arial"/>
          <w:b/>
          <w:i/>
          <w:sz w:val="18"/>
          <w:szCs w:val="18"/>
        </w:rPr>
        <w:t>B</w:t>
      </w:r>
      <w:r w:rsidRPr="00E9725D">
        <w:rPr>
          <w:rFonts w:ascii="Arial" w:hAnsi="Arial" w:cs="Arial"/>
          <w:b/>
          <w:i/>
          <w:sz w:val="18"/>
          <w:szCs w:val="18"/>
        </w:rPr>
        <w:t xml:space="preserve">ond </w:t>
      </w:r>
      <w:r w:rsidR="00B849E5" w:rsidRPr="00E9725D">
        <w:rPr>
          <w:rFonts w:ascii="Arial" w:hAnsi="Arial" w:cs="Arial"/>
          <w:b/>
          <w:i/>
          <w:sz w:val="18"/>
          <w:szCs w:val="18"/>
        </w:rPr>
        <w:t>H</w:t>
      </w:r>
      <w:r w:rsidRPr="00E9725D">
        <w:rPr>
          <w:rFonts w:ascii="Arial" w:hAnsi="Arial" w:cs="Arial"/>
          <w:b/>
          <w:i/>
          <w:sz w:val="18"/>
          <w:szCs w:val="18"/>
        </w:rPr>
        <w:t xml:space="preserve">edge </w:t>
      </w:r>
      <w:r w:rsidR="00B849E5" w:rsidRPr="00E9725D">
        <w:rPr>
          <w:rFonts w:ascii="Arial" w:hAnsi="Arial" w:cs="Arial"/>
          <w:b/>
          <w:i/>
          <w:sz w:val="18"/>
          <w:szCs w:val="18"/>
        </w:rPr>
        <w:t>F</w:t>
      </w:r>
      <w:r w:rsidRPr="00E9725D">
        <w:rPr>
          <w:rFonts w:ascii="Arial" w:hAnsi="Arial" w:cs="Arial"/>
          <w:b/>
          <w:i/>
          <w:sz w:val="18"/>
          <w:szCs w:val="18"/>
        </w:rPr>
        <w:t>und</w:t>
      </w:r>
      <w:r w:rsidRPr="00E9725D">
        <w:rPr>
          <w:rFonts w:ascii="Arial" w:hAnsi="Arial" w:cs="Arial"/>
          <w:b/>
          <w:i/>
          <w:sz w:val="18"/>
          <w:szCs w:val="18"/>
        </w:rPr>
        <w:tab/>
        <w:t>2003 - 2009</w:t>
      </w:r>
    </w:p>
    <w:p w14:paraId="01591E8F" w14:textId="6024BDF9" w:rsidR="001C3D30" w:rsidRPr="00E9725D" w:rsidRDefault="00C4523E" w:rsidP="001C3D30">
      <w:pPr>
        <w:keepNext/>
        <w:tabs>
          <w:tab w:val="right" w:pos="8959"/>
        </w:tabs>
        <w:spacing w:after="100"/>
        <w:rPr>
          <w:rFonts w:ascii="Arial" w:hAnsi="Arial" w:cs="Arial"/>
          <w:sz w:val="18"/>
          <w:szCs w:val="18"/>
          <w:lang w:val="en-US"/>
        </w:rPr>
      </w:pPr>
      <w:r w:rsidRPr="00E9725D">
        <w:rPr>
          <w:rFonts w:ascii="Arial" w:hAnsi="Arial" w:cs="Arial"/>
          <w:sz w:val="18"/>
          <w:szCs w:val="18"/>
          <w:lang w:val="en-US"/>
        </w:rPr>
        <w:t xml:space="preserve">Structured and distributed an innovative hedge fund specializing in levered US municipal bond risk. Successfully raised over $1bn of client equity and managed ongoing fund operations, including trading. During the crisis of February 2008, </w:t>
      </w:r>
      <w:hyperlink r:id="rId13" w:history="1">
        <w:r w:rsidRPr="00E9725D">
          <w:rPr>
            <w:rStyle w:val="Hyperlink"/>
            <w:rFonts w:ascii="Arial" w:hAnsi="Arial" w:cs="Arial"/>
            <w:sz w:val="18"/>
            <w:szCs w:val="18"/>
            <w:lang w:val="en-US"/>
          </w:rPr>
          <w:t>raised $500m of equity</w:t>
        </w:r>
      </w:hyperlink>
      <w:r w:rsidRPr="00E9725D">
        <w:rPr>
          <w:rFonts w:ascii="Arial" w:hAnsi="Arial" w:cs="Arial"/>
          <w:sz w:val="18"/>
          <w:szCs w:val="18"/>
          <w:lang w:val="en-US"/>
        </w:rPr>
        <w:t xml:space="preserve"> immediately and restructured the fund to avoid forced liquidation, reversing $300m of investor losses overnight. </w:t>
      </w:r>
    </w:p>
    <w:p w14:paraId="0DA6FF85" w14:textId="77777777" w:rsidR="00141F16" w:rsidRPr="00E9725D" w:rsidRDefault="00141F16" w:rsidP="001C3D30">
      <w:pPr>
        <w:keepNext/>
        <w:tabs>
          <w:tab w:val="right" w:pos="8959"/>
        </w:tabs>
        <w:spacing w:after="100"/>
        <w:rPr>
          <w:rFonts w:ascii="Arial" w:hAnsi="Arial" w:cs="Arial"/>
          <w:sz w:val="18"/>
          <w:szCs w:val="18"/>
          <w:lang w:val="en-US"/>
        </w:rPr>
      </w:pPr>
    </w:p>
    <w:p w14:paraId="59F75C90" w14:textId="521817E2" w:rsidR="00866DD8" w:rsidRPr="00E9725D" w:rsidRDefault="00DA47ED" w:rsidP="00141F16">
      <w:pPr>
        <w:pStyle w:val="Header"/>
        <w:tabs>
          <w:tab w:val="clear" w:pos="4153"/>
          <w:tab w:val="clear" w:pos="8306"/>
          <w:tab w:val="right" w:pos="8959"/>
        </w:tabs>
        <w:rPr>
          <w:rFonts w:ascii="Arial" w:hAnsi="Arial" w:cs="Arial"/>
          <w:b/>
          <w:i/>
          <w:sz w:val="18"/>
          <w:szCs w:val="18"/>
        </w:rPr>
      </w:pPr>
      <w:r w:rsidRPr="00E9725D">
        <w:rPr>
          <w:rFonts w:ascii="Arial" w:hAnsi="Arial" w:cs="Arial"/>
          <w:b/>
          <w:i/>
          <w:sz w:val="18"/>
          <w:szCs w:val="18"/>
        </w:rPr>
        <w:t>Counterparty Value Adjustment (CVA)</w:t>
      </w:r>
      <w:r w:rsidR="00866DD8" w:rsidRPr="00E9725D">
        <w:rPr>
          <w:rFonts w:ascii="Arial" w:hAnsi="Arial" w:cs="Arial"/>
          <w:b/>
          <w:i/>
          <w:sz w:val="18"/>
          <w:szCs w:val="18"/>
        </w:rPr>
        <w:t xml:space="preserve"> </w:t>
      </w:r>
      <w:r w:rsidR="00866DD8" w:rsidRPr="00E9725D">
        <w:rPr>
          <w:rFonts w:ascii="Arial" w:hAnsi="Arial" w:cs="Arial"/>
          <w:b/>
          <w:i/>
          <w:sz w:val="18"/>
          <w:szCs w:val="18"/>
        </w:rPr>
        <w:tab/>
        <w:t>1999 - 2003</w:t>
      </w:r>
    </w:p>
    <w:p w14:paraId="2F0BFA19" w14:textId="5A837E2C" w:rsidR="00724D6F" w:rsidRPr="00E9725D" w:rsidRDefault="005E17F3" w:rsidP="005E34F5">
      <w:pPr>
        <w:pStyle w:val="Header"/>
        <w:tabs>
          <w:tab w:val="clear" w:pos="4153"/>
          <w:tab w:val="clear" w:pos="8306"/>
          <w:tab w:val="right" w:pos="8959"/>
        </w:tabs>
        <w:spacing w:after="100"/>
        <w:rPr>
          <w:rFonts w:ascii="Arial" w:hAnsi="Arial" w:cs="Arial"/>
          <w:sz w:val="18"/>
          <w:szCs w:val="18"/>
          <w:lang w:val="en-US"/>
        </w:rPr>
      </w:pPr>
      <w:r w:rsidRPr="00E9725D">
        <w:rPr>
          <w:rFonts w:ascii="Arial" w:hAnsi="Arial" w:cs="Arial"/>
          <w:sz w:val="18"/>
          <w:szCs w:val="18"/>
          <w:lang w:val="en-US"/>
        </w:rPr>
        <w:t>Pioneered CVA trading, defining philosophy, and implementing systems for derivative counterparty risk management. Contributed to the integration of best practices after the 2001 merger with Chase. Introduced senior management to differential discounting and collateral funding optimization techniques.</w:t>
      </w:r>
    </w:p>
    <w:p w14:paraId="7FDE166D" w14:textId="77777777" w:rsidR="00141F16" w:rsidRPr="00E9725D" w:rsidRDefault="00141F16" w:rsidP="00141F16">
      <w:pPr>
        <w:pStyle w:val="Header"/>
        <w:tabs>
          <w:tab w:val="clear" w:pos="4153"/>
          <w:tab w:val="clear" w:pos="8306"/>
          <w:tab w:val="right" w:pos="8959"/>
        </w:tabs>
        <w:rPr>
          <w:rFonts w:ascii="Arial" w:hAnsi="Arial" w:cs="Arial"/>
          <w:b/>
          <w:i/>
          <w:sz w:val="18"/>
          <w:szCs w:val="18"/>
        </w:rPr>
      </w:pPr>
    </w:p>
    <w:p w14:paraId="59F75C94" w14:textId="018C5679" w:rsidR="00866DD8" w:rsidRPr="00E9725D" w:rsidRDefault="00866DD8" w:rsidP="00141F16">
      <w:pPr>
        <w:pStyle w:val="Header"/>
        <w:tabs>
          <w:tab w:val="clear" w:pos="4153"/>
          <w:tab w:val="clear" w:pos="8306"/>
          <w:tab w:val="right" w:pos="8959"/>
        </w:tabs>
        <w:rPr>
          <w:rFonts w:ascii="Arial" w:hAnsi="Arial" w:cs="Arial"/>
          <w:b/>
          <w:i/>
          <w:sz w:val="18"/>
          <w:szCs w:val="18"/>
        </w:rPr>
      </w:pPr>
      <w:r w:rsidRPr="00E9725D">
        <w:rPr>
          <w:rFonts w:ascii="Arial" w:hAnsi="Arial" w:cs="Arial"/>
          <w:b/>
          <w:i/>
          <w:sz w:val="18"/>
          <w:szCs w:val="18"/>
        </w:rPr>
        <w:t xml:space="preserve">Structured Products </w:t>
      </w:r>
      <w:r w:rsidRPr="00E9725D">
        <w:rPr>
          <w:rFonts w:ascii="Arial" w:hAnsi="Arial" w:cs="Arial"/>
          <w:b/>
          <w:i/>
          <w:sz w:val="18"/>
          <w:szCs w:val="18"/>
        </w:rPr>
        <w:tab/>
        <w:t>1996 - 1999</w:t>
      </w:r>
    </w:p>
    <w:p w14:paraId="581E9140" w14:textId="5E0F6CF9" w:rsidR="00724D6F" w:rsidRPr="00E9725D" w:rsidRDefault="00724D6F" w:rsidP="005E34F5">
      <w:pPr>
        <w:pStyle w:val="Header"/>
        <w:tabs>
          <w:tab w:val="clear" w:pos="4153"/>
          <w:tab w:val="clear" w:pos="8306"/>
          <w:tab w:val="right" w:pos="8959"/>
        </w:tabs>
        <w:spacing w:after="100"/>
        <w:rPr>
          <w:rFonts w:ascii="Arial" w:hAnsi="Arial" w:cs="Arial"/>
          <w:bCs/>
          <w:sz w:val="18"/>
          <w:szCs w:val="18"/>
        </w:rPr>
      </w:pPr>
      <w:r w:rsidRPr="00E9725D">
        <w:rPr>
          <w:rFonts w:ascii="Arial" w:hAnsi="Arial" w:cs="Arial"/>
          <w:bCs/>
          <w:sz w:val="18"/>
          <w:szCs w:val="18"/>
        </w:rPr>
        <w:t xml:space="preserve">Executed derivative transactions for structured finance businesses, including developing models for new products such as Bistro, the first CLO structured by JPMorgan. Also, priced and risk-managed large portfolio trades and complex securitizations, including notable transactions for Abbey National, Northern Rock, Paragon, </w:t>
      </w:r>
      <w:r w:rsidR="008C148A" w:rsidRPr="00E9725D">
        <w:rPr>
          <w:rFonts w:ascii="Arial" w:hAnsi="Arial" w:cs="Arial"/>
          <w:bCs/>
          <w:sz w:val="18"/>
          <w:szCs w:val="18"/>
        </w:rPr>
        <w:t>and the high profile securitisation of Polish Paris Club receivables (</w:t>
      </w:r>
      <w:hyperlink r:id="rId14" w:history="1">
        <w:r w:rsidR="008C148A" w:rsidRPr="00E9725D">
          <w:rPr>
            <w:rStyle w:val="Hyperlink"/>
            <w:rFonts w:ascii="Arial" w:hAnsi="Arial" w:cs="Arial"/>
            <w:bCs/>
            <w:sz w:val="18"/>
            <w:szCs w:val="18"/>
          </w:rPr>
          <w:t>WSJ</w:t>
        </w:r>
      </w:hyperlink>
      <w:r w:rsidR="008C148A" w:rsidRPr="00E9725D">
        <w:rPr>
          <w:rFonts w:ascii="Arial" w:hAnsi="Arial" w:cs="Arial"/>
          <w:bCs/>
          <w:sz w:val="18"/>
          <w:szCs w:val="18"/>
        </w:rPr>
        <w:t xml:space="preserve"> article) for the Republic of France</w:t>
      </w:r>
    </w:p>
    <w:p w14:paraId="59F75C96" w14:textId="77777777" w:rsidR="00884684" w:rsidRPr="00E9725D" w:rsidRDefault="00884684" w:rsidP="005E34F5">
      <w:pPr>
        <w:pStyle w:val="Header"/>
        <w:tabs>
          <w:tab w:val="clear" w:pos="4153"/>
          <w:tab w:val="clear" w:pos="8306"/>
          <w:tab w:val="right" w:pos="8959"/>
        </w:tabs>
        <w:spacing w:after="100"/>
        <w:rPr>
          <w:rFonts w:ascii="Arial" w:hAnsi="Arial" w:cs="Arial"/>
          <w:bCs/>
          <w:sz w:val="18"/>
          <w:szCs w:val="18"/>
        </w:rPr>
      </w:pPr>
    </w:p>
    <w:p w14:paraId="57EBCF91" w14:textId="1B73ABCF" w:rsidR="005E34F5" w:rsidRPr="00E9725D" w:rsidRDefault="005D3076" w:rsidP="00141F16">
      <w:pPr>
        <w:pStyle w:val="Header"/>
        <w:tabs>
          <w:tab w:val="clear" w:pos="4153"/>
          <w:tab w:val="clear" w:pos="8306"/>
          <w:tab w:val="right" w:pos="8959"/>
        </w:tabs>
        <w:rPr>
          <w:rFonts w:ascii="Arial" w:hAnsi="Arial" w:cs="Arial"/>
          <w:b/>
          <w:i/>
          <w:sz w:val="18"/>
          <w:szCs w:val="18"/>
        </w:rPr>
      </w:pPr>
      <w:r w:rsidRPr="00E9725D">
        <w:rPr>
          <w:rFonts w:ascii="Arial" w:hAnsi="Arial" w:cs="Arial"/>
          <w:b/>
          <w:i/>
          <w:sz w:val="18"/>
          <w:szCs w:val="18"/>
        </w:rPr>
        <w:t xml:space="preserve">Swaps trading desk </w:t>
      </w:r>
      <w:r w:rsidR="0056144A" w:rsidRPr="00E9725D">
        <w:rPr>
          <w:rFonts w:ascii="Arial" w:hAnsi="Arial" w:cs="Arial"/>
          <w:b/>
          <w:i/>
          <w:sz w:val="18"/>
          <w:szCs w:val="18"/>
        </w:rPr>
        <w:tab/>
        <w:t>199</w:t>
      </w:r>
      <w:r w:rsidR="0082029C" w:rsidRPr="00E9725D">
        <w:rPr>
          <w:rFonts w:ascii="Arial" w:hAnsi="Arial" w:cs="Arial"/>
          <w:b/>
          <w:i/>
          <w:sz w:val="18"/>
          <w:szCs w:val="18"/>
        </w:rPr>
        <w:t>3</w:t>
      </w:r>
      <w:r w:rsidR="00866DD8" w:rsidRPr="00E9725D">
        <w:rPr>
          <w:rFonts w:ascii="Arial" w:hAnsi="Arial" w:cs="Arial"/>
          <w:b/>
          <w:i/>
          <w:sz w:val="18"/>
          <w:szCs w:val="18"/>
        </w:rPr>
        <w:t xml:space="preserve"> - 199</w:t>
      </w:r>
      <w:r w:rsidR="002D722B" w:rsidRPr="00E9725D">
        <w:rPr>
          <w:rFonts w:ascii="Arial" w:hAnsi="Arial" w:cs="Arial"/>
          <w:b/>
          <w:i/>
          <w:sz w:val="18"/>
          <w:szCs w:val="18"/>
        </w:rPr>
        <w:t>9</w:t>
      </w:r>
    </w:p>
    <w:p w14:paraId="59F75C9D" w14:textId="21F67764" w:rsidR="00866DD8" w:rsidRPr="00E9725D" w:rsidRDefault="00866DD8" w:rsidP="00141F16">
      <w:pPr>
        <w:pStyle w:val="Header"/>
        <w:tabs>
          <w:tab w:val="clear" w:pos="4153"/>
          <w:tab w:val="clear" w:pos="8306"/>
          <w:tab w:val="right" w:pos="8959"/>
        </w:tabs>
        <w:rPr>
          <w:rFonts w:ascii="Arial" w:hAnsi="Arial" w:cs="Arial"/>
          <w:b/>
          <w:i/>
          <w:sz w:val="18"/>
          <w:szCs w:val="18"/>
        </w:rPr>
      </w:pPr>
      <w:r w:rsidRPr="00E9725D">
        <w:rPr>
          <w:rFonts w:ascii="Arial" w:hAnsi="Arial" w:cs="Arial"/>
          <w:b/>
          <w:i/>
          <w:sz w:val="18"/>
          <w:szCs w:val="18"/>
        </w:rPr>
        <w:t>Education</w:t>
      </w:r>
      <w:r w:rsidR="00843752" w:rsidRPr="00E9725D">
        <w:rPr>
          <w:rFonts w:ascii="Arial" w:hAnsi="Arial" w:cs="Arial"/>
          <w:b/>
          <w:i/>
          <w:sz w:val="18"/>
          <w:szCs w:val="18"/>
        </w:rPr>
        <w:t xml:space="preserve"> &amp; Personal Details</w:t>
      </w:r>
      <w:r w:rsidRPr="00E9725D">
        <w:rPr>
          <w:rFonts w:ascii="Arial" w:hAnsi="Arial" w:cs="Arial"/>
          <w:b/>
          <w:i/>
          <w:sz w:val="18"/>
          <w:szCs w:val="18"/>
        </w:rPr>
        <w:tab/>
        <w:t xml:space="preserve"> </w:t>
      </w:r>
      <w:r w:rsidR="00843752" w:rsidRPr="00E9725D">
        <w:rPr>
          <w:rFonts w:ascii="Arial" w:hAnsi="Arial" w:cs="Arial"/>
          <w:b/>
          <w:i/>
          <w:sz w:val="18"/>
          <w:szCs w:val="18"/>
        </w:rPr>
        <w:t xml:space="preserve"> </w:t>
      </w:r>
    </w:p>
    <w:p w14:paraId="59F75C9E" w14:textId="20A289DE" w:rsidR="00EB344D" w:rsidRPr="00E9725D" w:rsidRDefault="00EB344D" w:rsidP="005E34F5">
      <w:pPr>
        <w:tabs>
          <w:tab w:val="right" w:pos="8959"/>
        </w:tabs>
        <w:rPr>
          <w:rFonts w:ascii="Arial" w:hAnsi="Arial" w:cs="Arial"/>
          <w:bCs/>
          <w:sz w:val="18"/>
          <w:szCs w:val="18"/>
        </w:rPr>
      </w:pPr>
      <w:r w:rsidRPr="00E9725D">
        <w:rPr>
          <w:rFonts w:ascii="Arial" w:hAnsi="Arial" w:cs="Arial"/>
          <w:bCs/>
          <w:sz w:val="18"/>
          <w:szCs w:val="18"/>
        </w:rPr>
        <w:t>Bristol Universit</w:t>
      </w:r>
      <w:r w:rsidR="00024BF2" w:rsidRPr="00E9725D">
        <w:rPr>
          <w:rFonts w:ascii="Arial" w:hAnsi="Arial" w:cs="Arial"/>
          <w:bCs/>
          <w:sz w:val="18"/>
          <w:szCs w:val="18"/>
        </w:rPr>
        <w:t>y</w:t>
      </w:r>
      <w:r w:rsidR="00B969BA" w:rsidRPr="00E9725D">
        <w:rPr>
          <w:rFonts w:ascii="Arial" w:hAnsi="Arial" w:cs="Arial"/>
          <w:bCs/>
          <w:sz w:val="18"/>
          <w:szCs w:val="18"/>
        </w:rPr>
        <w:t xml:space="preserve"> Medical School</w:t>
      </w:r>
      <w:r w:rsidR="00024BF2" w:rsidRPr="00E9725D">
        <w:rPr>
          <w:rFonts w:ascii="Arial" w:hAnsi="Arial" w:cs="Arial"/>
          <w:bCs/>
          <w:sz w:val="18"/>
          <w:szCs w:val="18"/>
        </w:rPr>
        <w:tab/>
        <w:t>1989</w:t>
      </w:r>
      <w:r w:rsidRPr="00E9725D">
        <w:rPr>
          <w:rFonts w:ascii="Arial" w:hAnsi="Arial" w:cs="Arial"/>
          <w:bCs/>
          <w:sz w:val="18"/>
          <w:szCs w:val="18"/>
        </w:rPr>
        <w:t xml:space="preserve"> - 1993</w:t>
      </w:r>
    </w:p>
    <w:p w14:paraId="0A89AD5A" w14:textId="155C5932" w:rsidR="00DA4FE4" w:rsidRPr="00E9725D" w:rsidRDefault="00866DD8" w:rsidP="005E34F5">
      <w:pPr>
        <w:tabs>
          <w:tab w:val="right" w:pos="8959"/>
        </w:tabs>
        <w:rPr>
          <w:rFonts w:ascii="Arial" w:hAnsi="Arial" w:cs="Arial"/>
          <w:bCs/>
          <w:sz w:val="18"/>
          <w:szCs w:val="18"/>
        </w:rPr>
      </w:pPr>
      <w:r w:rsidRPr="00E9725D">
        <w:rPr>
          <w:rFonts w:ascii="Arial" w:hAnsi="Arial" w:cs="Arial"/>
          <w:bCs/>
          <w:sz w:val="18"/>
          <w:szCs w:val="18"/>
        </w:rPr>
        <w:t>Worth School</w:t>
      </w:r>
      <w:r w:rsidR="00891025" w:rsidRPr="00E9725D">
        <w:rPr>
          <w:rFonts w:ascii="Arial" w:hAnsi="Arial" w:cs="Arial"/>
          <w:bCs/>
          <w:sz w:val="18"/>
          <w:szCs w:val="18"/>
        </w:rPr>
        <w:t xml:space="preserve"> </w:t>
      </w:r>
      <w:r w:rsidR="007C5BF6" w:rsidRPr="00E9725D">
        <w:rPr>
          <w:rFonts w:ascii="Arial" w:hAnsi="Arial" w:cs="Arial"/>
          <w:bCs/>
          <w:sz w:val="18"/>
          <w:szCs w:val="18"/>
        </w:rPr>
        <w:t>(academic scholarship)</w:t>
      </w:r>
      <w:r w:rsidRPr="00E9725D">
        <w:rPr>
          <w:rFonts w:ascii="Arial" w:hAnsi="Arial" w:cs="Arial"/>
          <w:bCs/>
          <w:sz w:val="18"/>
          <w:szCs w:val="18"/>
        </w:rPr>
        <w:tab/>
        <w:t xml:space="preserve">1984 </w:t>
      </w:r>
      <w:r w:rsidR="00141F16" w:rsidRPr="00E9725D">
        <w:rPr>
          <w:rFonts w:ascii="Arial" w:hAnsi="Arial" w:cs="Arial"/>
          <w:bCs/>
          <w:sz w:val="18"/>
          <w:szCs w:val="18"/>
        </w:rPr>
        <w:t>-</w:t>
      </w:r>
      <w:r w:rsidRPr="00E9725D">
        <w:rPr>
          <w:rFonts w:ascii="Arial" w:hAnsi="Arial" w:cs="Arial"/>
          <w:bCs/>
          <w:sz w:val="18"/>
          <w:szCs w:val="18"/>
        </w:rPr>
        <w:t xml:space="preserve"> 1989</w:t>
      </w:r>
    </w:p>
    <w:p w14:paraId="176AEB36" w14:textId="49FE8141" w:rsidR="00F1111A" w:rsidRPr="00E9725D" w:rsidRDefault="00B60613" w:rsidP="005E34F5">
      <w:pPr>
        <w:tabs>
          <w:tab w:val="right" w:pos="8959"/>
        </w:tabs>
        <w:rPr>
          <w:rFonts w:ascii="Arial" w:hAnsi="Arial" w:cs="Arial"/>
          <w:bCs/>
          <w:sz w:val="18"/>
          <w:szCs w:val="18"/>
        </w:rPr>
      </w:pPr>
      <w:r w:rsidRPr="00E9725D">
        <w:rPr>
          <w:rFonts w:ascii="Arial" w:hAnsi="Arial" w:cs="Arial"/>
          <w:bCs/>
          <w:sz w:val="18"/>
          <w:szCs w:val="18"/>
        </w:rPr>
        <w:t xml:space="preserve">Nationality: </w:t>
      </w:r>
      <w:r w:rsidR="00551E04" w:rsidRPr="00E9725D">
        <w:rPr>
          <w:rFonts w:ascii="Arial" w:hAnsi="Arial" w:cs="Arial"/>
          <w:bCs/>
          <w:sz w:val="18"/>
          <w:szCs w:val="18"/>
        </w:rPr>
        <w:t>UK</w:t>
      </w:r>
      <w:r w:rsidRPr="00E9725D">
        <w:rPr>
          <w:rFonts w:ascii="Arial" w:hAnsi="Arial" w:cs="Arial"/>
          <w:bCs/>
          <w:sz w:val="18"/>
          <w:szCs w:val="18"/>
        </w:rPr>
        <w:t xml:space="preserve"> &amp; </w:t>
      </w:r>
      <w:r w:rsidR="00F1462F" w:rsidRPr="00E9725D">
        <w:rPr>
          <w:rFonts w:ascii="Arial" w:hAnsi="Arial" w:cs="Arial"/>
          <w:bCs/>
          <w:sz w:val="18"/>
          <w:szCs w:val="18"/>
        </w:rPr>
        <w:t>EU (</w:t>
      </w:r>
      <w:r w:rsidRPr="00E9725D">
        <w:rPr>
          <w:rFonts w:ascii="Arial" w:hAnsi="Arial" w:cs="Arial"/>
          <w:bCs/>
          <w:sz w:val="18"/>
          <w:szCs w:val="18"/>
        </w:rPr>
        <w:t>Irish</w:t>
      </w:r>
      <w:r w:rsidR="00F1462F" w:rsidRPr="00E9725D">
        <w:rPr>
          <w:rFonts w:ascii="Arial" w:hAnsi="Arial" w:cs="Arial"/>
          <w:bCs/>
          <w:sz w:val="18"/>
          <w:szCs w:val="18"/>
        </w:rPr>
        <w:t>)</w:t>
      </w:r>
      <w:r w:rsidRPr="00E9725D">
        <w:rPr>
          <w:rFonts w:ascii="Arial" w:hAnsi="Arial" w:cs="Arial"/>
          <w:bCs/>
          <w:sz w:val="18"/>
          <w:szCs w:val="18"/>
        </w:rPr>
        <w:t xml:space="preserve"> passport holde</w:t>
      </w:r>
      <w:r w:rsidR="00D271B9" w:rsidRPr="00E9725D">
        <w:rPr>
          <w:rFonts w:ascii="Arial" w:hAnsi="Arial" w:cs="Arial"/>
          <w:bCs/>
          <w:sz w:val="18"/>
          <w:szCs w:val="18"/>
        </w:rPr>
        <w:t>r</w:t>
      </w:r>
      <w:r w:rsidR="00235B38" w:rsidRPr="00E9725D">
        <w:rPr>
          <w:rFonts w:ascii="Arial" w:hAnsi="Arial" w:cs="Arial"/>
          <w:bCs/>
          <w:sz w:val="18"/>
          <w:szCs w:val="18"/>
        </w:rPr>
        <w:t xml:space="preserve"> </w:t>
      </w:r>
    </w:p>
    <w:p w14:paraId="2A35065B" w14:textId="039032B6" w:rsidR="00B60613" w:rsidRPr="00E9725D" w:rsidRDefault="00235B38" w:rsidP="00141F16">
      <w:pPr>
        <w:tabs>
          <w:tab w:val="right" w:pos="8959"/>
        </w:tabs>
        <w:rPr>
          <w:rFonts w:ascii="Arial" w:hAnsi="Arial" w:cs="Arial"/>
          <w:bCs/>
          <w:sz w:val="18"/>
          <w:szCs w:val="18"/>
        </w:rPr>
      </w:pPr>
      <w:r w:rsidRPr="00E9725D">
        <w:rPr>
          <w:rFonts w:ascii="Arial" w:hAnsi="Arial" w:cs="Arial"/>
          <w:bCs/>
          <w:noProof/>
          <w:sz w:val="18"/>
          <w:szCs w:val="18"/>
        </w:rPr>
        <w:drawing>
          <wp:inline distT="0" distB="0" distL="0" distR="0" wp14:anchorId="73ECD7D3" wp14:editId="6020AF37">
            <wp:extent cx="238125" cy="238125"/>
            <wp:effectExtent l="0" t="0" r="9525" b="9525"/>
            <wp:docPr id="1354595685" name="Picture 1354595685" descr="A blue and white logo&#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95685" name="Picture 1354595685" descr="A blue and white logo&#10;&#10;Description automatically generated">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sectPr w:rsidR="00B60613" w:rsidRPr="00E9725D" w:rsidSect="00A23DCD">
      <w:headerReference w:type="default" r:id="rId17"/>
      <w:footerReference w:type="default" r:id="rId18"/>
      <w:pgSz w:w="11894" w:h="16834"/>
      <w:pgMar w:top="1418" w:right="1418" w:bottom="357" w:left="1418" w:header="578"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D09C9" w14:textId="77777777" w:rsidR="00EB62EC" w:rsidRDefault="00EB62EC">
      <w:r>
        <w:separator/>
      </w:r>
    </w:p>
  </w:endnote>
  <w:endnote w:type="continuationSeparator" w:id="0">
    <w:p w14:paraId="178D3F62" w14:textId="77777777" w:rsidR="00EB62EC" w:rsidRDefault="00EB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5CB2" w14:textId="0F322871" w:rsidR="00654987" w:rsidRPr="009C3511" w:rsidRDefault="00654987" w:rsidP="00EC60B9">
    <w:pPr>
      <w:pStyle w:val="Footer"/>
      <w:pBdr>
        <w:top w:val="single" w:sz="4" w:space="1" w:color="auto"/>
      </w:pBd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608D8" w14:textId="77777777" w:rsidR="00EB62EC" w:rsidRDefault="00EB62EC">
      <w:r>
        <w:separator/>
      </w:r>
    </w:p>
  </w:footnote>
  <w:footnote w:type="continuationSeparator" w:id="0">
    <w:p w14:paraId="3A694F9D" w14:textId="77777777" w:rsidR="00EB62EC" w:rsidRDefault="00EB6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5CB1" w14:textId="63AD097D" w:rsidR="00654987" w:rsidRDefault="00654987" w:rsidP="001255C5">
    <w:pPr>
      <w:pBdr>
        <w:bottom w:val="single" w:sz="4" w:space="1" w:color="auto"/>
      </w:pBdr>
      <w:outlineLvl w:val="0"/>
      <w:rPr>
        <w:rFonts w:ascii="Arial" w:hAnsi="Arial" w:cs="Arial"/>
        <w:b/>
        <w:sz w:val="28"/>
        <w:szCs w:val="24"/>
      </w:rPr>
    </w:pPr>
    <w:r w:rsidRPr="009C3511">
      <w:rPr>
        <w:rFonts w:ascii="Arial" w:hAnsi="Arial" w:cs="Arial"/>
        <w:b/>
        <w:sz w:val="28"/>
        <w:szCs w:val="24"/>
      </w:rPr>
      <w:t>Stephen Nurse</w:t>
    </w:r>
    <w:r w:rsidR="00235B38">
      <w:rPr>
        <w:rFonts w:ascii="Arial" w:hAnsi="Arial" w:cs="Arial"/>
        <w:b/>
        <w:sz w:val="28"/>
        <w:szCs w:val="24"/>
      </w:rPr>
      <w:t xml:space="preserve"> </w:t>
    </w:r>
  </w:p>
  <w:p w14:paraId="6A7C7080" w14:textId="6840B0D3" w:rsidR="00C10845" w:rsidRPr="009C3511" w:rsidRDefault="00C10845" w:rsidP="00F1462F">
    <w:pPr>
      <w:pStyle w:val="Footer"/>
      <w:pBdr>
        <w:top w:val="single" w:sz="4" w:space="1" w:color="auto"/>
      </w:pBdr>
      <w:rPr>
        <w:rFonts w:ascii="Arial" w:hAnsi="Arial"/>
      </w:rPr>
    </w:pPr>
    <w:r w:rsidRPr="00F1462F">
      <w:rPr>
        <w:rFonts w:ascii="Arial" w:hAnsi="Arial"/>
      </w:rPr>
      <w:t>nurse_stephen@hotmail</w:t>
    </w:r>
    <w:r w:rsidR="00907C2B">
      <w:rPr>
        <w:rFonts w:ascii="Arial" w:hAnsi="Arial"/>
      </w:rPr>
      <w:t>.com</w:t>
    </w:r>
    <w:r w:rsidR="00F1462F">
      <w:rPr>
        <w:rFonts w:ascii="Arial" w:hAnsi="Arial"/>
      </w:rPr>
      <w:tab/>
    </w:r>
    <w:r w:rsidR="00F1462F">
      <w:rPr>
        <w:rFonts w:ascii="Arial" w:hAnsi="Arial"/>
      </w:rPr>
      <w:tab/>
    </w:r>
    <w:r>
      <w:rPr>
        <w:rFonts w:ascii="Arial" w:hAnsi="Arial"/>
      </w:rPr>
      <w:t>+44 7588 717515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64107"/>
    <w:multiLevelType w:val="hybridMultilevel"/>
    <w:tmpl w:val="FF527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CD1A76"/>
    <w:multiLevelType w:val="hybridMultilevel"/>
    <w:tmpl w:val="BCA0F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3471378">
    <w:abstractNumId w:val="0"/>
  </w:num>
  <w:num w:numId="2" w16cid:durableId="856308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D8"/>
    <w:rsid w:val="000058DF"/>
    <w:rsid w:val="000076FB"/>
    <w:rsid w:val="0001391C"/>
    <w:rsid w:val="00014C75"/>
    <w:rsid w:val="00021A4A"/>
    <w:rsid w:val="00024BF2"/>
    <w:rsid w:val="0002655F"/>
    <w:rsid w:val="00034605"/>
    <w:rsid w:val="00034E94"/>
    <w:rsid w:val="0003780A"/>
    <w:rsid w:val="00050EBC"/>
    <w:rsid w:val="00055749"/>
    <w:rsid w:val="00055A04"/>
    <w:rsid w:val="000670CA"/>
    <w:rsid w:val="000729F6"/>
    <w:rsid w:val="00074239"/>
    <w:rsid w:val="00077516"/>
    <w:rsid w:val="000905B1"/>
    <w:rsid w:val="000A0C22"/>
    <w:rsid w:val="000A7C2F"/>
    <w:rsid w:val="000B03EC"/>
    <w:rsid w:val="000B1624"/>
    <w:rsid w:val="000B25DD"/>
    <w:rsid w:val="000B7A3A"/>
    <w:rsid w:val="000C027D"/>
    <w:rsid w:val="000C13B9"/>
    <w:rsid w:val="000C2D62"/>
    <w:rsid w:val="000C6FA9"/>
    <w:rsid w:val="000D27E4"/>
    <w:rsid w:val="000D31D3"/>
    <w:rsid w:val="000E1664"/>
    <w:rsid w:val="000E19E9"/>
    <w:rsid w:val="000F2618"/>
    <w:rsid w:val="000F6E5C"/>
    <w:rsid w:val="0010288B"/>
    <w:rsid w:val="00117339"/>
    <w:rsid w:val="001214D0"/>
    <w:rsid w:val="001255C5"/>
    <w:rsid w:val="00127B1C"/>
    <w:rsid w:val="001338C1"/>
    <w:rsid w:val="00141F16"/>
    <w:rsid w:val="001505FB"/>
    <w:rsid w:val="0016062C"/>
    <w:rsid w:val="00171A64"/>
    <w:rsid w:val="00174609"/>
    <w:rsid w:val="00194DBB"/>
    <w:rsid w:val="001A2300"/>
    <w:rsid w:val="001B4DD2"/>
    <w:rsid w:val="001C2E7E"/>
    <w:rsid w:val="001C3D30"/>
    <w:rsid w:val="001C73F9"/>
    <w:rsid w:val="001C7BE3"/>
    <w:rsid w:val="001F0908"/>
    <w:rsid w:val="00201C9C"/>
    <w:rsid w:val="002039A4"/>
    <w:rsid w:val="0021511E"/>
    <w:rsid w:val="0022498D"/>
    <w:rsid w:val="00225959"/>
    <w:rsid w:val="002312AA"/>
    <w:rsid w:val="002323FA"/>
    <w:rsid w:val="00235B38"/>
    <w:rsid w:val="00240CF0"/>
    <w:rsid w:val="0024462E"/>
    <w:rsid w:val="00253829"/>
    <w:rsid w:val="00257F63"/>
    <w:rsid w:val="00266B8F"/>
    <w:rsid w:val="00273C11"/>
    <w:rsid w:val="00283466"/>
    <w:rsid w:val="0028462B"/>
    <w:rsid w:val="00293B5E"/>
    <w:rsid w:val="002A202A"/>
    <w:rsid w:val="002A4300"/>
    <w:rsid w:val="002A448A"/>
    <w:rsid w:val="002B7363"/>
    <w:rsid w:val="002D4F69"/>
    <w:rsid w:val="002D722B"/>
    <w:rsid w:val="002F62B8"/>
    <w:rsid w:val="00312058"/>
    <w:rsid w:val="00313CBC"/>
    <w:rsid w:val="00314840"/>
    <w:rsid w:val="00323F64"/>
    <w:rsid w:val="00330577"/>
    <w:rsid w:val="00342777"/>
    <w:rsid w:val="0034602A"/>
    <w:rsid w:val="00352A38"/>
    <w:rsid w:val="00355A2D"/>
    <w:rsid w:val="00355E94"/>
    <w:rsid w:val="0036122F"/>
    <w:rsid w:val="00370412"/>
    <w:rsid w:val="00372A78"/>
    <w:rsid w:val="00374D45"/>
    <w:rsid w:val="00393A5D"/>
    <w:rsid w:val="003A002D"/>
    <w:rsid w:val="003A24E8"/>
    <w:rsid w:val="003B02E5"/>
    <w:rsid w:val="003B5008"/>
    <w:rsid w:val="003B6DBD"/>
    <w:rsid w:val="003C2801"/>
    <w:rsid w:val="003D0F6A"/>
    <w:rsid w:val="003E0C96"/>
    <w:rsid w:val="003E7FDE"/>
    <w:rsid w:val="003F256F"/>
    <w:rsid w:val="003F5E10"/>
    <w:rsid w:val="0040765B"/>
    <w:rsid w:val="00425E5A"/>
    <w:rsid w:val="00427090"/>
    <w:rsid w:val="00427B96"/>
    <w:rsid w:val="00446D5A"/>
    <w:rsid w:val="00447C39"/>
    <w:rsid w:val="0045242E"/>
    <w:rsid w:val="00455F29"/>
    <w:rsid w:val="00470F65"/>
    <w:rsid w:val="00486BE2"/>
    <w:rsid w:val="00490E03"/>
    <w:rsid w:val="004A1B43"/>
    <w:rsid w:val="004A3CC9"/>
    <w:rsid w:val="004A40A5"/>
    <w:rsid w:val="004A77CF"/>
    <w:rsid w:val="004C138A"/>
    <w:rsid w:val="004D697C"/>
    <w:rsid w:val="004E1C8F"/>
    <w:rsid w:val="004E6783"/>
    <w:rsid w:val="004E6C85"/>
    <w:rsid w:val="005033D4"/>
    <w:rsid w:val="00512128"/>
    <w:rsid w:val="00532268"/>
    <w:rsid w:val="00541476"/>
    <w:rsid w:val="00541CA8"/>
    <w:rsid w:val="00551E04"/>
    <w:rsid w:val="0056144A"/>
    <w:rsid w:val="005638CE"/>
    <w:rsid w:val="005679EB"/>
    <w:rsid w:val="00573616"/>
    <w:rsid w:val="00581986"/>
    <w:rsid w:val="00584C6B"/>
    <w:rsid w:val="00591800"/>
    <w:rsid w:val="0059207D"/>
    <w:rsid w:val="00595267"/>
    <w:rsid w:val="00596F8F"/>
    <w:rsid w:val="005B2F0A"/>
    <w:rsid w:val="005B44EC"/>
    <w:rsid w:val="005C1A18"/>
    <w:rsid w:val="005C4136"/>
    <w:rsid w:val="005C57B6"/>
    <w:rsid w:val="005C604C"/>
    <w:rsid w:val="005D3076"/>
    <w:rsid w:val="005E17F3"/>
    <w:rsid w:val="005E34F5"/>
    <w:rsid w:val="005E43BB"/>
    <w:rsid w:val="005F2FA4"/>
    <w:rsid w:val="005F5E16"/>
    <w:rsid w:val="0060510B"/>
    <w:rsid w:val="00620BF7"/>
    <w:rsid w:val="00621786"/>
    <w:rsid w:val="006349A4"/>
    <w:rsid w:val="00651464"/>
    <w:rsid w:val="00651AC5"/>
    <w:rsid w:val="00654987"/>
    <w:rsid w:val="00680BE6"/>
    <w:rsid w:val="00690D39"/>
    <w:rsid w:val="006A4D82"/>
    <w:rsid w:val="006B4763"/>
    <w:rsid w:val="006B5AD0"/>
    <w:rsid w:val="006C07BB"/>
    <w:rsid w:val="006C297E"/>
    <w:rsid w:val="006C5930"/>
    <w:rsid w:val="006C5BDC"/>
    <w:rsid w:val="006D0B7C"/>
    <w:rsid w:val="006D1CDE"/>
    <w:rsid w:val="006D4886"/>
    <w:rsid w:val="006D5806"/>
    <w:rsid w:val="006D6A32"/>
    <w:rsid w:val="006D71E9"/>
    <w:rsid w:val="006E3C7A"/>
    <w:rsid w:val="006F35EB"/>
    <w:rsid w:val="007056F5"/>
    <w:rsid w:val="00710200"/>
    <w:rsid w:val="00720FEA"/>
    <w:rsid w:val="00721CAE"/>
    <w:rsid w:val="007225D6"/>
    <w:rsid w:val="00724D6F"/>
    <w:rsid w:val="007729DF"/>
    <w:rsid w:val="007808D4"/>
    <w:rsid w:val="007813A6"/>
    <w:rsid w:val="00785E84"/>
    <w:rsid w:val="007C055D"/>
    <w:rsid w:val="007C5BF6"/>
    <w:rsid w:val="007C7CD6"/>
    <w:rsid w:val="007D79FE"/>
    <w:rsid w:val="007E5F49"/>
    <w:rsid w:val="007F1174"/>
    <w:rsid w:val="008019C3"/>
    <w:rsid w:val="008072D9"/>
    <w:rsid w:val="008073C0"/>
    <w:rsid w:val="00813E04"/>
    <w:rsid w:val="00815E2B"/>
    <w:rsid w:val="0082029C"/>
    <w:rsid w:val="008205A6"/>
    <w:rsid w:val="008211E7"/>
    <w:rsid w:val="00821376"/>
    <w:rsid w:val="00843752"/>
    <w:rsid w:val="00846CEF"/>
    <w:rsid w:val="008560DC"/>
    <w:rsid w:val="00866D88"/>
    <w:rsid w:val="00866DD8"/>
    <w:rsid w:val="00882736"/>
    <w:rsid w:val="00882D72"/>
    <w:rsid w:val="00884684"/>
    <w:rsid w:val="00891025"/>
    <w:rsid w:val="008A325A"/>
    <w:rsid w:val="008A4563"/>
    <w:rsid w:val="008A5684"/>
    <w:rsid w:val="008A763E"/>
    <w:rsid w:val="008C148A"/>
    <w:rsid w:val="008D2FD5"/>
    <w:rsid w:val="008D7C82"/>
    <w:rsid w:val="008E10EE"/>
    <w:rsid w:val="008E4FA2"/>
    <w:rsid w:val="008E7357"/>
    <w:rsid w:val="008F1095"/>
    <w:rsid w:val="008F3F65"/>
    <w:rsid w:val="008F5490"/>
    <w:rsid w:val="008F7036"/>
    <w:rsid w:val="00907C2B"/>
    <w:rsid w:val="00917F7F"/>
    <w:rsid w:val="009252F9"/>
    <w:rsid w:val="00926A4F"/>
    <w:rsid w:val="009307FD"/>
    <w:rsid w:val="0093759B"/>
    <w:rsid w:val="00971402"/>
    <w:rsid w:val="00976102"/>
    <w:rsid w:val="009810AD"/>
    <w:rsid w:val="00982118"/>
    <w:rsid w:val="00982D15"/>
    <w:rsid w:val="00993574"/>
    <w:rsid w:val="009955B2"/>
    <w:rsid w:val="009963EC"/>
    <w:rsid w:val="009A7B1B"/>
    <w:rsid w:val="009B47E0"/>
    <w:rsid w:val="009B5D5F"/>
    <w:rsid w:val="009D31EF"/>
    <w:rsid w:val="009D6E9C"/>
    <w:rsid w:val="009E72EA"/>
    <w:rsid w:val="009E7E62"/>
    <w:rsid w:val="009F0F1E"/>
    <w:rsid w:val="00A01A1D"/>
    <w:rsid w:val="00A07D90"/>
    <w:rsid w:val="00A1731B"/>
    <w:rsid w:val="00A23DCD"/>
    <w:rsid w:val="00A24A92"/>
    <w:rsid w:val="00A26FAD"/>
    <w:rsid w:val="00A337EF"/>
    <w:rsid w:val="00A3772D"/>
    <w:rsid w:val="00A4472E"/>
    <w:rsid w:val="00A5469F"/>
    <w:rsid w:val="00A619AC"/>
    <w:rsid w:val="00A6342F"/>
    <w:rsid w:val="00A73215"/>
    <w:rsid w:val="00A810EE"/>
    <w:rsid w:val="00A856DD"/>
    <w:rsid w:val="00A91D5C"/>
    <w:rsid w:val="00AA7BD3"/>
    <w:rsid w:val="00AA7FAC"/>
    <w:rsid w:val="00AB32EA"/>
    <w:rsid w:val="00AB4E9D"/>
    <w:rsid w:val="00AC7E82"/>
    <w:rsid w:val="00AE0209"/>
    <w:rsid w:val="00AE0861"/>
    <w:rsid w:val="00AF24BF"/>
    <w:rsid w:val="00AF2B7F"/>
    <w:rsid w:val="00B0399A"/>
    <w:rsid w:val="00B12131"/>
    <w:rsid w:val="00B14D75"/>
    <w:rsid w:val="00B558C1"/>
    <w:rsid w:val="00B60613"/>
    <w:rsid w:val="00B618EB"/>
    <w:rsid w:val="00B630F6"/>
    <w:rsid w:val="00B6329A"/>
    <w:rsid w:val="00B6429C"/>
    <w:rsid w:val="00B65548"/>
    <w:rsid w:val="00B8173A"/>
    <w:rsid w:val="00B835C1"/>
    <w:rsid w:val="00B849E5"/>
    <w:rsid w:val="00B8572A"/>
    <w:rsid w:val="00B92DAA"/>
    <w:rsid w:val="00B969BA"/>
    <w:rsid w:val="00BA3D9E"/>
    <w:rsid w:val="00BC33D3"/>
    <w:rsid w:val="00BC6532"/>
    <w:rsid w:val="00BD688C"/>
    <w:rsid w:val="00BE0AED"/>
    <w:rsid w:val="00BE5B12"/>
    <w:rsid w:val="00BE6B7E"/>
    <w:rsid w:val="00BE70EC"/>
    <w:rsid w:val="00BF0496"/>
    <w:rsid w:val="00BF3813"/>
    <w:rsid w:val="00BF406E"/>
    <w:rsid w:val="00BF706C"/>
    <w:rsid w:val="00C00619"/>
    <w:rsid w:val="00C02C4D"/>
    <w:rsid w:val="00C10845"/>
    <w:rsid w:val="00C24661"/>
    <w:rsid w:val="00C2547C"/>
    <w:rsid w:val="00C32E9E"/>
    <w:rsid w:val="00C357D0"/>
    <w:rsid w:val="00C4523E"/>
    <w:rsid w:val="00C64941"/>
    <w:rsid w:val="00C81439"/>
    <w:rsid w:val="00C826EC"/>
    <w:rsid w:val="00C82768"/>
    <w:rsid w:val="00C87884"/>
    <w:rsid w:val="00C9045E"/>
    <w:rsid w:val="00C905B0"/>
    <w:rsid w:val="00C96201"/>
    <w:rsid w:val="00CA4C4F"/>
    <w:rsid w:val="00CA6890"/>
    <w:rsid w:val="00CA6F51"/>
    <w:rsid w:val="00CC4C37"/>
    <w:rsid w:val="00CD2E71"/>
    <w:rsid w:val="00CD5F04"/>
    <w:rsid w:val="00CF2C62"/>
    <w:rsid w:val="00CF7E13"/>
    <w:rsid w:val="00D00AF6"/>
    <w:rsid w:val="00D02048"/>
    <w:rsid w:val="00D271B9"/>
    <w:rsid w:val="00D34D66"/>
    <w:rsid w:val="00D40997"/>
    <w:rsid w:val="00D413DA"/>
    <w:rsid w:val="00D46CE3"/>
    <w:rsid w:val="00D51543"/>
    <w:rsid w:val="00D51633"/>
    <w:rsid w:val="00D51EE4"/>
    <w:rsid w:val="00D74C83"/>
    <w:rsid w:val="00D829F4"/>
    <w:rsid w:val="00D91988"/>
    <w:rsid w:val="00D92E0F"/>
    <w:rsid w:val="00DA47ED"/>
    <w:rsid w:val="00DA4FE4"/>
    <w:rsid w:val="00DC20CF"/>
    <w:rsid w:val="00DC5C41"/>
    <w:rsid w:val="00DC6477"/>
    <w:rsid w:val="00DE0C09"/>
    <w:rsid w:val="00DF0E17"/>
    <w:rsid w:val="00DF53D0"/>
    <w:rsid w:val="00E02B0F"/>
    <w:rsid w:val="00E06FEF"/>
    <w:rsid w:val="00E1263F"/>
    <w:rsid w:val="00E33D7E"/>
    <w:rsid w:val="00E370A0"/>
    <w:rsid w:val="00E449E6"/>
    <w:rsid w:val="00E521B7"/>
    <w:rsid w:val="00E654C6"/>
    <w:rsid w:val="00E72317"/>
    <w:rsid w:val="00E75DB7"/>
    <w:rsid w:val="00E9725D"/>
    <w:rsid w:val="00EA479E"/>
    <w:rsid w:val="00EA50E6"/>
    <w:rsid w:val="00EA7E47"/>
    <w:rsid w:val="00EB344D"/>
    <w:rsid w:val="00EB5E2D"/>
    <w:rsid w:val="00EB62EC"/>
    <w:rsid w:val="00EB6410"/>
    <w:rsid w:val="00EC32D9"/>
    <w:rsid w:val="00EC60B9"/>
    <w:rsid w:val="00ED18F5"/>
    <w:rsid w:val="00ED36BA"/>
    <w:rsid w:val="00ED386A"/>
    <w:rsid w:val="00ED3F87"/>
    <w:rsid w:val="00EE7C23"/>
    <w:rsid w:val="00EF2898"/>
    <w:rsid w:val="00EF4C7D"/>
    <w:rsid w:val="00F010E8"/>
    <w:rsid w:val="00F1111A"/>
    <w:rsid w:val="00F1462F"/>
    <w:rsid w:val="00F26EF8"/>
    <w:rsid w:val="00F33DA8"/>
    <w:rsid w:val="00F36CBC"/>
    <w:rsid w:val="00F43EE2"/>
    <w:rsid w:val="00F4707F"/>
    <w:rsid w:val="00F534CD"/>
    <w:rsid w:val="00F53E86"/>
    <w:rsid w:val="00F7201F"/>
    <w:rsid w:val="00F903E7"/>
    <w:rsid w:val="00F94432"/>
    <w:rsid w:val="00F94C3B"/>
    <w:rsid w:val="00FA7308"/>
    <w:rsid w:val="00FB6125"/>
    <w:rsid w:val="00FC4555"/>
    <w:rsid w:val="00FC7930"/>
    <w:rsid w:val="00FD3353"/>
    <w:rsid w:val="00FD3D03"/>
    <w:rsid w:val="00FE4881"/>
    <w:rsid w:val="00FF3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75C72"/>
  <w15:docId w15:val="{F21389BE-5DB7-455A-89CD-9CCFB068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7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6DD8"/>
    <w:pPr>
      <w:tabs>
        <w:tab w:val="center" w:pos="4153"/>
        <w:tab w:val="right" w:pos="8306"/>
      </w:tabs>
    </w:pPr>
    <w:rPr>
      <w:rFonts w:ascii="Times" w:hAnsi="Times"/>
    </w:rPr>
  </w:style>
  <w:style w:type="character" w:customStyle="1" w:styleId="HeaderChar">
    <w:name w:val="Header Char"/>
    <w:basedOn w:val="DefaultParagraphFont"/>
    <w:link w:val="Header"/>
    <w:rsid w:val="00866DD8"/>
    <w:rPr>
      <w:rFonts w:ascii="Times" w:eastAsia="Times New Roman" w:hAnsi="Times" w:cs="Times New Roman"/>
      <w:sz w:val="20"/>
      <w:szCs w:val="20"/>
    </w:rPr>
  </w:style>
  <w:style w:type="paragraph" w:styleId="Footer">
    <w:name w:val="footer"/>
    <w:basedOn w:val="Normal"/>
    <w:link w:val="FooterChar"/>
    <w:uiPriority w:val="99"/>
    <w:rsid w:val="00866DD8"/>
    <w:pPr>
      <w:tabs>
        <w:tab w:val="center" w:pos="4153"/>
        <w:tab w:val="right" w:pos="8306"/>
      </w:tabs>
    </w:pPr>
  </w:style>
  <w:style w:type="character" w:customStyle="1" w:styleId="FooterChar">
    <w:name w:val="Footer Char"/>
    <w:basedOn w:val="DefaultParagraphFont"/>
    <w:link w:val="Footer"/>
    <w:uiPriority w:val="99"/>
    <w:rsid w:val="00866DD8"/>
    <w:rPr>
      <w:rFonts w:ascii="Times New Roman" w:eastAsia="Times New Roman" w:hAnsi="Times New Roman" w:cs="Times New Roman"/>
      <w:sz w:val="20"/>
      <w:szCs w:val="20"/>
    </w:rPr>
  </w:style>
  <w:style w:type="paragraph" w:styleId="ListParagraph">
    <w:name w:val="List Paragraph"/>
    <w:basedOn w:val="Normal"/>
    <w:uiPriority w:val="34"/>
    <w:qFormat/>
    <w:rsid w:val="00866DD8"/>
    <w:pPr>
      <w:ind w:left="720"/>
      <w:contextualSpacing/>
    </w:pPr>
  </w:style>
  <w:style w:type="paragraph" w:styleId="BalloonText">
    <w:name w:val="Balloon Text"/>
    <w:basedOn w:val="Normal"/>
    <w:link w:val="BalloonTextChar"/>
    <w:uiPriority w:val="99"/>
    <w:semiHidden/>
    <w:unhideWhenUsed/>
    <w:rsid w:val="00EC60B9"/>
    <w:rPr>
      <w:rFonts w:ascii="Tahoma" w:hAnsi="Tahoma" w:cs="Tahoma"/>
      <w:sz w:val="16"/>
      <w:szCs w:val="16"/>
    </w:rPr>
  </w:style>
  <w:style w:type="character" w:customStyle="1" w:styleId="BalloonTextChar">
    <w:name w:val="Balloon Text Char"/>
    <w:basedOn w:val="DefaultParagraphFont"/>
    <w:link w:val="BalloonText"/>
    <w:uiPriority w:val="99"/>
    <w:semiHidden/>
    <w:rsid w:val="00EC60B9"/>
    <w:rPr>
      <w:rFonts w:ascii="Tahoma" w:eastAsia="Times New Roman" w:hAnsi="Tahoma" w:cs="Tahoma"/>
      <w:sz w:val="16"/>
      <w:szCs w:val="16"/>
    </w:rPr>
  </w:style>
  <w:style w:type="table" w:styleId="TableGrid">
    <w:name w:val="Table Grid"/>
    <w:basedOn w:val="TableNormal"/>
    <w:uiPriority w:val="59"/>
    <w:rsid w:val="00E3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0613"/>
    <w:rPr>
      <w:color w:val="0000FF" w:themeColor="hyperlink"/>
      <w:u w:val="single"/>
    </w:rPr>
  </w:style>
  <w:style w:type="character" w:styleId="UnresolvedMention">
    <w:name w:val="Unresolved Mention"/>
    <w:basedOn w:val="DefaultParagraphFont"/>
    <w:uiPriority w:val="99"/>
    <w:semiHidden/>
    <w:unhideWhenUsed/>
    <w:rsid w:val="00B60613"/>
    <w:rPr>
      <w:color w:val="605E5C"/>
      <w:shd w:val="clear" w:color="auto" w:fill="E1DFDD"/>
    </w:rPr>
  </w:style>
  <w:style w:type="paragraph" w:styleId="FootnoteText">
    <w:name w:val="footnote text"/>
    <w:basedOn w:val="Normal"/>
    <w:link w:val="FootnoteTextChar"/>
    <w:uiPriority w:val="99"/>
    <w:semiHidden/>
    <w:unhideWhenUsed/>
    <w:rsid w:val="00314840"/>
  </w:style>
  <w:style w:type="character" w:customStyle="1" w:styleId="FootnoteTextChar">
    <w:name w:val="Footnote Text Char"/>
    <w:basedOn w:val="DefaultParagraphFont"/>
    <w:link w:val="FootnoteText"/>
    <w:uiPriority w:val="99"/>
    <w:semiHidden/>
    <w:rsid w:val="0031484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14840"/>
    <w:rPr>
      <w:vertAlign w:val="superscript"/>
    </w:rPr>
  </w:style>
  <w:style w:type="character" w:styleId="FollowedHyperlink">
    <w:name w:val="FollowedHyperlink"/>
    <w:basedOn w:val="DefaultParagraphFont"/>
    <w:uiPriority w:val="99"/>
    <w:semiHidden/>
    <w:unhideWhenUsed/>
    <w:rsid w:val="00532268"/>
    <w:rPr>
      <w:color w:val="800080" w:themeColor="followedHyperlink"/>
      <w:u w:val="single"/>
    </w:rPr>
  </w:style>
  <w:style w:type="paragraph" w:styleId="NormalWeb">
    <w:name w:val="Normal (Web)"/>
    <w:basedOn w:val="Normal"/>
    <w:uiPriority w:val="99"/>
    <w:semiHidden/>
    <w:unhideWhenUsed/>
    <w:rsid w:val="008073C0"/>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205872">
      <w:bodyDiv w:val="1"/>
      <w:marLeft w:val="0"/>
      <w:marRight w:val="0"/>
      <w:marTop w:val="0"/>
      <w:marBottom w:val="0"/>
      <w:divBdr>
        <w:top w:val="none" w:sz="0" w:space="0" w:color="auto"/>
        <w:left w:val="none" w:sz="0" w:space="0" w:color="auto"/>
        <w:bottom w:val="none" w:sz="0" w:space="0" w:color="auto"/>
        <w:right w:val="none" w:sz="0" w:space="0" w:color="auto"/>
      </w:divBdr>
      <w:divsChild>
        <w:div w:id="1400791170">
          <w:marLeft w:val="0"/>
          <w:marRight w:val="0"/>
          <w:marTop w:val="0"/>
          <w:marBottom w:val="0"/>
          <w:divBdr>
            <w:top w:val="none" w:sz="0" w:space="0" w:color="auto"/>
            <w:left w:val="none" w:sz="0" w:space="0" w:color="auto"/>
            <w:bottom w:val="none" w:sz="0" w:space="0" w:color="auto"/>
            <w:right w:val="none" w:sz="0" w:space="0" w:color="auto"/>
          </w:divBdr>
          <w:divsChild>
            <w:div w:id="1746344453">
              <w:marLeft w:val="0"/>
              <w:marRight w:val="0"/>
              <w:marTop w:val="0"/>
              <w:marBottom w:val="0"/>
              <w:divBdr>
                <w:top w:val="none" w:sz="0" w:space="0" w:color="auto"/>
                <w:left w:val="none" w:sz="0" w:space="0" w:color="auto"/>
                <w:bottom w:val="none" w:sz="0" w:space="0" w:color="auto"/>
                <w:right w:val="none" w:sz="0" w:space="0" w:color="auto"/>
              </w:divBdr>
              <w:divsChild>
                <w:div w:id="19609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k.net/awards/6143076/otc-client-clearer-of-the-year-jp-morgan" TargetMode="External"/><Relationship Id="rId13" Type="http://schemas.openxmlformats.org/officeDocument/2006/relationships/hyperlink" Target="https://www.reuters.com/article/blueriver-municipals/update-2-jpmorgan-raises-cash-for-blue-river-muni-fund-idUSN0337583520080303"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omberg.com/opinion/articles/2014-01-15/it-cost-jpmorgan-1-5-billion-to-value-its-derivatives-right-draf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om/content/f6712622-f5b4-11e9-9ef3-eca8fc8f2d65" TargetMode="External"/><Relationship Id="rId5" Type="http://schemas.openxmlformats.org/officeDocument/2006/relationships/webSettings" Target="webSettings.xml"/><Relationship Id="rId15" Type="http://schemas.openxmlformats.org/officeDocument/2006/relationships/hyperlink" Target="https://www.linkedin.com/in/stephen-j-nurse/" TargetMode="External"/><Relationship Id="rId10" Type="http://schemas.openxmlformats.org/officeDocument/2006/relationships/hyperlink" Target="https://www.jpmorgan.com/solutions/cib/markets/a-path-forward-for-ccp-resilience-recovery-and-resolu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isk.net/awards/7736116/derivatives-client-clearer-of-the-year-jp-morgan" TargetMode="External"/><Relationship Id="rId14" Type="http://schemas.openxmlformats.org/officeDocument/2006/relationships/hyperlink" Target="https://www.wsj.com/articles/SB88593946623968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5925D-2137-49C0-9E40-09970B61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Nurse</dc:creator>
  <cp:lastModifiedBy>Stephen Nurse</cp:lastModifiedBy>
  <cp:revision>41</cp:revision>
  <dcterms:created xsi:type="dcterms:W3CDTF">2023-07-23T10:33:00Z</dcterms:created>
  <dcterms:modified xsi:type="dcterms:W3CDTF">2023-07-24T06:13:00Z</dcterms:modified>
</cp:coreProperties>
</file>