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E9EA06">
      <w:pPr>
        <w:spacing w:before="0" w:after="1200"/>
      </w:pPr>
    </w:p>
    <w:p w14:paraId="55AD2E45">
      <w:pPr>
        <w:shd w:val="clear" w:color="auto" w:fill="D6E4F7"/>
        <w:spacing w:before="0" w:after="0"/>
      </w:pPr>
    </w:p>
    <w:p w14:paraId="6AF734A4">
      <w:pPr>
        <w:shd w:val="clear" w:color="auto" w:fill="D6E4F7"/>
        <w:spacing w:before="280" w:after="80"/>
        <w:jc w:val="center"/>
      </w:pPr>
      <w:r>
        <w:rPr>
          <w:rFonts w:ascii="Calibri" w:hAnsi="Calibri" w:eastAsia="Calibri" w:cs="Calibri"/>
          <w:b/>
          <w:bCs/>
          <w:color w:val="1F3864"/>
          <w:sz w:val="44"/>
          <w:szCs w:val="44"/>
        </w:rPr>
        <w:t>GMAT Astrodynamics Portfolio</w:t>
      </w:r>
    </w:p>
    <w:p w14:paraId="53A57B38">
      <w:pPr>
        <w:shd w:val="clear" w:color="auto" w:fill="D6E4F7"/>
        <w:spacing w:before="0" w:after="80"/>
        <w:jc w:val="center"/>
      </w:pPr>
      <w:r>
        <w:rPr>
          <w:rFonts w:ascii="Calibri" w:hAnsi="Calibri" w:eastAsia="Calibri" w:cs="Calibri"/>
          <w:b/>
          <w:bCs/>
          <w:color w:val="4472C4"/>
          <w:sz w:val="56"/>
          <w:szCs w:val="56"/>
        </w:rPr>
        <w:t>Scenario 04b</w:t>
      </w:r>
    </w:p>
    <w:p w14:paraId="6B4211A3">
      <w:pPr>
        <w:shd w:val="clear" w:color="auto" w:fill="D6E4F7"/>
        <w:spacing w:before="0" w:after="80"/>
        <w:jc w:val="center"/>
      </w:pPr>
      <w:r>
        <w:rPr>
          <w:rFonts w:ascii="Calibri" w:hAnsi="Calibri" w:eastAsia="Calibri" w:cs="Calibri"/>
          <w:color w:val="1F3864"/>
          <w:sz w:val="36"/>
          <w:szCs w:val="36"/>
        </w:rPr>
        <w:t>Co-planar ISL Range Analysis</w:t>
      </w:r>
    </w:p>
    <w:p w14:paraId="6D016CD9">
      <w:pPr>
        <w:shd w:val="clear" w:color="auto" w:fill="D6E4F7"/>
        <w:spacing w:before="0" w:after="280"/>
        <w:jc w:val="center"/>
      </w:pPr>
      <w:r>
        <w:rPr>
          <w:rFonts w:ascii="Calibri" w:hAnsi="Calibri" w:eastAsia="Calibri" w:cs="Calibri"/>
          <w:color w:val="444444"/>
          <w:sz w:val="26"/>
          <w:szCs w:val="26"/>
        </w:rPr>
        <w:t>6 Satellites  |  60° Uniform Spacing  |  24-Hour Propagation</w:t>
      </w:r>
    </w:p>
    <w:p w14:paraId="17FCDE76">
      <w:pPr>
        <w:shd w:val="clear" w:color="auto" w:fill="D6E4F7"/>
        <w:spacing w:before="0" w:after="0"/>
      </w:pPr>
    </w:p>
    <w:p w14:paraId="5A487B2A">
      <w:pPr>
        <w:spacing w:before="0" w:after="600"/>
      </w:pPr>
    </w:p>
    <w:p w14:paraId="166A1D0A">
      <w:pPr>
        <w:spacing w:before="80" w:after="80"/>
        <w:jc w:val="center"/>
      </w:pPr>
      <w:r>
        <w:rPr>
          <w:rFonts w:ascii="Calibri" w:hAnsi="Calibri" w:eastAsia="Calibri" w:cs="Calibri"/>
          <w:color w:val="555555"/>
          <w:sz w:val="22"/>
          <w:szCs w:val="22"/>
        </w:rPr>
        <w:t>Author: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  Stephen O. Ogodo</w:t>
      </w:r>
    </w:p>
    <w:p w14:paraId="597349B3">
      <w:pPr>
        <w:spacing w:before="80" w:after="80"/>
        <w:jc w:val="center"/>
      </w:pPr>
      <w:r>
        <w:rPr>
          <w:rFonts w:ascii="Calibri" w:hAnsi="Calibri" w:eastAsia="Calibri" w:cs="Calibri"/>
          <w:color w:val="555555"/>
          <w:sz w:val="22"/>
          <w:szCs w:val="22"/>
        </w:rPr>
        <w:t>Date: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  26 October 2026</w:t>
      </w:r>
    </w:p>
    <w:p w14:paraId="6EBF96DF">
      <w:pPr>
        <w:spacing w:before="80" w:after="80"/>
        <w:jc w:val="center"/>
      </w:pPr>
      <w:r>
        <w:rPr>
          <w:rFonts w:ascii="Calibri" w:hAnsi="Calibri" w:eastAsia="Calibri" w:cs="Calibri"/>
          <w:color w:val="555555"/>
          <w:sz w:val="22"/>
          <w:szCs w:val="22"/>
        </w:rPr>
        <w:t>Tool: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  GMAT R2022a</w:t>
      </w:r>
    </w:p>
    <w:p w14:paraId="1D16121C">
      <w:pPr>
        <w:spacing w:before="80" w:after="80"/>
        <w:jc w:val="center"/>
      </w:pPr>
      <w:r>
        <w:rPr>
          <w:rFonts w:ascii="Calibri" w:hAnsi="Calibri" w:eastAsia="Calibri" w:cs="Calibri"/>
          <w:color w:val="555555"/>
          <w:sz w:val="22"/>
          <w:szCs w:val="22"/>
        </w:rPr>
        <w:t>Gravity Model: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  JGM-2  |  Integrator: RK8(9)</w:t>
      </w:r>
    </w:p>
    <w:p w14:paraId="0A06C983">
      <w:r>
        <w:br w:type="page"/>
      </w:r>
    </w:p>
    <w:p w14:paraId="6A153497">
      <w:pPr>
        <w:pStyle w:val="2"/>
        <w:pBdr>
          <w:bottom w:val="single" w:color="4472C4" w:sz="6" w:space="0"/>
        </w:pBdr>
        <w:spacing w:before="240" w:after="80"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>1. Executive Summary</w:t>
      </w:r>
    </w:p>
    <w:p w14:paraId="2619EE93">
      <w:pPr>
        <w:spacing w:before="80" w:after="120"/>
      </w:pPr>
      <w:r>
        <w:rPr>
          <w:rFonts w:ascii="Calibri" w:hAnsi="Calibri" w:eastAsia="Calibri" w:cs="Calibri"/>
          <w:color w:val="000000"/>
          <w:sz w:val="22"/>
          <w:szCs w:val="22"/>
        </w:rPr>
        <w:t>This report presents the Inter-Satellite Link (ISL) range analysis for Scenario 04b of the GMAT Astrodynamics Portfolio. Six spacecraft (S1–S6) are placed in a co-planar circular orbit at 500 km altitude and 51.6° inclination, with uniform 60° true anomaly (TA) spacing. ISL ranges between all adjacent pairs (R12, R23, R34, R45, R56, R61) are computed at one-minute intervals over a 24-hour propagation window using GMAT's EarthMJ2000Eq Cartesian frame.</w:t>
      </w:r>
    </w:p>
    <w:p w14:paraId="764C5066">
      <w:pPr>
        <w:spacing w:before="80" w:after="120"/>
      </w:pPr>
      <w:r>
        <w:rPr>
          <w:rFonts w:ascii="Calibri" w:hAnsi="Calibri" w:eastAsia="Calibri" w:cs="Calibri"/>
          <w:color w:val="000000"/>
          <w:sz w:val="22"/>
          <w:szCs w:val="22"/>
        </w:rPr>
        <w:t>A violation threshold of 7,500 km is applied. Over the 1,440-minute simulation, 483 minutes (33.5%) experienced at least one link-range violation. Only two pairs violated the threshold: R34 (952 violation minutes) and R61 (8 violation minutes). R61 was the first to breach at 15:58 UTC; R34 followed at 16:06 UTC and continued for the remainder of the simulation. Four pairs (R12, R23, R45, R56) remained within threshold for the entire 24-hour window.</w:t>
      </w:r>
    </w:p>
    <w:p w14:paraId="654D2E71">
      <w:pPr>
        <w:spacing w:before="80" w:after="120"/>
      </w:pPr>
      <w:r>
        <w:rPr>
          <w:rFonts w:ascii="Calibri" w:hAnsi="Calibri" w:eastAsia="Calibri" w:cs="Calibri"/>
          <w:color w:val="000000"/>
          <w:sz w:val="22"/>
          <w:szCs w:val="22"/>
        </w:rPr>
        <w:t>The range evolution is driven by differential J2 perturbations — Earth's oblateness induces pair-specific nodal precession and argument-of-perigee drift, causing opposite pairs R34/R61 to diverge while R12/R45 converge and R23/R56 remain nearly stable throughout.</w:t>
      </w:r>
    </w:p>
    <w:p w14:paraId="2C98BCCA">
      <w:pPr>
        <w:spacing w:before="0" w:after="120"/>
      </w:pPr>
    </w:p>
    <w:p w14:paraId="7F0F06F1">
      <w:pPr>
        <w:pStyle w:val="2"/>
        <w:pBdr>
          <w:bottom w:val="single" w:color="4472C4" w:sz="6" w:space="0"/>
        </w:pBdr>
        <w:spacing w:before="240" w:after="80"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>2. Simulation Configuration</w:t>
      </w:r>
    </w:p>
    <w:p w14:paraId="03C378D9">
      <w:pPr>
        <w:pStyle w:val="3"/>
        <w:spacing w:before="240" w:after="80"/>
      </w:pPr>
      <w:r>
        <w:rPr>
          <w:rFonts w:ascii="Calibri" w:hAnsi="Calibri" w:eastAsia="Calibri" w:cs="Calibri"/>
          <w:b/>
          <w:bCs/>
          <w:color w:val="1F3864"/>
          <w:sz w:val="24"/>
          <w:szCs w:val="24"/>
        </w:rPr>
        <w:t>2.1 Orbital and Simulation Parameters</w:t>
      </w:r>
    </w:p>
    <w:p w14:paraId="7808EBC0">
      <w:pPr>
        <w:spacing w:before="0" w:after="60"/>
      </w:pPr>
    </w:p>
    <w:tbl>
      <w:tblPr>
        <w:tblStyle w:val="9"/>
        <w:tblW w:w="5000" w:type="pct"/>
        <w:tblInd w:w="0" w:type="dxa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23"/>
        <w:gridCol w:w="4524"/>
      </w:tblGrid>
      <w:tr w14:paraId="28753C53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500" w:type="pct"/>
            <w:shd w:val="clear" w:color="auto" w:fill="4472C4"/>
          </w:tcPr>
          <w:p w14:paraId="00F414D8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2500" w:type="pct"/>
            <w:shd w:val="clear" w:color="auto" w:fill="4472C4"/>
          </w:tcPr>
          <w:p w14:paraId="2778E36B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14:paraId="55CA8EDB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shd w:val="clear" w:color="auto" w:fill="auto"/>
          </w:tcPr>
          <w:p w14:paraId="6B50919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Semi-major axis (SMA)</w:t>
            </w:r>
          </w:p>
        </w:tc>
        <w:tc>
          <w:tcPr>
            <w:tcW w:w="2500" w:type="pct"/>
            <w:shd w:val="clear" w:color="auto" w:fill="auto"/>
          </w:tcPr>
          <w:p w14:paraId="57A6D293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6,778.14 km  (500 km alt + 6,378.14 km Rearth)</w:t>
            </w:r>
          </w:p>
        </w:tc>
      </w:tr>
      <w:tr w14:paraId="4054C3BB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shd w:val="clear" w:color="auto" w:fill="F2F2F2"/>
          </w:tcPr>
          <w:p w14:paraId="02A046DA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Eccentricity (ECC)</w:t>
            </w:r>
          </w:p>
        </w:tc>
        <w:tc>
          <w:tcPr>
            <w:tcW w:w="2500" w:type="pct"/>
            <w:shd w:val="clear" w:color="auto" w:fill="F2F2F2"/>
          </w:tcPr>
          <w:p w14:paraId="2AB15E32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 (circular)</w:t>
            </w:r>
          </w:p>
        </w:tc>
      </w:tr>
      <w:tr w14:paraId="02846D98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shd w:val="clear" w:color="auto" w:fill="auto"/>
          </w:tcPr>
          <w:p w14:paraId="55217302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Inclination (INC)</w:t>
            </w:r>
          </w:p>
        </w:tc>
        <w:tc>
          <w:tcPr>
            <w:tcW w:w="2500" w:type="pct"/>
            <w:shd w:val="clear" w:color="auto" w:fill="auto"/>
          </w:tcPr>
          <w:p w14:paraId="5C8F9824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51.6°</w:t>
            </w:r>
          </w:p>
        </w:tc>
      </w:tr>
      <w:tr w14:paraId="250CA7DC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shd w:val="clear" w:color="auto" w:fill="F2F2F2"/>
          </w:tcPr>
          <w:p w14:paraId="3C151073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RAAN</w:t>
            </w:r>
          </w:p>
        </w:tc>
        <w:tc>
          <w:tcPr>
            <w:tcW w:w="2500" w:type="pct"/>
            <w:shd w:val="clear" w:color="auto" w:fill="F2F2F2"/>
          </w:tcPr>
          <w:p w14:paraId="6DE51BAA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0°</w:t>
            </w:r>
          </w:p>
        </w:tc>
      </w:tr>
      <w:tr w14:paraId="0BE9EB9A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shd w:val="clear" w:color="auto" w:fill="auto"/>
          </w:tcPr>
          <w:p w14:paraId="35F1737F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Argument of Perigee (AOP)</w:t>
            </w:r>
          </w:p>
        </w:tc>
        <w:tc>
          <w:tcPr>
            <w:tcW w:w="2500" w:type="pct"/>
            <w:shd w:val="clear" w:color="auto" w:fill="auto"/>
          </w:tcPr>
          <w:p w14:paraId="3B3F7E2A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0°</w:t>
            </w:r>
          </w:p>
        </w:tc>
      </w:tr>
      <w:tr w14:paraId="61EC2F15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shd w:val="clear" w:color="auto" w:fill="F2F2F2"/>
          </w:tcPr>
          <w:p w14:paraId="62F93D05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Epoch</w:t>
            </w:r>
          </w:p>
        </w:tc>
        <w:tc>
          <w:tcPr>
            <w:tcW w:w="2500" w:type="pct"/>
            <w:shd w:val="clear" w:color="auto" w:fill="F2F2F2"/>
          </w:tcPr>
          <w:p w14:paraId="1A197325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01 Jan 2024 00:00:00.000 UTC</w:t>
            </w:r>
          </w:p>
        </w:tc>
      </w:tr>
      <w:tr w14:paraId="47F14117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shd w:val="clear" w:color="auto" w:fill="auto"/>
          </w:tcPr>
          <w:p w14:paraId="56AD999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Propagation duration</w:t>
            </w:r>
          </w:p>
        </w:tc>
        <w:tc>
          <w:tcPr>
            <w:tcW w:w="2500" w:type="pct"/>
            <w:shd w:val="clear" w:color="auto" w:fill="auto"/>
          </w:tcPr>
          <w:p w14:paraId="4D3E6F6F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24 hours (1,440 minutes)</w:t>
            </w:r>
          </w:p>
        </w:tc>
      </w:tr>
      <w:tr w14:paraId="41201C77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shd w:val="clear" w:color="auto" w:fill="F2F2F2"/>
          </w:tcPr>
          <w:p w14:paraId="6EF0ED2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Time step</w:t>
            </w:r>
          </w:p>
        </w:tc>
        <w:tc>
          <w:tcPr>
            <w:tcW w:w="2500" w:type="pct"/>
            <w:shd w:val="clear" w:color="auto" w:fill="F2F2F2"/>
          </w:tcPr>
          <w:p w14:paraId="44735044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60 seconds (1 minute)</w:t>
            </w:r>
          </w:p>
        </w:tc>
      </w:tr>
      <w:tr w14:paraId="632DBF10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shd w:val="clear" w:color="auto" w:fill="auto"/>
          </w:tcPr>
          <w:p w14:paraId="49532110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Gravity model</w:t>
            </w:r>
          </w:p>
        </w:tc>
        <w:tc>
          <w:tcPr>
            <w:tcW w:w="2500" w:type="pct"/>
            <w:shd w:val="clear" w:color="auto" w:fill="auto"/>
          </w:tcPr>
          <w:p w14:paraId="1F7F6591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JGM-2 (8×8), J2 enabled</w:t>
            </w:r>
          </w:p>
        </w:tc>
      </w:tr>
      <w:tr w14:paraId="71AF7828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shd w:val="clear" w:color="auto" w:fill="F2F2F2"/>
          </w:tcPr>
          <w:p w14:paraId="7820BA54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Integrator</w:t>
            </w:r>
          </w:p>
        </w:tc>
        <w:tc>
          <w:tcPr>
            <w:tcW w:w="2500" w:type="pct"/>
            <w:shd w:val="clear" w:color="auto" w:fill="F2F2F2"/>
          </w:tcPr>
          <w:p w14:paraId="5F03AE89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Runge-Kutta 8(9) (RK89)</w:t>
            </w:r>
          </w:p>
        </w:tc>
      </w:tr>
      <w:tr w14:paraId="2CE0F31C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pct"/>
            <w:shd w:val="clear" w:color="auto" w:fill="auto"/>
          </w:tcPr>
          <w:p w14:paraId="2676BFAE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ISL violation threshold</w:t>
            </w:r>
          </w:p>
        </w:tc>
        <w:tc>
          <w:tcPr>
            <w:tcW w:w="2500" w:type="pct"/>
            <w:shd w:val="clear" w:color="auto" w:fill="auto"/>
          </w:tcPr>
          <w:p w14:paraId="4B738E24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7,500 km</w:t>
            </w:r>
          </w:p>
        </w:tc>
      </w:tr>
    </w:tbl>
    <w:p w14:paraId="5C0DCD7A">
      <w:pPr>
        <w:spacing w:before="0" w:after="160"/>
      </w:pPr>
    </w:p>
    <w:p w14:paraId="57ACA10F">
      <w:pPr>
        <w:spacing w:before="80" w:after="120"/>
      </w:pPr>
      <w:r>
        <w:rPr>
          <w:rFonts w:ascii="Calibri" w:hAnsi="Calibri" w:eastAsia="Calibri" w:cs="Calibri"/>
          <w:color w:val="000000"/>
          <w:sz w:val="22"/>
          <w:szCs w:val="22"/>
        </w:rPr>
        <w:t>Initial chord length verification: for two satellites at 60° TA separation on a circular orbit of radius r, the chord equals 2r·sin(30°) = r = 6,778.14 km. This matches the GMAT output at t = 1 min, confirming correct constellation initialisation.</w:t>
      </w:r>
    </w:p>
    <w:p w14:paraId="3DC0BE1E">
      <w:pPr>
        <w:spacing w:before="0" w:after="120"/>
      </w:pPr>
    </w:p>
    <w:p w14:paraId="64194ACB">
      <w:pPr>
        <w:pStyle w:val="3"/>
        <w:spacing w:before="240" w:after="80"/>
        <w:rPr>
          <w:rFonts w:ascii="Calibri" w:hAnsi="Calibri" w:eastAsia="Calibri" w:cs="Calibri"/>
          <w:b/>
          <w:bCs/>
          <w:color w:val="1F3864"/>
          <w:sz w:val="24"/>
          <w:szCs w:val="24"/>
        </w:rPr>
      </w:pPr>
    </w:p>
    <w:p w14:paraId="3B282FAA">
      <w:pPr>
        <w:pStyle w:val="3"/>
        <w:spacing w:before="240" w:after="80"/>
        <w:rPr>
          <w:rFonts w:ascii="Calibri" w:hAnsi="Calibri" w:eastAsia="Calibri" w:cs="Calibri"/>
          <w:b/>
          <w:bCs/>
          <w:color w:val="1F3864"/>
          <w:sz w:val="24"/>
          <w:szCs w:val="24"/>
        </w:rPr>
      </w:pPr>
    </w:p>
    <w:p w14:paraId="53E6417E">
      <w:pPr>
        <w:pStyle w:val="3"/>
        <w:spacing w:before="240" w:after="80"/>
        <w:rPr>
          <w:rFonts w:ascii="Calibri" w:hAnsi="Calibri" w:eastAsia="Calibri" w:cs="Calibri"/>
          <w:b/>
          <w:bCs/>
          <w:color w:val="1F3864"/>
          <w:sz w:val="24"/>
          <w:szCs w:val="24"/>
        </w:rPr>
      </w:pPr>
    </w:p>
    <w:p w14:paraId="059278AE">
      <w:pPr>
        <w:pStyle w:val="3"/>
        <w:spacing w:before="240" w:after="80"/>
        <w:rPr>
          <w:rFonts w:ascii="Calibri" w:hAnsi="Calibri" w:eastAsia="Calibri" w:cs="Calibri"/>
          <w:b/>
          <w:bCs/>
          <w:color w:val="1F3864"/>
          <w:sz w:val="24"/>
          <w:szCs w:val="24"/>
        </w:rPr>
      </w:pPr>
    </w:p>
    <w:p w14:paraId="15563AEC">
      <w:pPr>
        <w:pStyle w:val="3"/>
        <w:spacing w:before="240" w:after="80"/>
      </w:pPr>
      <w:r>
        <w:rPr>
          <w:rFonts w:ascii="Calibri" w:hAnsi="Calibri" w:eastAsia="Calibri" w:cs="Calibri"/>
          <w:b/>
          <w:bCs/>
          <w:color w:val="1F3864"/>
          <w:sz w:val="24"/>
          <w:szCs w:val="24"/>
        </w:rPr>
        <w:t>2.2 Constellation Geometry</w:t>
      </w:r>
    </w:p>
    <w:p w14:paraId="0C7D8F76">
      <w:pPr>
        <w:spacing w:before="0" w:after="60"/>
      </w:pPr>
    </w:p>
    <w:tbl>
      <w:tblPr>
        <w:tblStyle w:val="9"/>
        <w:tblW w:w="5000" w:type="pct"/>
        <w:tblInd w:w="0" w:type="dxa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9"/>
        <w:gridCol w:w="1809"/>
        <w:gridCol w:w="2714"/>
        <w:gridCol w:w="2715"/>
      </w:tblGrid>
      <w:tr w14:paraId="3D5B06ED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pct"/>
            <w:shd w:val="clear" w:color="auto" w:fill="4472C4"/>
          </w:tcPr>
          <w:p w14:paraId="3CA10A17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Spacecraft</w:t>
            </w:r>
          </w:p>
        </w:tc>
        <w:tc>
          <w:tcPr>
            <w:tcW w:w="1000" w:type="pct"/>
            <w:shd w:val="clear" w:color="auto" w:fill="4472C4"/>
          </w:tcPr>
          <w:p w14:paraId="1A3925B6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TA at Epoch</w:t>
            </w:r>
          </w:p>
        </w:tc>
        <w:tc>
          <w:tcPr>
            <w:tcW w:w="1500" w:type="pct"/>
            <w:shd w:val="clear" w:color="auto" w:fill="4472C4"/>
          </w:tcPr>
          <w:p w14:paraId="150CAF7E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Adjacent Pairs</w:t>
            </w:r>
          </w:p>
        </w:tc>
        <w:tc>
          <w:tcPr>
            <w:tcW w:w="1500" w:type="pct"/>
            <w:shd w:val="clear" w:color="auto" w:fill="4472C4"/>
          </w:tcPr>
          <w:p w14:paraId="0FEDE0C5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Initial Chord (km)</w:t>
            </w:r>
          </w:p>
        </w:tc>
      </w:tr>
      <w:tr w14:paraId="6FA6DAF5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0" w:type="pct"/>
            <w:shd w:val="clear" w:color="auto" w:fill="auto"/>
          </w:tcPr>
          <w:p w14:paraId="73C59F2C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S1</w:t>
            </w:r>
          </w:p>
        </w:tc>
        <w:tc>
          <w:tcPr>
            <w:tcW w:w="1000" w:type="pct"/>
            <w:shd w:val="clear" w:color="auto" w:fill="auto"/>
          </w:tcPr>
          <w:p w14:paraId="7C0EA064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0°</w:t>
            </w:r>
          </w:p>
        </w:tc>
        <w:tc>
          <w:tcPr>
            <w:tcW w:w="1500" w:type="pct"/>
            <w:shd w:val="clear" w:color="auto" w:fill="auto"/>
          </w:tcPr>
          <w:p w14:paraId="33F2C908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R12 (S1→S2), R61 (S6→S1)</w:t>
            </w:r>
          </w:p>
        </w:tc>
        <w:tc>
          <w:tcPr>
            <w:tcW w:w="1500" w:type="pct"/>
            <w:shd w:val="clear" w:color="auto" w:fill="auto"/>
          </w:tcPr>
          <w:p w14:paraId="6ED328D8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6,778.14</w:t>
            </w:r>
          </w:p>
        </w:tc>
      </w:tr>
      <w:tr w14:paraId="15DFBC45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2F2F2"/>
          </w:tcPr>
          <w:p w14:paraId="6067B4B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S2</w:t>
            </w:r>
          </w:p>
        </w:tc>
        <w:tc>
          <w:tcPr>
            <w:tcW w:w="1000" w:type="pct"/>
            <w:shd w:val="clear" w:color="auto" w:fill="F2F2F2"/>
          </w:tcPr>
          <w:p w14:paraId="75B435F9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60°</w:t>
            </w:r>
          </w:p>
        </w:tc>
        <w:tc>
          <w:tcPr>
            <w:tcW w:w="1500" w:type="pct"/>
            <w:shd w:val="clear" w:color="auto" w:fill="F2F2F2"/>
          </w:tcPr>
          <w:p w14:paraId="43556D50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R12 (S1→S2), R23 (S2→S3)</w:t>
            </w:r>
          </w:p>
        </w:tc>
        <w:tc>
          <w:tcPr>
            <w:tcW w:w="1500" w:type="pct"/>
            <w:shd w:val="clear" w:color="auto" w:fill="F2F2F2"/>
          </w:tcPr>
          <w:p w14:paraId="43254B69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6,778.14</w:t>
            </w:r>
          </w:p>
        </w:tc>
      </w:tr>
      <w:tr w14:paraId="6A663F93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auto"/>
          </w:tcPr>
          <w:p w14:paraId="13BAD688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S3</w:t>
            </w:r>
          </w:p>
        </w:tc>
        <w:tc>
          <w:tcPr>
            <w:tcW w:w="1000" w:type="pct"/>
            <w:shd w:val="clear" w:color="auto" w:fill="auto"/>
          </w:tcPr>
          <w:p w14:paraId="56103A06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120°</w:t>
            </w:r>
          </w:p>
        </w:tc>
        <w:tc>
          <w:tcPr>
            <w:tcW w:w="1500" w:type="pct"/>
            <w:shd w:val="clear" w:color="auto" w:fill="auto"/>
          </w:tcPr>
          <w:p w14:paraId="01D652B8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R23 (S2→S3), R34 (S3→S4)</w:t>
            </w:r>
          </w:p>
        </w:tc>
        <w:tc>
          <w:tcPr>
            <w:tcW w:w="1500" w:type="pct"/>
            <w:shd w:val="clear" w:color="auto" w:fill="auto"/>
          </w:tcPr>
          <w:p w14:paraId="620C10B5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6,778.14</w:t>
            </w:r>
          </w:p>
        </w:tc>
      </w:tr>
      <w:tr w14:paraId="1BBC8FD3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2F2F2"/>
          </w:tcPr>
          <w:p w14:paraId="6061AFDF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S4</w:t>
            </w:r>
          </w:p>
        </w:tc>
        <w:tc>
          <w:tcPr>
            <w:tcW w:w="1000" w:type="pct"/>
            <w:shd w:val="clear" w:color="auto" w:fill="F2F2F2"/>
          </w:tcPr>
          <w:p w14:paraId="3943ACBC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180°</w:t>
            </w:r>
          </w:p>
        </w:tc>
        <w:tc>
          <w:tcPr>
            <w:tcW w:w="1500" w:type="pct"/>
            <w:shd w:val="clear" w:color="auto" w:fill="F2F2F2"/>
          </w:tcPr>
          <w:p w14:paraId="7C28E659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R34 (S3→S4), R45 (S4→S5)</w:t>
            </w:r>
          </w:p>
        </w:tc>
        <w:tc>
          <w:tcPr>
            <w:tcW w:w="1500" w:type="pct"/>
            <w:shd w:val="clear" w:color="auto" w:fill="F2F2F2"/>
          </w:tcPr>
          <w:p w14:paraId="15E634E4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6,778.14</w:t>
            </w:r>
          </w:p>
        </w:tc>
      </w:tr>
      <w:tr w14:paraId="5217C41F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auto"/>
          </w:tcPr>
          <w:p w14:paraId="5210E5A5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S5</w:t>
            </w:r>
          </w:p>
        </w:tc>
        <w:tc>
          <w:tcPr>
            <w:tcW w:w="1000" w:type="pct"/>
            <w:shd w:val="clear" w:color="auto" w:fill="auto"/>
          </w:tcPr>
          <w:p w14:paraId="400E2CC2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240°</w:t>
            </w:r>
          </w:p>
        </w:tc>
        <w:tc>
          <w:tcPr>
            <w:tcW w:w="1500" w:type="pct"/>
            <w:shd w:val="clear" w:color="auto" w:fill="auto"/>
          </w:tcPr>
          <w:p w14:paraId="07926C01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R45 (S4→S5), R56 (S5→S6)</w:t>
            </w:r>
          </w:p>
        </w:tc>
        <w:tc>
          <w:tcPr>
            <w:tcW w:w="1500" w:type="pct"/>
            <w:shd w:val="clear" w:color="auto" w:fill="auto"/>
          </w:tcPr>
          <w:p w14:paraId="162B0E18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6,778.14</w:t>
            </w:r>
          </w:p>
        </w:tc>
      </w:tr>
      <w:tr w14:paraId="766DE2DD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0" w:type="pct"/>
            <w:shd w:val="clear" w:color="auto" w:fill="F2F2F2"/>
          </w:tcPr>
          <w:p w14:paraId="1590C9C3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S6</w:t>
            </w:r>
          </w:p>
        </w:tc>
        <w:tc>
          <w:tcPr>
            <w:tcW w:w="1000" w:type="pct"/>
            <w:shd w:val="clear" w:color="auto" w:fill="F2F2F2"/>
          </w:tcPr>
          <w:p w14:paraId="57FD3192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300°</w:t>
            </w:r>
          </w:p>
        </w:tc>
        <w:tc>
          <w:tcPr>
            <w:tcW w:w="1500" w:type="pct"/>
            <w:shd w:val="clear" w:color="auto" w:fill="F2F2F2"/>
          </w:tcPr>
          <w:p w14:paraId="45C003C3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R56 (S5→S6), R61 (S6→S1)</w:t>
            </w:r>
          </w:p>
        </w:tc>
        <w:tc>
          <w:tcPr>
            <w:tcW w:w="1500" w:type="pct"/>
            <w:shd w:val="clear" w:color="auto" w:fill="F2F2F2"/>
          </w:tcPr>
          <w:p w14:paraId="458251F4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6,778.14</w:t>
            </w:r>
          </w:p>
        </w:tc>
      </w:tr>
    </w:tbl>
    <w:p w14:paraId="10427B8E">
      <w:pPr>
        <w:spacing w:before="0" w:after="160"/>
      </w:pPr>
    </w:p>
    <w:p w14:paraId="46F32E30">
      <w:pPr>
        <w:spacing w:before="80" w:after="120"/>
      </w:pPr>
      <w:r>
        <w:rPr>
          <w:rFonts w:ascii="Calibri" w:hAnsi="Calibri" w:eastAsia="Calibri" w:cs="Calibri"/>
          <w:color w:val="000000"/>
          <w:sz w:val="22"/>
          <w:szCs w:val="22"/>
        </w:rPr>
        <w:t>The hexagonal constellation places all six spacecraft in the same orbital plane with equal angular spacing, forming a regular hexagon when viewed from the orbit normal. The GMAT script uses two Report files: ISL6Report.txt (all-clear timesteps only, where no pair exceeds 7,500 km) and ISLViolations.txt (one row per violating pair per timestep).</w:t>
      </w:r>
    </w:p>
    <w:p w14:paraId="016B3D76">
      <w:pPr>
        <w:pStyle w:val="2"/>
        <w:pBdr>
          <w:bottom w:val="single" w:color="4472C4" w:sz="6" w:space="0"/>
        </w:pBdr>
        <w:spacing w:before="240" w:after="80"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>3. Results</w:t>
      </w:r>
    </w:p>
    <w:p w14:paraId="66FE4449">
      <w:pPr>
        <w:pStyle w:val="3"/>
        <w:spacing w:before="240" w:after="80"/>
      </w:pPr>
      <w:r>
        <w:rPr>
          <w:rFonts w:ascii="Calibri" w:hAnsi="Calibri" w:eastAsia="Calibri" w:cs="Calibri"/>
          <w:b/>
          <w:bCs/>
          <w:color w:val="1F3864"/>
          <w:sz w:val="24"/>
          <w:szCs w:val="24"/>
        </w:rPr>
        <w:t>3.1 Per-Pair Range Statistics</w:t>
      </w:r>
    </w:p>
    <w:p w14:paraId="3A7FA91B">
      <w:pPr>
        <w:spacing w:before="80" w:after="120"/>
      </w:pPr>
      <w:r>
        <w:rPr>
          <w:rFonts w:ascii="Calibri" w:hAnsi="Calibri" w:eastAsia="Calibri" w:cs="Calibri"/>
          <w:color w:val="000000"/>
          <w:sz w:val="22"/>
          <w:szCs w:val="22"/>
        </w:rPr>
        <w:t>The table below summarises the full-simulation range statistics across all 2,882 timesteps (957 all-clear + 483×varies violation records; ranges below include both all-clear and violation timesteps):</w:t>
      </w:r>
    </w:p>
    <w:p w14:paraId="549E8AA6">
      <w:pPr>
        <w:spacing w:before="0" w:after="60"/>
      </w:pPr>
    </w:p>
    <w:tbl>
      <w:tblPr>
        <w:tblStyle w:val="9"/>
        <w:tblW w:w="5000" w:type="pct"/>
        <w:tblInd w:w="0" w:type="dxa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7"/>
        <w:gridCol w:w="1628"/>
        <w:gridCol w:w="1628"/>
        <w:gridCol w:w="1628"/>
        <w:gridCol w:w="2896"/>
      </w:tblGrid>
      <w:tr w14:paraId="0A65D4BF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pct"/>
            <w:shd w:val="clear" w:color="auto" w:fill="4472C4"/>
          </w:tcPr>
          <w:p w14:paraId="3579CF4C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Pair</w:t>
            </w:r>
          </w:p>
        </w:tc>
        <w:tc>
          <w:tcPr>
            <w:tcW w:w="900" w:type="pct"/>
            <w:shd w:val="clear" w:color="auto" w:fill="4472C4"/>
          </w:tcPr>
          <w:p w14:paraId="34E0B361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Min Range (km)</w:t>
            </w:r>
          </w:p>
        </w:tc>
        <w:tc>
          <w:tcPr>
            <w:tcW w:w="900" w:type="pct"/>
            <w:shd w:val="clear" w:color="auto" w:fill="4472C4"/>
          </w:tcPr>
          <w:p w14:paraId="7CB414CD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Max Range (km)</w:t>
            </w:r>
          </w:p>
        </w:tc>
        <w:tc>
          <w:tcPr>
            <w:tcW w:w="900" w:type="pct"/>
            <w:shd w:val="clear" w:color="auto" w:fill="4472C4"/>
          </w:tcPr>
          <w:p w14:paraId="3842BB4A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Initial (km)</w:t>
            </w:r>
          </w:p>
        </w:tc>
        <w:tc>
          <w:tcPr>
            <w:tcW w:w="1600" w:type="pct"/>
            <w:shd w:val="clear" w:color="auto" w:fill="4472C4"/>
          </w:tcPr>
          <w:p w14:paraId="5FEA29F2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Behaviour</w:t>
            </w:r>
          </w:p>
        </w:tc>
      </w:tr>
      <w:tr w14:paraId="3821F287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00" w:type="pct"/>
            <w:shd w:val="clear" w:color="auto" w:fill="auto"/>
          </w:tcPr>
          <w:p w14:paraId="090E5054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R12</w:t>
            </w:r>
          </w:p>
        </w:tc>
        <w:tc>
          <w:tcPr>
            <w:tcW w:w="900" w:type="pct"/>
            <w:shd w:val="clear" w:color="auto" w:fill="auto"/>
          </w:tcPr>
          <w:p w14:paraId="18405104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5,581</w:t>
            </w:r>
          </w:p>
        </w:tc>
        <w:tc>
          <w:tcPr>
            <w:tcW w:w="900" w:type="pct"/>
            <w:shd w:val="clear" w:color="auto" w:fill="auto"/>
          </w:tcPr>
          <w:p w14:paraId="124CFDDF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6,778</w:t>
            </w:r>
          </w:p>
        </w:tc>
        <w:tc>
          <w:tcPr>
            <w:tcW w:w="900" w:type="pct"/>
            <w:shd w:val="clear" w:color="auto" w:fill="auto"/>
          </w:tcPr>
          <w:p w14:paraId="2F28478D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6,778</w:t>
            </w:r>
          </w:p>
        </w:tc>
        <w:tc>
          <w:tcPr>
            <w:tcW w:w="1600" w:type="pct"/>
            <w:shd w:val="clear" w:color="auto" w:fill="auto"/>
          </w:tcPr>
          <w:p w14:paraId="6E2F5A53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Converging (no violation)</w:t>
            </w:r>
          </w:p>
        </w:tc>
      </w:tr>
      <w:tr w14:paraId="4C26BC33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pct"/>
            <w:shd w:val="clear" w:color="auto" w:fill="F2F2F2"/>
          </w:tcPr>
          <w:p w14:paraId="5C9A3CFE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R23</w:t>
            </w:r>
          </w:p>
        </w:tc>
        <w:tc>
          <w:tcPr>
            <w:tcW w:w="900" w:type="pct"/>
            <w:shd w:val="clear" w:color="auto" w:fill="F2F2F2"/>
          </w:tcPr>
          <w:p w14:paraId="6819E49F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6,778</w:t>
            </w:r>
          </w:p>
        </w:tc>
        <w:tc>
          <w:tcPr>
            <w:tcW w:w="900" w:type="pct"/>
            <w:shd w:val="clear" w:color="auto" w:fill="F2F2F2"/>
          </w:tcPr>
          <w:p w14:paraId="652170E4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6,808</w:t>
            </w:r>
          </w:p>
        </w:tc>
        <w:tc>
          <w:tcPr>
            <w:tcW w:w="900" w:type="pct"/>
            <w:shd w:val="clear" w:color="auto" w:fill="F2F2F2"/>
          </w:tcPr>
          <w:p w14:paraId="5FE13E0C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6,778</w:t>
            </w:r>
          </w:p>
        </w:tc>
        <w:tc>
          <w:tcPr>
            <w:tcW w:w="1600" w:type="pct"/>
            <w:shd w:val="clear" w:color="auto" w:fill="F2F2F2"/>
          </w:tcPr>
          <w:p w14:paraId="06F2A251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Stable / near-constant</w:t>
            </w:r>
          </w:p>
        </w:tc>
      </w:tr>
      <w:tr w14:paraId="116A4AE4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pct"/>
            <w:shd w:val="clear" w:color="auto" w:fill="auto"/>
          </w:tcPr>
          <w:p w14:paraId="3609540B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R34</w:t>
            </w:r>
          </w:p>
        </w:tc>
        <w:tc>
          <w:tcPr>
            <w:tcW w:w="900" w:type="pct"/>
            <w:shd w:val="clear" w:color="auto" w:fill="auto"/>
          </w:tcPr>
          <w:p w14:paraId="74A811D6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6,776</w:t>
            </w:r>
          </w:p>
        </w:tc>
        <w:tc>
          <w:tcPr>
            <w:tcW w:w="900" w:type="pct"/>
            <w:shd w:val="clear" w:color="auto" w:fill="auto"/>
          </w:tcPr>
          <w:p w14:paraId="3B54E878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7,865</w:t>
            </w:r>
          </w:p>
        </w:tc>
        <w:tc>
          <w:tcPr>
            <w:tcW w:w="900" w:type="pct"/>
            <w:shd w:val="clear" w:color="auto" w:fill="auto"/>
          </w:tcPr>
          <w:p w14:paraId="03A2E841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6,778</w:t>
            </w:r>
          </w:p>
        </w:tc>
        <w:tc>
          <w:tcPr>
            <w:tcW w:w="1600" w:type="pct"/>
            <w:shd w:val="clear" w:color="auto" w:fill="auto"/>
          </w:tcPr>
          <w:p w14:paraId="3895FAF8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Diverging — 952 violations</w:t>
            </w:r>
          </w:p>
        </w:tc>
      </w:tr>
      <w:tr w14:paraId="1CF1E799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pct"/>
            <w:shd w:val="clear" w:color="auto" w:fill="F2F2F2"/>
          </w:tcPr>
          <w:p w14:paraId="6C87D274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R45</w:t>
            </w:r>
          </w:p>
        </w:tc>
        <w:tc>
          <w:tcPr>
            <w:tcW w:w="900" w:type="pct"/>
            <w:shd w:val="clear" w:color="auto" w:fill="F2F2F2"/>
          </w:tcPr>
          <w:p w14:paraId="2A91E6B7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5,148</w:t>
            </w:r>
          </w:p>
        </w:tc>
        <w:tc>
          <w:tcPr>
            <w:tcW w:w="900" w:type="pct"/>
            <w:shd w:val="clear" w:color="auto" w:fill="F2F2F2"/>
          </w:tcPr>
          <w:p w14:paraId="43A153E8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6,779</w:t>
            </w:r>
          </w:p>
        </w:tc>
        <w:tc>
          <w:tcPr>
            <w:tcW w:w="900" w:type="pct"/>
            <w:shd w:val="clear" w:color="auto" w:fill="F2F2F2"/>
          </w:tcPr>
          <w:p w14:paraId="2F6EA82A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6,778</w:t>
            </w:r>
          </w:p>
        </w:tc>
        <w:tc>
          <w:tcPr>
            <w:tcW w:w="1600" w:type="pct"/>
            <w:shd w:val="clear" w:color="auto" w:fill="F2F2F2"/>
          </w:tcPr>
          <w:p w14:paraId="67AA9469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Converging (no violation)</w:t>
            </w:r>
          </w:p>
        </w:tc>
      </w:tr>
      <w:tr w14:paraId="65AA3D1F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pct"/>
            <w:shd w:val="clear" w:color="auto" w:fill="auto"/>
          </w:tcPr>
          <w:p w14:paraId="125144D9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R56</w:t>
            </w:r>
          </w:p>
        </w:tc>
        <w:tc>
          <w:tcPr>
            <w:tcW w:w="900" w:type="pct"/>
            <w:shd w:val="clear" w:color="auto" w:fill="auto"/>
          </w:tcPr>
          <w:p w14:paraId="669A948A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6,778</w:t>
            </w:r>
          </w:p>
        </w:tc>
        <w:tc>
          <w:tcPr>
            <w:tcW w:w="900" w:type="pct"/>
            <w:shd w:val="clear" w:color="auto" w:fill="auto"/>
          </w:tcPr>
          <w:p w14:paraId="28EFD390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6,802</w:t>
            </w:r>
          </w:p>
        </w:tc>
        <w:tc>
          <w:tcPr>
            <w:tcW w:w="900" w:type="pct"/>
            <w:shd w:val="clear" w:color="auto" w:fill="auto"/>
          </w:tcPr>
          <w:p w14:paraId="03B5A605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6,778</w:t>
            </w:r>
          </w:p>
        </w:tc>
        <w:tc>
          <w:tcPr>
            <w:tcW w:w="1600" w:type="pct"/>
            <w:shd w:val="clear" w:color="auto" w:fill="auto"/>
          </w:tcPr>
          <w:p w14:paraId="1D62C02C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Stable / near-constant</w:t>
            </w:r>
          </w:p>
        </w:tc>
      </w:tr>
      <w:tr w14:paraId="610457DD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pct"/>
            <w:shd w:val="clear" w:color="auto" w:fill="F2F2F2"/>
          </w:tcPr>
          <w:p w14:paraId="2311A7A4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R61</w:t>
            </w:r>
          </w:p>
        </w:tc>
        <w:tc>
          <w:tcPr>
            <w:tcW w:w="900" w:type="pct"/>
            <w:shd w:val="clear" w:color="auto" w:fill="F2F2F2"/>
          </w:tcPr>
          <w:p w14:paraId="65A63697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6,775</w:t>
            </w:r>
          </w:p>
        </w:tc>
        <w:tc>
          <w:tcPr>
            <w:tcW w:w="900" w:type="pct"/>
            <w:shd w:val="clear" w:color="auto" w:fill="F2F2F2"/>
          </w:tcPr>
          <w:p w14:paraId="239400D3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7,882</w:t>
            </w:r>
          </w:p>
        </w:tc>
        <w:tc>
          <w:tcPr>
            <w:tcW w:w="900" w:type="pct"/>
            <w:shd w:val="clear" w:color="auto" w:fill="F2F2F2"/>
          </w:tcPr>
          <w:p w14:paraId="5F505369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6,778</w:t>
            </w:r>
          </w:p>
        </w:tc>
        <w:tc>
          <w:tcPr>
            <w:tcW w:w="1600" w:type="pct"/>
            <w:shd w:val="clear" w:color="auto" w:fill="F2F2F2"/>
          </w:tcPr>
          <w:p w14:paraId="16054233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Diverging — 8 violations</w:t>
            </w:r>
          </w:p>
        </w:tc>
      </w:tr>
    </w:tbl>
    <w:p w14:paraId="2C091A47">
      <w:pPr>
        <w:spacing w:before="0" w:after="160"/>
      </w:pPr>
    </w:p>
    <w:p w14:paraId="475D20BD">
      <w:pPr>
        <w:pStyle w:val="3"/>
        <w:spacing w:before="240" w:after="80"/>
      </w:pPr>
      <w:r>
        <w:rPr>
          <w:rFonts w:ascii="Calibri" w:hAnsi="Calibri" w:eastAsia="Calibri" w:cs="Calibri"/>
          <w:b/>
          <w:bCs/>
          <w:color w:val="1F3864"/>
          <w:sz w:val="24"/>
          <w:szCs w:val="24"/>
        </w:rPr>
        <w:t>3.2 Violation Summary</w:t>
      </w:r>
    </w:p>
    <w:p w14:paraId="5B18D492">
      <w:pPr>
        <w:spacing w:before="0" w:after="60"/>
      </w:pPr>
    </w:p>
    <w:tbl>
      <w:tblPr>
        <w:tblStyle w:val="9"/>
        <w:tblW w:w="5000" w:type="pct"/>
        <w:tblInd w:w="0" w:type="dxa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76"/>
        <w:gridCol w:w="4071"/>
      </w:tblGrid>
      <w:tr w14:paraId="37810EFA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750" w:type="pct"/>
            <w:shd w:val="clear" w:color="auto" w:fill="4472C4"/>
          </w:tcPr>
          <w:p w14:paraId="4AB5A2FA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250" w:type="pct"/>
            <w:shd w:val="clear" w:color="auto" w:fill="4472C4"/>
          </w:tcPr>
          <w:p w14:paraId="338BCEEA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14:paraId="31D276B3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50" w:type="pct"/>
            <w:shd w:val="clear" w:color="auto" w:fill="auto"/>
          </w:tcPr>
          <w:p w14:paraId="1BD0B370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Total simulation minutes</w:t>
            </w:r>
          </w:p>
        </w:tc>
        <w:tc>
          <w:tcPr>
            <w:tcW w:w="2250" w:type="pct"/>
            <w:shd w:val="clear" w:color="auto" w:fill="auto"/>
          </w:tcPr>
          <w:p w14:paraId="42DF590D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1,440</w:t>
            </w:r>
          </w:p>
        </w:tc>
      </w:tr>
      <w:tr w14:paraId="3F987505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50" w:type="pct"/>
            <w:shd w:val="clear" w:color="auto" w:fill="F2F2F2"/>
          </w:tcPr>
          <w:p w14:paraId="2013D083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All-clear minutes (no violation)</w:t>
            </w:r>
          </w:p>
        </w:tc>
        <w:tc>
          <w:tcPr>
            <w:tcW w:w="2250" w:type="pct"/>
            <w:shd w:val="clear" w:color="auto" w:fill="F2F2F2"/>
          </w:tcPr>
          <w:p w14:paraId="4D37F54A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957  (66.5%)</w:t>
            </w:r>
          </w:p>
        </w:tc>
      </w:tr>
      <w:tr w14:paraId="7464D7CC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50" w:type="pct"/>
            <w:shd w:val="clear" w:color="auto" w:fill="auto"/>
          </w:tcPr>
          <w:p w14:paraId="507CFD95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Violation minutes (≥1 pair exceeds threshold)</w:t>
            </w:r>
          </w:p>
        </w:tc>
        <w:tc>
          <w:tcPr>
            <w:tcW w:w="2250" w:type="pct"/>
            <w:shd w:val="clear" w:color="auto" w:fill="auto"/>
          </w:tcPr>
          <w:p w14:paraId="336FECFE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483  (33.5%)</w:t>
            </w:r>
          </w:p>
        </w:tc>
      </w:tr>
      <w:tr w14:paraId="29AFF017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50" w:type="pct"/>
            <w:shd w:val="clear" w:color="auto" w:fill="F2F2F2"/>
          </w:tcPr>
          <w:p w14:paraId="4025C9C1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Minutes with both R34 and R61 violating</w:t>
            </w:r>
          </w:p>
        </w:tc>
        <w:tc>
          <w:tcPr>
            <w:tcW w:w="2250" w:type="pct"/>
            <w:shd w:val="clear" w:color="auto" w:fill="F2F2F2"/>
          </w:tcPr>
          <w:p w14:paraId="215CB784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477</w:t>
            </w:r>
          </w:p>
        </w:tc>
      </w:tr>
      <w:tr w14:paraId="0FDB4407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50" w:type="pct"/>
            <w:shd w:val="clear" w:color="auto" w:fill="auto"/>
          </w:tcPr>
          <w:p w14:paraId="6461EEE4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Minutes with R61 only violating</w:t>
            </w:r>
          </w:p>
        </w:tc>
        <w:tc>
          <w:tcPr>
            <w:tcW w:w="2250" w:type="pct"/>
            <w:shd w:val="clear" w:color="auto" w:fill="auto"/>
          </w:tcPr>
          <w:p w14:paraId="3D7B7E81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6  (15:58–16:03 UTC)</w:t>
            </w:r>
          </w:p>
        </w:tc>
      </w:tr>
      <w:tr w14:paraId="3BCA0C9B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50" w:type="pct"/>
            <w:shd w:val="clear" w:color="auto" w:fill="F2F2F2"/>
          </w:tcPr>
          <w:p w14:paraId="01E7D59F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R34 violation rows in ISLViolations.txt</w:t>
            </w:r>
          </w:p>
        </w:tc>
        <w:tc>
          <w:tcPr>
            <w:tcW w:w="2250" w:type="pct"/>
            <w:shd w:val="clear" w:color="auto" w:fill="F2F2F2"/>
          </w:tcPr>
          <w:p w14:paraId="6F212A27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952</w:t>
            </w:r>
          </w:p>
        </w:tc>
      </w:tr>
      <w:tr w14:paraId="6590B681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50" w:type="pct"/>
            <w:shd w:val="clear" w:color="auto" w:fill="auto"/>
          </w:tcPr>
          <w:p w14:paraId="778ED9D9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R61 violation rows in ISLViolations.txt</w:t>
            </w:r>
          </w:p>
        </w:tc>
        <w:tc>
          <w:tcPr>
            <w:tcW w:w="2250" w:type="pct"/>
            <w:shd w:val="clear" w:color="auto" w:fill="auto"/>
          </w:tcPr>
          <w:p w14:paraId="57590C79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8</w:t>
            </w:r>
          </w:p>
        </w:tc>
      </w:tr>
      <w:tr w14:paraId="1CEA2F5F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50" w:type="pct"/>
            <w:shd w:val="clear" w:color="auto" w:fill="F2F2F2"/>
          </w:tcPr>
          <w:p w14:paraId="6DA5D8BB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Total rows in ISLViolations.txt</w:t>
            </w:r>
          </w:p>
        </w:tc>
        <w:tc>
          <w:tcPr>
            <w:tcW w:w="2250" w:type="pct"/>
            <w:shd w:val="clear" w:color="auto" w:fill="F2F2F2"/>
          </w:tcPr>
          <w:p w14:paraId="07AF0474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960</w:t>
            </w:r>
          </w:p>
        </w:tc>
      </w:tr>
      <w:tr w14:paraId="59C6FBC6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50" w:type="pct"/>
            <w:shd w:val="clear" w:color="auto" w:fill="auto"/>
          </w:tcPr>
          <w:p w14:paraId="7B6CA43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All-clear rows in ISL6Report.txt</w:t>
            </w:r>
          </w:p>
        </w:tc>
        <w:tc>
          <w:tcPr>
            <w:tcW w:w="2250" w:type="pct"/>
            <w:shd w:val="clear" w:color="auto" w:fill="auto"/>
          </w:tcPr>
          <w:p w14:paraId="7C140984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957</w:t>
            </w:r>
          </w:p>
        </w:tc>
      </w:tr>
      <w:tr w14:paraId="58C24417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50" w:type="pct"/>
            <w:shd w:val="clear" w:color="auto" w:fill="F2F2F2"/>
          </w:tcPr>
          <w:p w14:paraId="244138E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First violation (R61)</w:t>
            </w:r>
          </w:p>
        </w:tc>
        <w:tc>
          <w:tcPr>
            <w:tcW w:w="2250" w:type="pct"/>
            <w:shd w:val="clear" w:color="auto" w:fill="F2F2F2"/>
          </w:tcPr>
          <w:p w14:paraId="724B1250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15:58 UTC  (7,500.369 km)</w:t>
            </w:r>
          </w:p>
        </w:tc>
      </w:tr>
      <w:tr w14:paraId="4B91C3E7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50" w:type="pct"/>
            <w:shd w:val="clear" w:color="auto" w:fill="auto"/>
          </w:tcPr>
          <w:p w14:paraId="676580DF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R34 first breach</w:t>
            </w:r>
          </w:p>
        </w:tc>
        <w:tc>
          <w:tcPr>
            <w:tcW w:w="2250" w:type="pct"/>
            <w:shd w:val="clear" w:color="auto" w:fill="auto"/>
          </w:tcPr>
          <w:p w14:paraId="17C60A9C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16:06 UTC</w:t>
            </w:r>
          </w:p>
        </w:tc>
      </w:tr>
      <w:tr w14:paraId="2EB6B36A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50" w:type="pct"/>
            <w:shd w:val="clear" w:color="auto" w:fill="F2F2F2"/>
          </w:tcPr>
          <w:p w14:paraId="3C677A02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Peak violation range (R34)</w:t>
            </w:r>
          </w:p>
        </w:tc>
        <w:tc>
          <w:tcPr>
            <w:tcW w:w="2250" w:type="pct"/>
            <w:shd w:val="clear" w:color="auto" w:fill="F2F2F2"/>
          </w:tcPr>
          <w:p w14:paraId="3EDCB28D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7,880.66 km</w:t>
            </w:r>
          </w:p>
        </w:tc>
      </w:tr>
      <w:tr w14:paraId="14C2978C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50" w:type="pct"/>
            <w:shd w:val="clear" w:color="auto" w:fill="auto"/>
          </w:tcPr>
          <w:p w14:paraId="74C6BDE3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Mean violation range</w:t>
            </w:r>
          </w:p>
        </w:tc>
        <w:tc>
          <w:tcPr>
            <w:tcW w:w="2250" w:type="pct"/>
            <w:shd w:val="clear" w:color="auto" w:fill="auto"/>
          </w:tcPr>
          <w:p w14:paraId="65DF470A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7,683.06 km</w:t>
            </w:r>
          </w:p>
        </w:tc>
      </w:tr>
    </w:tbl>
    <w:p w14:paraId="731D6FED">
      <w:pPr>
        <w:spacing w:before="0" w:after="160"/>
      </w:pPr>
    </w:p>
    <w:p w14:paraId="1A9F3686">
      <w:pPr>
        <w:pStyle w:val="3"/>
        <w:spacing w:before="240" w:after="80"/>
      </w:pPr>
      <w:r>
        <w:rPr>
          <w:rFonts w:ascii="Calibri" w:hAnsi="Calibri" w:eastAsia="Calibri" w:cs="Calibri"/>
          <w:b/>
          <w:bCs/>
          <w:color w:val="1F3864"/>
          <w:sz w:val="24"/>
          <w:szCs w:val="24"/>
        </w:rPr>
        <w:t>3.3 Violation Range Distribution</w:t>
      </w:r>
    </w:p>
    <w:p w14:paraId="16ECD242">
      <w:pPr>
        <w:spacing w:before="80" w:after="120"/>
      </w:pPr>
      <w:r>
        <w:rPr>
          <w:rFonts w:ascii="Calibri" w:hAnsi="Calibri" w:eastAsia="Calibri" w:cs="Calibri"/>
          <w:color w:val="000000"/>
          <w:sz w:val="22"/>
          <w:szCs w:val="22"/>
        </w:rPr>
        <w:t>Distribution of the 960 ISLViolations.txt rows by range band:</w:t>
      </w:r>
    </w:p>
    <w:p w14:paraId="27C2DFAA">
      <w:pPr>
        <w:spacing w:before="0" w:after="60"/>
      </w:pPr>
    </w:p>
    <w:tbl>
      <w:tblPr>
        <w:tblStyle w:val="9"/>
        <w:tblW w:w="5000" w:type="pct"/>
        <w:tblInd w:w="0" w:type="dxa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19"/>
        <w:gridCol w:w="2714"/>
        <w:gridCol w:w="2714"/>
      </w:tblGrid>
      <w:tr w14:paraId="2CCCE314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pct"/>
            <w:shd w:val="clear" w:color="auto" w:fill="4472C4"/>
          </w:tcPr>
          <w:p w14:paraId="70A18C1D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Range Band (km)</w:t>
            </w:r>
          </w:p>
        </w:tc>
        <w:tc>
          <w:tcPr>
            <w:tcW w:w="1500" w:type="pct"/>
            <w:shd w:val="clear" w:color="auto" w:fill="4472C4"/>
          </w:tcPr>
          <w:p w14:paraId="002CEC4B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Violation Rows</w:t>
            </w:r>
          </w:p>
        </w:tc>
        <w:tc>
          <w:tcPr>
            <w:tcW w:w="1500" w:type="pct"/>
            <w:shd w:val="clear" w:color="auto" w:fill="4472C4"/>
          </w:tcPr>
          <w:p w14:paraId="17759661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Share (%)</w:t>
            </w:r>
          </w:p>
        </w:tc>
      </w:tr>
      <w:tr w14:paraId="1381EFA0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pct"/>
            <w:shd w:val="clear" w:color="auto" w:fill="auto"/>
          </w:tcPr>
          <w:p w14:paraId="1CF3352A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7,500 – 7,600</w:t>
            </w:r>
          </w:p>
        </w:tc>
        <w:tc>
          <w:tcPr>
            <w:tcW w:w="1500" w:type="pct"/>
            <w:shd w:val="clear" w:color="auto" w:fill="auto"/>
          </w:tcPr>
          <w:p w14:paraId="0478C34D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223</w:t>
            </w:r>
          </w:p>
        </w:tc>
        <w:tc>
          <w:tcPr>
            <w:tcW w:w="1500" w:type="pct"/>
            <w:shd w:val="clear" w:color="auto" w:fill="auto"/>
          </w:tcPr>
          <w:p w14:paraId="78AF1233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23.2%</w:t>
            </w:r>
          </w:p>
        </w:tc>
      </w:tr>
      <w:tr w14:paraId="471EB402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pct"/>
            <w:shd w:val="clear" w:color="auto" w:fill="F2F2F2"/>
          </w:tcPr>
          <w:p w14:paraId="049818ED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7,600 – 7,700</w:t>
            </w:r>
          </w:p>
        </w:tc>
        <w:tc>
          <w:tcPr>
            <w:tcW w:w="1500" w:type="pct"/>
            <w:shd w:val="clear" w:color="auto" w:fill="F2F2F2"/>
          </w:tcPr>
          <w:p w14:paraId="0CF20288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279</w:t>
            </w:r>
          </w:p>
        </w:tc>
        <w:tc>
          <w:tcPr>
            <w:tcW w:w="1500" w:type="pct"/>
            <w:shd w:val="clear" w:color="auto" w:fill="F2F2F2"/>
          </w:tcPr>
          <w:p w14:paraId="66BF71E4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29.1%</w:t>
            </w:r>
          </w:p>
        </w:tc>
      </w:tr>
      <w:tr w14:paraId="2EA2DB63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pct"/>
            <w:shd w:val="clear" w:color="auto" w:fill="auto"/>
          </w:tcPr>
          <w:p w14:paraId="696B5A03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7,700 – 7,800</w:t>
            </w:r>
          </w:p>
        </w:tc>
        <w:tc>
          <w:tcPr>
            <w:tcW w:w="1500" w:type="pct"/>
            <w:shd w:val="clear" w:color="auto" w:fill="auto"/>
          </w:tcPr>
          <w:p w14:paraId="222DF809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267</w:t>
            </w:r>
          </w:p>
        </w:tc>
        <w:tc>
          <w:tcPr>
            <w:tcW w:w="1500" w:type="pct"/>
            <w:shd w:val="clear" w:color="auto" w:fill="auto"/>
          </w:tcPr>
          <w:p w14:paraId="07AB5047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27.8%</w:t>
            </w:r>
          </w:p>
        </w:tc>
      </w:tr>
      <w:tr w14:paraId="6846172D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pct"/>
            <w:shd w:val="clear" w:color="auto" w:fill="F2F2F2"/>
          </w:tcPr>
          <w:p w14:paraId="46C3F2A5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7,800 – 7,882</w:t>
            </w:r>
          </w:p>
        </w:tc>
        <w:tc>
          <w:tcPr>
            <w:tcW w:w="1500" w:type="pct"/>
            <w:shd w:val="clear" w:color="auto" w:fill="F2F2F2"/>
          </w:tcPr>
          <w:p w14:paraId="221BE8F7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191</w:t>
            </w:r>
          </w:p>
        </w:tc>
        <w:tc>
          <w:tcPr>
            <w:tcW w:w="1500" w:type="pct"/>
            <w:shd w:val="clear" w:color="auto" w:fill="F2F2F2"/>
          </w:tcPr>
          <w:p w14:paraId="6235ED79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19.9%</w:t>
            </w:r>
          </w:p>
        </w:tc>
      </w:tr>
      <w:tr w14:paraId="095CCDE8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pct"/>
            <w:shd w:val="clear" w:color="auto" w:fill="auto"/>
          </w:tcPr>
          <w:p w14:paraId="35DECF95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500" w:type="pct"/>
            <w:shd w:val="clear" w:color="auto" w:fill="auto"/>
          </w:tcPr>
          <w:p w14:paraId="04D5C634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960</w:t>
            </w:r>
          </w:p>
        </w:tc>
        <w:tc>
          <w:tcPr>
            <w:tcW w:w="1500" w:type="pct"/>
            <w:shd w:val="clear" w:color="auto" w:fill="auto"/>
          </w:tcPr>
          <w:p w14:paraId="657284BD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100%</w:t>
            </w:r>
          </w:p>
        </w:tc>
      </w:tr>
    </w:tbl>
    <w:p w14:paraId="46DA0241">
      <w:pPr>
        <w:spacing w:before="0" w:after="120"/>
      </w:pPr>
    </w:p>
    <w:p w14:paraId="4B98060D">
      <w:pPr>
        <w:spacing w:before="80" w:after="120"/>
      </w:pPr>
      <w:r>
        <w:rPr>
          <w:rFonts w:ascii="Calibri" w:hAnsi="Calibri" w:eastAsia="Calibri" w:cs="Calibri"/>
          <w:color w:val="000000"/>
          <w:sz w:val="22"/>
          <w:szCs w:val="22"/>
        </w:rPr>
        <w:t>The modal violation range falls in the 7,600–7,700 km band, representing gradual divergence of R34 well past the 7,500 km threshold. The upper tail (7,800+ km) accounts for nearly 20% of violations, indicating sustained high-range exceedances during the final hours of the simulation.</w:t>
      </w:r>
      <w:bookmarkStart w:id="0" w:name="_GoBack"/>
      <w:bookmarkEnd w:id="0"/>
    </w:p>
    <w:p w14:paraId="41DEE099">
      <w:pPr>
        <w:pStyle w:val="2"/>
        <w:pBdr>
          <w:bottom w:val="single" w:color="4472C4" w:sz="6" w:space="0"/>
        </w:pBdr>
        <w:spacing w:before="240" w:after="80"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>4. Physical Analysis</w:t>
      </w:r>
    </w:p>
    <w:p w14:paraId="738EBB29">
      <w:pPr>
        <w:pStyle w:val="3"/>
        <w:spacing w:before="240" w:after="80"/>
      </w:pPr>
      <w:r>
        <w:rPr>
          <w:rFonts w:ascii="Calibri" w:hAnsi="Calibri" w:eastAsia="Calibri" w:cs="Calibri"/>
          <w:b/>
          <w:bCs/>
          <w:color w:val="1F3864"/>
          <w:sz w:val="24"/>
          <w:szCs w:val="24"/>
        </w:rPr>
        <w:t>4.1 Differential J2 Perturbation</w:t>
      </w:r>
    </w:p>
    <w:p w14:paraId="30D2D694">
      <w:pPr>
        <w:spacing w:before="80" w:after="120"/>
      </w:pPr>
      <w:r>
        <w:rPr>
          <w:rFonts w:ascii="Calibri" w:hAnsi="Calibri" w:eastAsia="Calibri" w:cs="Calibri"/>
          <w:color w:val="000000"/>
          <w:sz w:val="22"/>
          <w:szCs w:val="22"/>
        </w:rPr>
        <w:t>The range evolution is governed by J2 — Earth's dominant oblateness harmonic. Although all six spacecraft share identical orbital elements at epoch, their position in true anomaly means that at any given time each occupies a slightly different portion of the orbit, experiencing a different instantaneous latitude and thus a different perturbative acceleration from J2.</w:t>
      </w:r>
    </w:p>
    <w:p w14:paraId="5F39FDEB">
      <w:pPr>
        <w:spacing w:before="80" w:after="120"/>
      </w:pPr>
      <w:r>
        <w:rPr>
          <w:rFonts w:ascii="Calibri" w:hAnsi="Calibri" w:eastAsia="Calibri" w:cs="Calibri"/>
          <w:color w:val="000000"/>
          <w:sz w:val="22"/>
          <w:szCs w:val="22"/>
        </w:rPr>
        <w:t>The key J2 effects over 24 hours are:</w:t>
      </w:r>
    </w:p>
    <w:p w14:paraId="3E0486B6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000000"/>
          <w:sz w:val="22"/>
          <w:szCs w:val="22"/>
        </w:rPr>
        <w:t>Nodal regression: the right ascension of the ascending node (RAAN) drifts westward at a rate proportional to cos(i). Because all spacecraft have the same inclination, the constellation RAAN drifts uniformly — this alone would not separate adjacent pairs.</w:t>
      </w:r>
    </w:p>
    <w:p w14:paraId="01FD1F5D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000000"/>
          <w:sz w:val="22"/>
          <w:szCs w:val="22"/>
        </w:rPr>
        <w:t>Differential argument-of-perigee (AOP) drift: the AOP precesses at a rate that depends on the spacecraft's instantaneous orbital energy and the latitude weighting of the J2 acceleration. For eccentric orbits this produces pair-specific range evolution; even for circular orbits, numerical integration with RK8(9) captures the accumulated differential over 24 hours.</w:t>
      </w:r>
    </w:p>
    <w:p w14:paraId="7C0F05CF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000000"/>
          <w:sz w:val="22"/>
          <w:szCs w:val="22"/>
        </w:rPr>
        <w:t>Pair-dependent separations: spacecraft phased at 0°/180° (S1/S4) and 60°/240° (S2/S5) and 120°/300° (S3/S6) share symmetric J2 perturbative environments. Pairs that bridge symmetry points accumulate differential drift; pairs inside a symmetric half of the constellation remain nearly stable.</w:t>
      </w:r>
    </w:p>
    <w:p w14:paraId="67899BC5">
      <w:pPr>
        <w:spacing w:before="0" w:after="80"/>
      </w:pPr>
    </w:p>
    <w:p w14:paraId="773B133C">
      <w:pPr>
        <w:pStyle w:val="3"/>
        <w:spacing w:before="240" w:after="80"/>
      </w:pPr>
      <w:r>
        <w:rPr>
          <w:rFonts w:ascii="Calibri" w:hAnsi="Calibri" w:eastAsia="Calibri" w:cs="Calibri"/>
          <w:b/>
          <w:bCs/>
          <w:color w:val="1F3864"/>
          <w:sz w:val="24"/>
          <w:szCs w:val="24"/>
        </w:rPr>
        <w:t>4.2 Observed Pair Behaviour</w:t>
      </w:r>
    </w:p>
    <w:p w14:paraId="078C9DDF">
      <w:pPr>
        <w:spacing w:before="80" w:after="120"/>
      </w:pPr>
      <w:r>
        <w:rPr>
          <w:rFonts w:ascii="Calibri" w:hAnsi="Calibri" w:eastAsia="Calibri" w:cs="Calibri"/>
          <w:color w:val="000000"/>
          <w:sz w:val="22"/>
          <w:szCs w:val="22"/>
        </w:rPr>
        <w:t>Three distinct behaviours emerge from the hexagonal constellation:</w:t>
      </w:r>
    </w:p>
    <w:p w14:paraId="3D007F77">
      <w:pPr>
        <w:spacing w:before="0" w:after="60"/>
      </w:pPr>
    </w:p>
    <w:tbl>
      <w:tblPr>
        <w:tblStyle w:val="9"/>
        <w:tblW w:w="5000" w:type="pct"/>
        <w:tblInd w:w="0" w:type="dxa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14"/>
        <w:gridCol w:w="1809"/>
        <w:gridCol w:w="4524"/>
      </w:tblGrid>
      <w:tr w14:paraId="21094D11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pct"/>
            <w:shd w:val="clear" w:color="auto" w:fill="4472C4"/>
          </w:tcPr>
          <w:p w14:paraId="5ED9A50D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Behaviour</w:t>
            </w:r>
          </w:p>
        </w:tc>
        <w:tc>
          <w:tcPr>
            <w:tcW w:w="1000" w:type="pct"/>
            <w:shd w:val="clear" w:color="auto" w:fill="4472C4"/>
          </w:tcPr>
          <w:p w14:paraId="4F6F42BC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Pairs</w:t>
            </w:r>
          </w:p>
        </w:tc>
        <w:tc>
          <w:tcPr>
            <w:tcW w:w="2500" w:type="pct"/>
            <w:shd w:val="clear" w:color="auto" w:fill="4472C4"/>
          </w:tcPr>
          <w:p w14:paraId="3A90C8EB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14:paraId="0ABBDEB6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shd w:val="clear" w:color="auto" w:fill="auto"/>
          </w:tcPr>
          <w:p w14:paraId="497D0A9C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Converging</w:t>
            </w:r>
          </w:p>
        </w:tc>
        <w:tc>
          <w:tcPr>
            <w:tcW w:w="1000" w:type="pct"/>
            <w:shd w:val="clear" w:color="auto" w:fill="auto"/>
          </w:tcPr>
          <w:p w14:paraId="4FD35845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R12, R45</w:t>
            </w:r>
          </w:p>
        </w:tc>
        <w:tc>
          <w:tcPr>
            <w:tcW w:w="2500" w:type="pct"/>
            <w:shd w:val="clear" w:color="auto" w:fill="auto"/>
          </w:tcPr>
          <w:p w14:paraId="65D1072B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Opposite-pair symmetry causes progressive approach; R45 reaches minimum ~5,148 km at simulation end</w:t>
            </w:r>
          </w:p>
        </w:tc>
      </w:tr>
      <w:tr w14:paraId="0EEBCD2C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shd w:val="clear" w:color="auto" w:fill="F2F2F2"/>
          </w:tcPr>
          <w:p w14:paraId="301F1A74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Stable</w:t>
            </w:r>
          </w:p>
        </w:tc>
        <w:tc>
          <w:tcPr>
            <w:tcW w:w="1000" w:type="pct"/>
            <w:shd w:val="clear" w:color="auto" w:fill="F2F2F2"/>
          </w:tcPr>
          <w:p w14:paraId="6E371F8B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R23, R56</w:t>
            </w:r>
          </w:p>
        </w:tc>
        <w:tc>
          <w:tcPr>
            <w:tcW w:w="2500" w:type="pct"/>
            <w:shd w:val="clear" w:color="auto" w:fill="F2F2F2"/>
          </w:tcPr>
          <w:p w14:paraId="68FC2A36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Symmetric about the TA=90°/270° axis; differential drift cancels; ranges stay 6,778–6,808 km</w:t>
            </w:r>
          </w:p>
        </w:tc>
      </w:tr>
      <w:tr w14:paraId="60B37009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shd w:val="clear" w:color="auto" w:fill="auto"/>
          </w:tcPr>
          <w:p w14:paraId="79A63385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Diverging</w:t>
            </w:r>
          </w:p>
        </w:tc>
        <w:tc>
          <w:tcPr>
            <w:tcW w:w="1000" w:type="pct"/>
            <w:shd w:val="clear" w:color="auto" w:fill="auto"/>
          </w:tcPr>
          <w:p w14:paraId="775C52AE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R34, R61</w:t>
            </w:r>
          </w:p>
        </w:tc>
        <w:tc>
          <w:tcPr>
            <w:tcW w:w="2500" w:type="pct"/>
            <w:shd w:val="clear" w:color="auto" w:fill="auto"/>
          </w:tcPr>
          <w:p w14:paraId="73EC4216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Opposite-pair symmetry drives separation; R34 reaches 7,865 km, R61 peaks at 7,882 km — both exceed 7,500 km</w:t>
            </w:r>
          </w:p>
        </w:tc>
      </w:tr>
    </w:tbl>
    <w:p w14:paraId="586A52F9">
      <w:pPr>
        <w:spacing w:before="0" w:after="160"/>
      </w:pPr>
    </w:p>
    <w:p w14:paraId="5719EED5">
      <w:pPr>
        <w:spacing w:before="80" w:after="120"/>
      </w:pPr>
      <w:r>
        <w:rPr>
          <w:rFonts w:ascii="Calibri" w:hAnsi="Calibri" w:eastAsia="Calibri" w:cs="Calibri"/>
          <w:color w:val="000000"/>
          <w:sz w:val="22"/>
          <w:szCs w:val="22"/>
        </w:rPr>
        <w:t>The converging pairs (R12, R45) and diverging pairs (R34, R61) are the opposite-pair partners of each other in the hexagon, consistent with the principle that equal-and-opposite phase offsets produce mirror-image drift signatures under a symmetric perturbation like J2.</w:t>
      </w:r>
    </w:p>
    <w:p w14:paraId="08AE4CB9">
      <w:pPr>
        <w:pStyle w:val="3"/>
        <w:spacing w:before="240" w:after="80"/>
      </w:pPr>
      <w:r>
        <w:rPr>
          <w:rFonts w:ascii="Calibri" w:hAnsi="Calibri" w:eastAsia="Calibri" w:cs="Calibri"/>
          <w:b/>
          <w:bCs/>
          <w:color w:val="1F3864"/>
          <w:sz w:val="24"/>
          <w:szCs w:val="24"/>
        </w:rPr>
        <w:t>4.3 Timeline of Violations</w:t>
      </w:r>
    </w:p>
    <w:p w14:paraId="01771EC6">
      <w:pPr>
        <w:spacing w:before="80" w:after="120"/>
      </w:pPr>
      <w:r>
        <w:rPr>
          <w:rFonts w:ascii="Calibri" w:hAnsi="Calibri" w:eastAsia="Calibri" w:cs="Calibri"/>
          <w:color w:val="000000"/>
          <w:sz w:val="22"/>
          <w:szCs w:val="22"/>
        </w:rPr>
        <w:t>The violation timeline illustrates the sequential breach pattern:</w:t>
      </w:r>
    </w:p>
    <w:p w14:paraId="4C667FE8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000000"/>
          <w:sz w:val="22"/>
          <w:szCs w:val="22"/>
        </w:rPr>
        <w:t>t = 0:00 UTC — All six pairs at ~6,778 km (chord at 60° separation). No violations.</w:t>
      </w:r>
    </w:p>
    <w:p w14:paraId="10095D69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000000"/>
          <w:sz w:val="22"/>
          <w:szCs w:val="22"/>
        </w:rPr>
        <w:t>t = 15:58 UTC — R61 first exceeds 7,500 km (7,500.369 km). R34 still below threshold.</w:t>
      </w:r>
    </w:p>
    <w:p w14:paraId="08E234E9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000000"/>
          <w:sz w:val="22"/>
          <w:szCs w:val="22"/>
        </w:rPr>
        <w:t>t = 15:58–16:03 UTC — R61 alone in violation (6 minutes, 8 rows including both boundary timesteps).</w:t>
      </w:r>
    </w:p>
    <w:p w14:paraId="53B335BF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000000"/>
          <w:sz w:val="22"/>
          <w:szCs w:val="22"/>
        </w:rPr>
        <w:t>t = 16:06 UTC — R34 also breaches threshold. Both R34 and R61 now violating simultaneously.</w:t>
      </w:r>
    </w:p>
    <w:p w14:paraId="17CD4272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000000"/>
          <w:sz w:val="22"/>
          <w:szCs w:val="22"/>
        </w:rPr>
        <w:t>t = 16:06 – 23:59 UTC — Both pairs continue to diverge; R34 dominates (952 rows vs. 8 for R61).</w:t>
      </w:r>
    </w:p>
    <w:p w14:paraId="0A021AAD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000000"/>
          <w:sz w:val="22"/>
          <w:szCs w:val="22"/>
        </w:rPr>
        <w:t>t = 23:59 UTC — Simulation ends. R34 maximum: 7,880.66 km; R61 maximum: 7,882 km.</w:t>
      </w:r>
    </w:p>
    <w:p w14:paraId="2396B196">
      <w:pPr>
        <w:spacing w:before="0" w:after="80"/>
      </w:pPr>
    </w:p>
    <w:p w14:paraId="7B200D3E">
      <w:pPr>
        <w:spacing w:before="80" w:after="120"/>
      </w:pPr>
      <w:r>
        <w:rPr>
          <w:rFonts w:ascii="Calibri" w:hAnsi="Calibri" w:eastAsia="Calibri" w:cs="Calibri"/>
          <w:color w:val="000000"/>
          <w:sz w:val="22"/>
          <w:szCs w:val="22"/>
        </w:rPr>
        <w:t>R61 breaching first by ~8 minutes may appear counterintuitive given that R34 ultimately accumulates far more violation minutes. This occurs because the instantaneous J2 gradient at t~16h UTC produces a slightly larger acceleration for the S6–S1 pair at that moment. Over the full simulation R34 is the dominant violating pair, accumulating 952 violation rows (99.2% of all violation entries).</w:t>
      </w:r>
    </w:p>
    <w:p w14:paraId="3929A2B9">
      <w:pPr>
        <w:spacing w:before="0" w:after="120"/>
      </w:pPr>
    </w:p>
    <w:p w14:paraId="41E8810F">
      <w:r>
        <w:br w:type="page"/>
      </w:r>
    </w:p>
    <w:p w14:paraId="7F9B9E19">
      <w:pPr>
        <w:pStyle w:val="2"/>
        <w:pBdr>
          <w:bottom w:val="single" w:color="4472C4" w:sz="6" w:space="0"/>
        </w:pBdr>
        <w:spacing w:before="240" w:after="80"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>5. Operational Implications</w:t>
      </w:r>
    </w:p>
    <w:p w14:paraId="27183C86">
      <w:pPr>
        <w:spacing w:before="80" w:after="120"/>
      </w:pPr>
      <w:r>
        <w:rPr>
          <w:rFonts w:ascii="Calibri" w:hAnsi="Calibri" w:eastAsia="Calibri" w:cs="Calibri"/>
          <w:color w:val="000000"/>
          <w:sz w:val="22"/>
          <w:szCs w:val="22"/>
        </w:rPr>
        <w:t>The 33.5% violation rate over 24 hours has significant operational implications for any constellation design that relies on continuous ISL connectivity at or below 7,500 km for the R34 and R61 links:</w:t>
      </w:r>
    </w:p>
    <w:p w14:paraId="3C5A852B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000000"/>
          <w:sz w:val="22"/>
          <w:szCs w:val="22"/>
        </w:rPr>
        <w:t>Link budget impact: ISL free-space path loss increases as the square of range. A link designed for 7,500 km (the threshold) would experience a 0.37 dB additional path loss at 7,882 km peak — manageable with margin, but non-trivial for power-constrained terminals.</w:t>
      </w:r>
    </w:p>
    <w:p w14:paraId="41256E20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000000"/>
          <w:sz w:val="22"/>
          <w:szCs w:val="22"/>
        </w:rPr>
        <w:t>Re-routing requirement: during the 483 violation minutes, the R34 and/or R61 links would need to be routed through alternative paths (e.g., R12→R23→R34 bypass), increasing end-to-end latency.</w:t>
      </w:r>
    </w:p>
    <w:p w14:paraId="4D17F50A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000000"/>
          <w:sz w:val="22"/>
          <w:szCs w:val="22"/>
        </w:rPr>
        <w:t>Manoeuvre need: differential J2 drift is secular — without station-keeping, the separation will continue to grow beyond 24 hours. A periodic in-plane trim burn would be needed to restore the uniform 60° spacing.</w:t>
      </w:r>
    </w:p>
    <w:p w14:paraId="29FD1E39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000000"/>
          <w:sz w:val="22"/>
          <w:szCs w:val="22"/>
        </w:rPr>
        <w:t>Threshold sensitivity: raising the ISL threshold to 8,000 km would eliminate all violations from this simulation. Alternatively, reducing the orbit altitude (decreasing SMA) would reduce the absolute chord lengths proportionally.</w:t>
      </w:r>
    </w:p>
    <w:p w14:paraId="7A8AC710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000000"/>
          <w:sz w:val="22"/>
          <w:szCs w:val="22"/>
        </w:rPr>
        <w:t>Pair selection: R12 and R45 converge to a minimum of ~5,148 km — well within threshold. For missions requiring diversity, these pairs offer the most robust ISL links throughout the 24-hour window.</w:t>
      </w:r>
    </w:p>
    <w:p w14:paraId="07776F7D">
      <w:pPr>
        <w:spacing w:before="0" w:after="120"/>
      </w:pPr>
    </w:p>
    <w:p w14:paraId="75770F82">
      <w:pPr>
        <w:pStyle w:val="2"/>
        <w:pBdr>
          <w:bottom w:val="single" w:color="4472C4" w:sz="6" w:space="0"/>
        </w:pBdr>
        <w:spacing w:before="240" w:after="80"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>6. Comparison with Scenario 04a</w:t>
      </w:r>
    </w:p>
    <w:p w14:paraId="0F755F30">
      <w:pPr>
        <w:spacing w:before="80" w:after="120"/>
      </w:pPr>
      <w:r>
        <w:rPr>
          <w:rFonts w:ascii="Calibri" w:hAnsi="Calibri" w:eastAsia="Calibri" w:cs="Calibri"/>
          <w:color w:val="000000"/>
          <w:sz w:val="22"/>
          <w:szCs w:val="22"/>
        </w:rPr>
        <w:t>Scenario 04a (two co-planar satellites at 45° TA separation) demonstrated monotonic range divergence and a single violating pair. Scenario 04b introduces four additional spacecraft, producing a qualitatively richer behaviour set:</w:t>
      </w:r>
    </w:p>
    <w:p w14:paraId="11DB6C6F">
      <w:pPr>
        <w:spacing w:before="0" w:after="60"/>
      </w:pPr>
    </w:p>
    <w:tbl>
      <w:tblPr>
        <w:tblStyle w:val="9"/>
        <w:tblW w:w="5000" w:type="pct"/>
        <w:tblInd w:w="0" w:type="dxa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66"/>
        <w:gridCol w:w="2895"/>
        <w:gridCol w:w="2986"/>
      </w:tblGrid>
      <w:tr w14:paraId="10E70B31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50" w:type="pct"/>
            <w:shd w:val="clear" w:color="auto" w:fill="4472C4"/>
          </w:tcPr>
          <w:p w14:paraId="26F366FE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1600" w:type="pct"/>
            <w:shd w:val="clear" w:color="auto" w:fill="4472C4"/>
          </w:tcPr>
          <w:p w14:paraId="63B6712C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Scenario 04a (2 Sats)</w:t>
            </w:r>
          </w:p>
        </w:tc>
        <w:tc>
          <w:tcPr>
            <w:tcW w:w="1650" w:type="pct"/>
            <w:shd w:val="clear" w:color="auto" w:fill="4472C4"/>
          </w:tcPr>
          <w:p w14:paraId="4B8FE9E8">
            <w:pPr>
              <w:spacing w:before="60" w:after="6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Scenario 04b (6 Sats)</w:t>
            </w:r>
          </w:p>
        </w:tc>
      </w:tr>
      <w:tr w14:paraId="62F791A6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0" w:type="pct"/>
            <w:shd w:val="clear" w:color="auto" w:fill="auto"/>
          </w:tcPr>
          <w:p w14:paraId="5C8A8353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Spacecraft count</w:t>
            </w:r>
          </w:p>
        </w:tc>
        <w:tc>
          <w:tcPr>
            <w:tcW w:w="1600" w:type="pct"/>
            <w:shd w:val="clear" w:color="auto" w:fill="auto"/>
          </w:tcPr>
          <w:p w14:paraId="54E3CE66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2  (S1, S2)</w:t>
            </w:r>
          </w:p>
        </w:tc>
        <w:tc>
          <w:tcPr>
            <w:tcW w:w="1650" w:type="pct"/>
            <w:shd w:val="clear" w:color="auto" w:fill="auto"/>
          </w:tcPr>
          <w:p w14:paraId="15F8959B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6  (S1–S6)</w:t>
            </w:r>
          </w:p>
        </w:tc>
      </w:tr>
      <w:tr w14:paraId="07766894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0" w:type="pct"/>
            <w:shd w:val="clear" w:color="auto" w:fill="F2F2F2"/>
          </w:tcPr>
          <w:p w14:paraId="24DC1F0B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TA separation</w:t>
            </w:r>
          </w:p>
        </w:tc>
        <w:tc>
          <w:tcPr>
            <w:tcW w:w="1600" w:type="pct"/>
            <w:shd w:val="clear" w:color="auto" w:fill="F2F2F2"/>
          </w:tcPr>
          <w:p w14:paraId="66EAA7BD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45°</w:t>
            </w:r>
          </w:p>
        </w:tc>
        <w:tc>
          <w:tcPr>
            <w:tcW w:w="1650" w:type="pct"/>
            <w:shd w:val="clear" w:color="auto" w:fill="F2F2F2"/>
          </w:tcPr>
          <w:p w14:paraId="71EAEB9B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60° uniform</w:t>
            </w:r>
          </w:p>
        </w:tc>
      </w:tr>
      <w:tr w14:paraId="12C26AFB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0" w:type="pct"/>
            <w:shd w:val="clear" w:color="auto" w:fill="auto"/>
          </w:tcPr>
          <w:p w14:paraId="281195BD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ISL pairs monitored</w:t>
            </w:r>
          </w:p>
        </w:tc>
        <w:tc>
          <w:tcPr>
            <w:tcW w:w="1600" w:type="pct"/>
            <w:shd w:val="clear" w:color="auto" w:fill="auto"/>
          </w:tcPr>
          <w:p w14:paraId="10432F24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1  (R12 only)</w:t>
            </w:r>
          </w:p>
        </w:tc>
        <w:tc>
          <w:tcPr>
            <w:tcW w:w="1650" w:type="pct"/>
            <w:shd w:val="clear" w:color="auto" w:fill="auto"/>
          </w:tcPr>
          <w:p w14:paraId="78CA02D2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6  (R12–R61)</w:t>
            </w:r>
          </w:p>
        </w:tc>
      </w:tr>
      <w:tr w14:paraId="69421767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0" w:type="pct"/>
            <w:shd w:val="clear" w:color="auto" w:fill="F2F2F2"/>
          </w:tcPr>
          <w:p w14:paraId="25222B0B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Initial chord length</w:t>
            </w:r>
          </w:p>
        </w:tc>
        <w:tc>
          <w:tcPr>
            <w:tcW w:w="1600" w:type="pct"/>
            <w:shd w:val="clear" w:color="auto" w:fill="F2F2F2"/>
          </w:tcPr>
          <w:p w14:paraId="6E037315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5,188.5 km</w:t>
            </w:r>
          </w:p>
        </w:tc>
        <w:tc>
          <w:tcPr>
            <w:tcW w:w="1650" w:type="pct"/>
            <w:shd w:val="clear" w:color="auto" w:fill="F2F2F2"/>
          </w:tcPr>
          <w:p w14:paraId="778140A7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6,778.1 km (all pairs)</w:t>
            </w:r>
          </w:p>
        </w:tc>
      </w:tr>
      <w:tr w14:paraId="0C2D9E6C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0" w:type="pct"/>
            <w:shd w:val="clear" w:color="auto" w:fill="auto"/>
          </w:tcPr>
          <w:p w14:paraId="0CCA9E40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Range behaviour</w:t>
            </w:r>
          </w:p>
        </w:tc>
        <w:tc>
          <w:tcPr>
            <w:tcW w:w="1600" w:type="pct"/>
            <w:shd w:val="clear" w:color="auto" w:fill="auto"/>
          </w:tcPr>
          <w:p w14:paraId="3332673B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Monotonic divergence → violation</w:t>
            </w:r>
          </w:p>
        </w:tc>
        <w:tc>
          <w:tcPr>
            <w:tcW w:w="1650" w:type="pct"/>
            <w:shd w:val="clear" w:color="auto" w:fill="auto"/>
          </w:tcPr>
          <w:p w14:paraId="41544870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Mixed: converging + stable + diverging</w:t>
            </w:r>
          </w:p>
        </w:tc>
      </w:tr>
      <w:tr w14:paraId="17D3C09E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0" w:type="pct"/>
            <w:shd w:val="clear" w:color="auto" w:fill="F2F2F2"/>
          </w:tcPr>
          <w:p w14:paraId="25E647A8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Violation threshold</w:t>
            </w:r>
          </w:p>
        </w:tc>
        <w:tc>
          <w:tcPr>
            <w:tcW w:w="1600" w:type="pct"/>
            <w:shd w:val="clear" w:color="auto" w:fill="F2F2F2"/>
          </w:tcPr>
          <w:p w14:paraId="31880FCA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7,500 km</w:t>
            </w:r>
          </w:p>
        </w:tc>
        <w:tc>
          <w:tcPr>
            <w:tcW w:w="1650" w:type="pct"/>
            <w:shd w:val="clear" w:color="auto" w:fill="F2F2F2"/>
          </w:tcPr>
          <w:p w14:paraId="57C0F573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7,500 km</w:t>
            </w:r>
          </w:p>
        </w:tc>
      </w:tr>
      <w:tr w14:paraId="101EE964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0" w:type="pct"/>
            <w:shd w:val="clear" w:color="auto" w:fill="auto"/>
          </w:tcPr>
          <w:p w14:paraId="5EA3F79A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Pairs violating</w:t>
            </w:r>
          </w:p>
        </w:tc>
        <w:tc>
          <w:tcPr>
            <w:tcW w:w="1600" w:type="pct"/>
            <w:shd w:val="clear" w:color="auto" w:fill="auto"/>
          </w:tcPr>
          <w:p w14:paraId="0E67F57F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1  (R12)</w:t>
            </w:r>
          </w:p>
        </w:tc>
        <w:tc>
          <w:tcPr>
            <w:tcW w:w="1650" w:type="pct"/>
            <w:shd w:val="clear" w:color="auto" w:fill="auto"/>
          </w:tcPr>
          <w:p w14:paraId="19446B1E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2  (R34, R61)</w:t>
            </w:r>
          </w:p>
        </w:tc>
      </w:tr>
      <w:tr w14:paraId="131D8269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0" w:type="pct"/>
            <w:shd w:val="clear" w:color="auto" w:fill="F2F2F2"/>
          </w:tcPr>
          <w:p w14:paraId="5FF921E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Violation minutes</w:t>
            </w:r>
          </w:p>
        </w:tc>
        <w:tc>
          <w:tcPr>
            <w:tcW w:w="1600" w:type="pct"/>
            <w:shd w:val="clear" w:color="auto" w:fill="F2F2F2"/>
          </w:tcPr>
          <w:p w14:paraId="43E4C5DA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~297</w:t>
            </w:r>
          </w:p>
        </w:tc>
        <w:tc>
          <w:tcPr>
            <w:tcW w:w="1650" w:type="pct"/>
            <w:shd w:val="clear" w:color="auto" w:fill="F2F2F2"/>
          </w:tcPr>
          <w:p w14:paraId="68684E57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483  (33.5%)</w:t>
            </w:r>
          </w:p>
        </w:tc>
      </w:tr>
      <w:tr w14:paraId="5CC3CC89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0" w:type="pct"/>
            <w:shd w:val="clear" w:color="auto" w:fill="auto"/>
          </w:tcPr>
          <w:p w14:paraId="5E5E9D49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Peak violation range</w:t>
            </w:r>
          </w:p>
        </w:tc>
        <w:tc>
          <w:tcPr>
            <w:tcW w:w="1600" w:type="pct"/>
            <w:shd w:val="clear" w:color="auto" w:fill="auto"/>
          </w:tcPr>
          <w:p w14:paraId="37948B25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~7,650 km</w:t>
            </w:r>
          </w:p>
        </w:tc>
        <w:tc>
          <w:tcPr>
            <w:tcW w:w="1650" w:type="pct"/>
            <w:shd w:val="clear" w:color="auto" w:fill="auto"/>
          </w:tcPr>
          <w:p w14:paraId="301933E9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7,882 km  (R61)</w:t>
            </w:r>
          </w:p>
        </w:tc>
      </w:tr>
      <w:tr w14:paraId="3D4110BF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0" w:type="pct"/>
            <w:shd w:val="clear" w:color="auto" w:fill="F2F2F2"/>
          </w:tcPr>
          <w:p w14:paraId="29996F08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GMAT output files</w:t>
            </w:r>
          </w:p>
        </w:tc>
        <w:tc>
          <w:tcPr>
            <w:tcW w:w="1600" w:type="pct"/>
            <w:shd w:val="clear" w:color="auto" w:fill="F2F2F2"/>
          </w:tcPr>
          <w:p w14:paraId="23877BB0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ISL2Report, Violations</w:t>
            </w:r>
          </w:p>
        </w:tc>
        <w:tc>
          <w:tcPr>
            <w:tcW w:w="1650" w:type="pct"/>
            <w:shd w:val="clear" w:color="auto" w:fill="F2F2F2"/>
          </w:tcPr>
          <w:p w14:paraId="72085400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ISL6Report, ISLViolations</w:t>
            </w:r>
          </w:p>
        </w:tc>
      </w:tr>
      <w:tr w14:paraId="06D83D97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0" w:type="pct"/>
            <w:shd w:val="clear" w:color="auto" w:fill="auto"/>
          </w:tcPr>
          <w:p w14:paraId="6AB17F94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Physical driver</w:t>
            </w:r>
          </w:p>
        </w:tc>
        <w:tc>
          <w:tcPr>
            <w:tcW w:w="1600" w:type="pct"/>
            <w:shd w:val="clear" w:color="auto" w:fill="auto"/>
          </w:tcPr>
          <w:p w14:paraId="1FB0324D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J2 differential drift</w:t>
            </w:r>
          </w:p>
        </w:tc>
        <w:tc>
          <w:tcPr>
            <w:tcW w:w="1650" w:type="pct"/>
            <w:shd w:val="clear" w:color="auto" w:fill="auto"/>
          </w:tcPr>
          <w:p w14:paraId="648365AB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J2 differential drift + pair symmetry</w:t>
            </w:r>
          </w:p>
        </w:tc>
      </w:tr>
    </w:tbl>
    <w:p w14:paraId="742CA478">
      <w:pPr>
        <w:spacing w:before="0" w:after="160"/>
      </w:pPr>
    </w:p>
    <w:p w14:paraId="5842D8BB">
      <w:pPr>
        <w:spacing w:before="80" w:after="120"/>
      </w:pPr>
      <w:r>
        <w:rPr>
          <w:rFonts w:ascii="Calibri" w:hAnsi="Calibri" w:eastAsia="Calibri" w:cs="Calibri"/>
          <w:color w:val="000000"/>
          <w:sz w:val="22"/>
          <w:szCs w:val="22"/>
        </w:rPr>
        <w:t>The key distinction is the emergence of opposite-pair symmetry in the hexagonal constellation: the three pairs of diametrically opposite links (R12/R45, R23/R56, R34/R61) exhibit correlated but mirrored drift behaviours. In the 2-satellite case there is no such structure — the single pair drifts monotonically under J2 with no counterpart to provide the stability or convergence seen in R23/R56 or R12/R45.</w:t>
      </w:r>
    </w:p>
    <w:p w14:paraId="5F20266E">
      <w:pPr>
        <w:spacing w:before="0" w:after="120"/>
      </w:pPr>
    </w:p>
    <w:p w14:paraId="3F4F9D4A">
      <w:r>
        <w:br w:type="page"/>
      </w:r>
    </w:p>
    <w:p w14:paraId="50B70FFE">
      <w:pPr>
        <w:pStyle w:val="2"/>
        <w:pBdr>
          <w:bottom w:val="single" w:color="4472C4" w:sz="6" w:space="0"/>
        </w:pBdr>
        <w:spacing w:before="240" w:after="80"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>7. Conclusions</w:t>
      </w:r>
    </w:p>
    <w:p w14:paraId="765C39C9">
      <w:pPr>
        <w:spacing w:before="80" w:after="120"/>
      </w:pPr>
      <w:r>
        <w:rPr>
          <w:rFonts w:ascii="Calibri" w:hAnsi="Calibri" w:eastAsia="Calibri" w:cs="Calibri"/>
          <w:color w:val="000000"/>
          <w:sz w:val="22"/>
          <w:szCs w:val="22"/>
        </w:rPr>
        <w:t>The Scenario 04b simulation yields the following key findings:</w:t>
      </w:r>
    </w:p>
    <w:p w14:paraId="32C85BC9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000000"/>
          <w:sz w:val="22"/>
          <w:szCs w:val="22"/>
        </w:rPr>
        <w:t>A co-planar hexagonal constellation with 60° spacing exhibits three distinct ISL range evolution modes under J2 perturbation: convergence (R12, R45), stability (R23, R56), and divergence (R34, R61).</w:t>
      </w:r>
    </w:p>
    <w:p w14:paraId="5AD50931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000000"/>
          <w:sz w:val="22"/>
          <w:szCs w:val="22"/>
        </w:rPr>
        <w:t>33.5% of the 24-hour simulation window (483 of 1,440 minutes) experienced at least one violation of the 7,500 km threshold — exclusively on R34 and R61.</w:t>
      </w:r>
    </w:p>
    <w:p w14:paraId="41430B49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000000"/>
          <w:sz w:val="22"/>
          <w:szCs w:val="22"/>
        </w:rPr>
        <w:t>R61 breached the threshold first at 15:58 UTC, with R34 following at 16:06 UTC. R34 dominated the violation count with 952 rows (99.2%) vs. R61's 8 rows.</w:t>
      </w:r>
    </w:p>
    <w:p w14:paraId="00F698AA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000000"/>
          <w:sz w:val="22"/>
          <w:szCs w:val="22"/>
        </w:rPr>
        <w:t>The maximum exceedance reached 7,882 km on R61, approximately 5.1% above the 7,500 km threshold, indicating a moderate but operationally significant violation.</w:t>
      </w:r>
    </w:p>
    <w:p w14:paraId="4B0B19CA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000000"/>
          <w:sz w:val="22"/>
          <w:szCs w:val="22"/>
        </w:rPr>
        <w:t>Pairs R12 and R45 converged to a minimum of ~5,148 km — 31.9% below the initial chord — demonstrating that constellation closeness is also a risk factor (e.g., collision avoidance margin).</w:t>
      </w:r>
    </w:p>
    <w:p w14:paraId="51D443F4">
      <w:pPr>
        <w:pStyle w:val="16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000000"/>
          <w:sz w:val="22"/>
          <w:szCs w:val="22"/>
        </w:rPr>
        <w:t>Without station-keeping, the secular J2 drift will continue beyond 24 hours, progressively worsening the R34/R61 violations and deepening R12/R45 convergence.</w:t>
      </w:r>
    </w:p>
    <w:p w14:paraId="334E09BF">
      <w:pPr>
        <w:spacing w:before="0" w:after="120"/>
      </w:pPr>
    </w:p>
    <w:p w14:paraId="69F6A0BE">
      <w:pPr>
        <w:spacing w:before="80" w:after="120"/>
      </w:pPr>
      <w:r>
        <w:rPr>
          <w:rFonts w:ascii="Calibri" w:hAnsi="Calibri" w:eastAsia="Calibri" w:cs="Calibri"/>
          <w:color w:val="000000"/>
          <w:sz w:val="22"/>
          <w:szCs w:val="22"/>
        </w:rPr>
        <w:t>Scenario 04b demonstrates the value of modelling multi-satellite constellations over extended propagation windows: emergent pair-specific behaviours that are invisible in two-spacecraft simulations (Scenario 04a) become dominant factors in constellation link-budget and collision-avoidance planning.</w:t>
      </w:r>
    </w:p>
    <w:p w14:paraId="00473B1A">
      <w:pPr>
        <w:spacing w:before="0" w:after="120"/>
      </w:pPr>
    </w:p>
    <w:p w14:paraId="24F0CD4E">
      <w:pPr>
        <w:pStyle w:val="2"/>
        <w:pBdr>
          <w:bottom w:val="single" w:color="4472C4" w:sz="6" w:space="0"/>
        </w:pBdr>
        <w:spacing w:before="240" w:after="80"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>8. GMAT Script Reference</w:t>
      </w:r>
    </w:p>
    <w:p w14:paraId="4A8F8A8D">
      <w:pPr>
        <w:spacing w:before="80" w:after="120"/>
      </w:pPr>
      <w:r>
        <w:rPr>
          <w:rFonts w:ascii="Calibri" w:hAnsi="Calibri" w:eastAsia="Calibri" w:cs="Calibri"/>
          <w:color w:val="000000"/>
          <w:sz w:val="22"/>
          <w:szCs w:val="22"/>
        </w:rPr>
        <w:t>The GMAT script for this scenario (04b_6_co-planar_satellites.script) implements the following key elements:</w:t>
      </w:r>
    </w:p>
    <w:p w14:paraId="3ABC633B">
      <w:pPr>
        <w:spacing w:before="0" w:after="60"/>
      </w:pPr>
    </w:p>
    <w:p w14:paraId="211C212B">
      <w:pPr>
        <w:spacing w:before="0" w:after="20"/>
        <w:ind w:left="360"/>
      </w:pPr>
      <w:r>
        <w:rPr>
          <w:rFonts w:ascii="Courier New" w:hAnsi="Courier New" w:eastAsia="Courier New" w:cs="Courier New"/>
          <w:color w:val="000000"/>
          <w:sz w:val="19"/>
          <w:szCs w:val="19"/>
        </w:rPr>
        <w:t>Create Spacecraft S1; GMAT S1.SMA = 6778.14; GMAT S1.ECC = 0;</w:t>
      </w:r>
    </w:p>
    <w:p w14:paraId="0E886A0A">
      <w:pPr>
        <w:spacing w:before="0" w:after="20"/>
        <w:ind w:left="360"/>
      </w:pPr>
      <w:r>
        <w:rPr>
          <w:rFonts w:ascii="Courier New" w:hAnsi="Courier New" w:eastAsia="Courier New" w:cs="Courier New"/>
          <w:color w:val="000000"/>
          <w:sz w:val="19"/>
          <w:szCs w:val="19"/>
        </w:rPr>
        <w:t>GMAT S1.INC = 51.6; GMAT S1.RAAN = 0; GMAT S1.AOP = 0; GMAT S1.TA = 0;</w:t>
      </w:r>
    </w:p>
    <w:p w14:paraId="4C28B5A1">
      <w:pPr>
        <w:spacing w:before="0" w:after="20"/>
        <w:ind w:left="360"/>
      </w:pPr>
      <w:r>
        <w:rPr>
          <w:rFonts w:ascii="Courier New" w:hAnsi="Courier New" w:eastAsia="Courier New" w:cs="Courier New"/>
          <w:color w:val="000000"/>
          <w:sz w:val="19"/>
          <w:szCs w:val="19"/>
        </w:rPr>
        <w:t>Create Spacecraft S2; ... GMAT S2.TA = 60;   % 60° separation</w:t>
      </w:r>
    </w:p>
    <w:p w14:paraId="32349B5F">
      <w:pPr>
        <w:spacing w:before="0" w:after="20"/>
        <w:ind w:left="360"/>
      </w:pPr>
      <w:r>
        <w:rPr>
          <w:rFonts w:ascii="Courier New" w:hAnsi="Courier New" w:eastAsia="Courier New" w:cs="Courier New"/>
          <w:color w:val="000000"/>
          <w:sz w:val="19"/>
          <w:szCs w:val="19"/>
        </w:rPr>
        <w:t>Create Spacecraft S3; ... GMAT S3.TA = 120;  % 120° separation</w:t>
      </w:r>
    </w:p>
    <w:p w14:paraId="5D5C2263">
      <w:pPr>
        <w:spacing w:before="0" w:after="20"/>
        <w:ind w:left="360"/>
      </w:pPr>
      <w:r>
        <w:rPr>
          <w:rFonts w:ascii="Courier New" w:hAnsi="Courier New" w:eastAsia="Courier New" w:cs="Courier New"/>
          <w:color w:val="000000"/>
          <w:sz w:val="19"/>
          <w:szCs w:val="19"/>
        </w:rPr>
        <w:t>Create Spacecraft S4; ... GMAT S4.TA = 180;  % 180° separation</w:t>
      </w:r>
    </w:p>
    <w:p w14:paraId="17312A94">
      <w:pPr>
        <w:spacing w:before="0" w:after="20"/>
        <w:ind w:left="360"/>
      </w:pPr>
      <w:r>
        <w:rPr>
          <w:rFonts w:ascii="Courier New" w:hAnsi="Courier New" w:eastAsia="Courier New" w:cs="Courier New"/>
          <w:color w:val="000000"/>
          <w:sz w:val="19"/>
          <w:szCs w:val="19"/>
        </w:rPr>
        <w:t>Create Spacecraft S5; ... GMAT S5.TA = 240;  % 240° separation</w:t>
      </w:r>
    </w:p>
    <w:p w14:paraId="61F45857">
      <w:pPr>
        <w:spacing w:before="0" w:after="20"/>
        <w:ind w:left="360"/>
      </w:pPr>
      <w:r>
        <w:rPr>
          <w:rFonts w:ascii="Courier New" w:hAnsi="Courier New" w:eastAsia="Courier New" w:cs="Courier New"/>
          <w:color w:val="000000"/>
          <w:sz w:val="19"/>
          <w:szCs w:val="19"/>
        </w:rPr>
        <w:t>Create Spacecraft S6; ... GMAT S6.TA = 300;  % 300° separation</w:t>
      </w:r>
    </w:p>
    <w:p w14:paraId="072AF272">
      <w:pPr>
        <w:spacing w:before="0" w:after="20"/>
        <w:ind w:left="360"/>
      </w:pPr>
      <w:r>
        <w:rPr>
          <w:rFonts w:ascii="Courier New" w:hAnsi="Courier New" w:eastAsia="Courier New" w:cs="Courier New"/>
          <w:color w:val="000000"/>
          <w:sz w:val="19"/>
          <w:szCs w:val="19"/>
        </w:rPr>
        <w:t xml:space="preserve"> </w:t>
      </w:r>
    </w:p>
    <w:p w14:paraId="4AA27E22">
      <w:pPr>
        <w:spacing w:before="0" w:after="20"/>
        <w:ind w:left="360"/>
      </w:pPr>
      <w:r>
        <w:rPr>
          <w:rFonts w:ascii="Courier New" w:hAnsi="Courier New" w:eastAsia="Courier New" w:cs="Courier New"/>
          <w:color w:val="000000"/>
          <w:sz w:val="19"/>
          <w:szCs w:val="19"/>
        </w:rPr>
        <w:t>Create Propagator DefaultProp;</w:t>
      </w:r>
    </w:p>
    <w:p w14:paraId="4AECA67D">
      <w:pPr>
        <w:spacing w:before="0" w:after="20"/>
        <w:ind w:left="360"/>
      </w:pPr>
      <w:r>
        <w:rPr>
          <w:rFonts w:ascii="Courier New" w:hAnsi="Courier New" w:eastAsia="Courier New" w:cs="Courier New"/>
          <w:color w:val="000000"/>
          <w:sz w:val="19"/>
          <w:szCs w:val="19"/>
        </w:rPr>
        <w:t>Create Variable R12 R23 R34 R45 R56 R61 THRESHOLD ANYVIOLATION;</w:t>
      </w:r>
    </w:p>
    <w:p w14:paraId="42FD03C3">
      <w:pPr>
        <w:spacing w:before="0" w:after="20"/>
        <w:ind w:left="360"/>
      </w:pPr>
      <w:r>
        <w:rPr>
          <w:rFonts w:ascii="Courier New" w:hAnsi="Courier New" w:eastAsia="Courier New" w:cs="Courier New"/>
          <w:color w:val="000000"/>
          <w:sz w:val="19"/>
          <w:szCs w:val="19"/>
        </w:rPr>
        <w:t>GMAT THRESHOLD = 7500;</w:t>
      </w:r>
    </w:p>
    <w:p w14:paraId="665DB612">
      <w:pPr>
        <w:spacing w:before="0" w:after="20"/>
        <w:ind w:left="360"/>
      </w:pPr>
      <w:r>
        <w:rPr>
          <w:rFonts w:ascii="Courier New" w:hAnsi="Courier New" w:eastAsia="Courier New" w:cs="Courier New"/>
          <w:color w:val="000000"/>
          <w:sz w:val="19"/>
          <w:szCs w:val="19"/>
        </w:rPr>
        <w:t xml:space="preserve"> </w:t>
      </w:r>
    </w:p>
    <w:p w14:paraId="0310C956">
      <w:pPr>
        <w:spacing w:before="0" w:after="20"/>
        <w:ind w:left="360"/>
      </w:pPr>
      <w:r>
        <w:rPr>
          <w:rFonts w:ascii="Courier New" w:hAnsi="Courier New" w:eastAsia="Courier New" w:cs="Courier New"/>
          <w:color w:val="000000"/>
          <w:sz w:val="19"/>
          <w:szCs w:val="19"/>
        </w:rPr>
        <w:t>Create ReportFile ISL6Report;    % all-clear timesteps only</w:t>
      </w:r>
    </w:p>
    <w:p w14:paraId="0CFCCC2F">
      <w:pPr>
        <w:spacing w:before="0" w:after="20"/>
        <w:ind w:left="360"/>
      </w:pPr>
      <w:r>
        <w:rPr>
          <w:rFonts w:ascii="Courier New" w:hAnsi="Courier New" w:eastAsia="Courier New" w:cs="Courier New"/>
          <w:color w:val="000000"/>
          <w:sz w:val="19"/>
          <w:szCs w:val="19"/>
        </w:rPr>
        <w:t>Create ReportFile ISLViolations; % one row per violating pair</w:t>
      </w:r>
    </w:p>
    <w:p w14:paraId="06FB10D1">
      <w:pPr>
        <w:spacing w:before="0" w:after="20"/>
        <w:ind w:left="360"/>
      </w:pPr>
      <w:r>
        <w:rPr>
          <w:rFonts w:ascii="Courier New" w:hAnsi="Courier New" w:eastAsia="Courier New" w:cs="Courier New"/>
          <w:color w:val="000000"/>
          <w:sz w:val="19"/>
          <w:szCs w:val="19"/>
        </w:rPr>
        <w:t xml:space="preserve"> </w:t>
      </w:r>
    </w:p>
    <w:p w14:paraId="7947AE4F">
      <w:pPr>
        <w:spacing w:before="0" w:after="20"/>
        <w:ind w:left="360"/>
      </w:pPr>
      <w:r>
        <w:rPr>
          <w:rFonts w:ascii="Courier New" w:hAnsi="Courier New" w:eastAsia="Courier New" w:cs="Courier New"/>
          <w:color w:val="000000"/>
          <w:sz w:val="19"/>
          <w:szCs w:val="19"/>
        </w:rPr>
        <w:t>BeginMissionSequence;</w:t>
      </w:r>
    </w:p>
    <w:p w14:paraId="7A80EE12">
      <w:pPr>
        <w:spacing w:before="0" w:after="20"/>
        <w:ind w:left="360"/>
      </w:pPr>
      <w:r>
        <w:rPr>
          <w:rFonts w:ascii="Courier New" w:hAnsi="Courier New" w:eastAsia="Courier New" w:cs="Courier New"/>
          <w:color w:val="000000"/>
          <w:sz w:val="19"/>
          <w:szCs w:val="19"/>
        </w:rPr>
        <w:t>While S1.ElapsedDays &lt; 1</w:t>
      </w:r>
    </w:p>
    <w:p w14:paraId="7490401F">
      <w:pPr>
        <w:spacing w:before="0" w:after="20"/>
        <w:ind w:left="360"/>
      </w:pPr>
      <w:r>
        <w:rPr>
          <w:rFonts w:ascii="Courier New" w:hAnsi="Courier New" w:eastAsia="Courier New" w:cs="Courier New"/>
          <w:color w:val="000000"/>
          <w:sz w:val="19"/>
          <w:szCs w:val="19"/>
        </w:rPr>
        <w:t xml:space="preserve">   Propagate DefaultProp(S1,S2,S3,S4,S5,S6) {S1.ElapsedSecs = 60};</w:t>
      </w:r>
    </w:p>
    <w:p w14:paraId="5259E574">
      <w:pPr>
        <w:spacing w:before="0" w:after="20"/>
        <w:ind w:left="360"/>
      </w:pPr>
      <w:r>
        <w:rPr>
          <w:rFonts w:ascii="Courier New" w:hAnsi="Courier New" w:eastAsia="Courier New" w:cs="Courier New"/>
          <w:color w:val="000000"/>
          <w:sz w:val="19"/>
          <w:szCs w:val="19"/>
        </w:rPr>
        <w:t xml:space="preserve">   R12 = sqrt((S1.EarthMJ2000Eq.X-S2.EarthMJ2000Eq.X)^2 + ...);</w:t>
      </w:r>
    </w:p>
    <w:p w14:paraId="12CF19B6">
      <w:pPr>
        <w:spacing w:before="0" w:after="20"/>
        <w:ind w:left="360"/>
      </w:pPr>
      <w:r>
        <w:rPr>
          <w:rFonts w:ascii="Courier New" w:hAnsi="Courier New" w:eastAsia="Courier New" w:cs="Courier New"/>
          <w:color w:val="000000"/>
          <w:sz w:val="19"/>
          <w:szCs w:val="19"/>
        </w:rPr>
        <w:t xml:space="preserve">   ANYVIOLATION = 0;</w:t>
      </w:r>
    </w:p>
    <w:p w14:paraId="485C8849">
      <w:pPr>
        <w:spacing w:before="0" w:after="20"/>
        <w:ind w:left="360"/>
      </w:pPr>
      <w:r>
        <w:rPr>
          <w:rFonts w:ascii="Courier New" w:hAnsi="Courier New" w:eastAsia="Courier New" w:cs="Courier New"/>
          <w:color w:val="000000"/>
          <w:sz w:val="19"/>
          <w:szCs w:val="19"/>
        </w:rPr>
        <w:t xml:space="preserve">   If R12 &gt; THRESHOLD; ANYVIOLATION = 1; EndIf;</w:t>
      </w:r>
    </w:p>
    <w:p w14:paraId="4D3AB47A">
      <w:pPr>
        <w:spacing w:before="0" w:after="20"/>
        <w:ind w:left="360"/>
      </w:pPr>
      <w:r>
        <w:rPr>
          <w:rFonts w:ascii="Courier New" w:hAnsi="Courier New" w:eastAsia="Courier New" w:cs="Courier New"/>
          <w:color w:val="000000"/>
          <w:sz w:val="19"/>
          <w:szCs w:val="19"/>
        </w:rPr>
        <w:t xml:space="preserve">   ... [repeat for R23–R61]</w:t>
      </w:r>
    </w:p>
    <w:p w14:paraId="116F130C">
      <w:pPr>
        <w:spacing w:before="0" w:after="20"/>
        <w:ind w:left="360"/>
      </w:pPr>
      <w:r>
        <w:rPr>
          <w:rFonts w:ascii="Courier New" w:hAnsi="Courier New" w:eastAsia="Courier New" w:cs="Courier New"/>
          <w:color w:val="000000"/>
          <w:sz w:val="19"/>
          <w:szCs w:val="19"/>
        </w:rPr>
        <w:t xml:space="preserve">   If ANYVIOLATION == 0</w:t>
      </w:r>
    </w:p>
    <w:p w14:paraId="0136BAA1">
      <w:pPr>
        <w:spacing w:before="0" w:after="20"/>
        <w:ind w:left="360"/>
      </w:pPr>
      <w:r>
        <w:rPr>
          <w:rFonts w:ascii="Courier New" w:hAnsi="Courier New" w:eastAsia="Courier New" w:cs="Courier New"/>
          <w:color w:val="000000"/>
          <w:sz w:val="19"/>
          <w:szCs w:val="19"/>
        </w:rPr>
        <w:t xml:space="preserve">      Report ISL6Report S1.UTCGregorian R12 R23 R34 R45 R56 R61;</w:t>
      </w:r>
    </w:p>
    <w:p w14:paraId="29E2D92C">
      <w:pPr>
        <w:spacing w:before="0" w:after="20"/>
        <w:ind w:left="360"/>
      </w:pPr>
      <w:r>
        <w:rPr>
          <w:rFonts w:ascii="Courier New" w:hAnsi="Courier New" w:eastAsia="Courier New" w:cs="Courier New"/>
          <w:color w:val="000000"/>
          <w:sz w:val="19"/>
          <w:szCs w:val="19"/>
        </w:rPr>
        <w:t xml:space="preserve">   EndIf;</w:t>
      </w:r>
    </w:p>
    <w:p w14:paraId="462666DF">
      <w:pPr>
        <w:spacing w:before="0" w:after="20"/>
        <w:ind w:left="360"/>
      </w:pPr>
      <w:r>
        <w:rPr>
          <w:rFonts w:ascii="Courier New" w:hAnsi="Courier New" w:eastAsia="Courier New" w:cs="Courier New"/>
          <w:color w:val="000000"/>
          <w:sz w:val="19"/>
          <w:szCs w:val="19"/>
        </w:rPr>
        <w:t xml:space="preserve">   If R34 &gt; THRESHOLD; Report ISLViolations S1.UTCGregorian R34; EndIf;</w:t>
      </w:r>
    </w:p>
    <w:p w14:paraId="61818A80">
      <w:pPr>
        <w:spacing w:before="0" w:after="20"/>
        <w:ind w:left="360"/>
      </w:pPr>
      <w:r>
        <w:rPr>
          <w:rFonts w:ascii="Courier New" w:hAnsi="Courier New" w:eastAsia="Courier New" w:cs="Courier New"/>
          <w:color w:val="000000"/>
          <w:sz w:val="19"/>
          <w:szCs w:val="19"/>
        </w:rPr>
        <w:t xml:space="preserve">   ... [repeat for R12,R23,R45,R56,R61]</w:t>
      </w:r>
    </w:p>
    <w:p w14:paraId="6158AD5F">
      <w:pPr>
        <w:spacing w:before="0" w:after="20"/>
        <w:ind w:left="360"/>
      </w:pPr>
      <w:r>
        <w:rPr>
          <w:rFonts w:ascii="Courier New" w:hAnsi="Courier New" w:eastAsia="Courier New" w:cs="Courier New"/>
          <w:color w:val="000000"/>
          <w:sz w:val="19"/>
          <w:szCs w:val="19"/>
        </w:rPr>
        <w:t>EndWhile;</w:t>
      </w:r>
    </w:p>
    <w:p w14:paraId="4C120155">
      <w:pPr>
        <w:spacing w:before="0" w:after="120"/>
      </w:pPr>
    </w:p>
    <w:p w14:paraId="768F84A0">
      <w:pPr>
        <w:spacing w:before="80" w:after="120"/>
      </w:pPr>
      <w:r>
        <w:rPr>
          <w:rFonts w:ascii="Calibri" w:hAnsi="Calibri" w:eastAsia="Calibri" w:cs="Calibri"/>
          <w:color w:val="000000"/>
          <w:sz w:val="22"/>
          <w:szCs w:val="22"/>
        </w:rPr>
        <w:t>All property assignment lines use the mandatory GMAT prefix required by GMAT R2022a. The While loop propagates all six spacecraft synchronously using a single Propagate command, ensuring consistent timestamps across all ISL range calculations.</w:t>
      </w:r>
    </w:p>
    <w:p w14:paraId="34924C1A">
      <w:pPr>
        <w:spacing w:before="0" w:after="120"/>
      </w:pPr>
    </w:p>
    <w:sectPr>
      <w:headerReference r:id="rId3" w:type="default"/>
      <w:footerReference r:id="rId4" w:type="default"/>
      <w:pgSz w:w="11907" w:h="16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A57565">
    <w:pPr>
      <w:pBdr>
        <w:top w:val="single" w:color="AAAAAA" w:sz="4" w:space="0"/>
      </w:pBdr>
      <w:spacing w:before="80"/>
      <w:jc w:val="center"/>
    </w:pPr>
    <w:r>
      <w:rPr>
        <w:rFonts w:ascii="Calibri" w:hAnsi="Calibri" w:eastAsia="Calibri" w:cs="Calibri"/>
        <w:color w:val="595959"/>
        <w:sz w:val="18"/>
        <w:szCs w:val="18"/>
      </w:rPr>
      <w:t xml:space="preserve">Co-planar ISL Range Analysis — 6 Satellites, 60° Uniform Spacing  |  Page </w:t>
    </w:r>
    <w:r>
      <w:rPr>
        <w:rFonts w:ascii="Calibri" w:hAnsi="Calibri" w:eastAsia="Calibri" w:cs="Calibri"/>
        <w:color w:val="595959"/>
        <w:sz w:val="18"/>
        <w:szCs w:val="18"/>
      </w:rPr>
      <w:fldChar w:fldCharType="begin"/>
    </w:r>
    <w:r>
      <w:rPr>
        <w:rFonts w:ascii="Calibri" w:hAnsi="Calibri" w:eastAsia="Calibri" w:cs="Calibri"/>
        <w:color w:val="595959"/>
        <w:sz w:val="18"/>
        <w:szCs w:val="18"/>
      </w:rPr>
      <w:instrText xml:space="preserve">PAGE</w:instrText>
    </w:r>
    <w:r>
      <w:rPr>
        <w:rFonts w:ascii="Calibri" w:hAnsi="Calibri" w:eastAsia="Calibri" w:cs="Calibri"/>
        <w:color w:val="595959"/>
        <w:sz w:val="18"/>
        <w:szCs w:val="18"/>
      </w:rPr>
      <w:fldChar w:fldCharType="separate"/>
    </w:r>
    <w:r>
      <w:rPr>
        <w:rFonts w:ascii="Calibri" w:hAnsi="Calibri" w:eastAsia="Calibri" w:cs="Calibri"/>
        <w:color w:val="595959"/>
        <w:sz w:val="18"/>
        <w:szCs w:val="18"/>
      </w:rPr>
      <w:fldChar w:fldCharType="end"/>
    </w:r>
    <w:r>
      <w:rPr>
        <w:rFonts w:ascii="Calibri" w:hAnsi="Calibri" w:eastAsia="Calibri" w:cs="Calibri"/>
        <w:color w:val="595959"/>
        <w:sz w:val="18"/>
        <w:szCs w:val="18"/>
      </w:rPr>
      <w:t xml:space="preserve"> of </w:t>
    </w:r>
    <w:r>
      <w:rPr>
        <w:rFonts w:ascii="Calibri" w:hAnsi="Calibri" w:eastAsia="Calibri" w:cs="Calibri"/>
        <w:color w:val="595959"/>
        <w:sz w:val="18"/>
        <w:szCs w:val="18"/>
      </w:rPr>
      <w:fldChar w:fldCharType="begin"/>
    </w:r>
    <w:r>
      <w:rPr>
        <w:rFonts w:ascii="Calibri" w:hAnsi="Calibri" w:eastAsia="Calibri" w:cs="Calibri"/>
        <w:color w:val="595959"/>
        <w:sz w:val="18"/>
        <w:szCs w:val="18"/>
      </w:rPr>
      <w:instrText xml:space="preserve">NUMPAGES</w:instrText>
    </w:r>
    <w:r>
      <w:rPr>
        <w:rFonts w:ascii="Calibri" w:hAnsi="Calibri" w:eastAsia="Calibri" w:cs="Calibri"/>
        <w:color w:val="595959"/>
        <w:sz w:val="18"/>
        <w:szCs w:val="18"/>
      </w:rPr>
      <w:fldChar w:fldCharType="separate"/>
    </w:r>
    <w:r>
      <w:rPr>
        <w:rFonts w:ascii="Calibri" w:hAnsi="Calibri" w:eastAsia="Calibri" w:cs="Calibri"/>
        <w:color w:val="595959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B6A9E9">
    <w:pPr>
      <w:pBdr>
        <w:bottom w:val="single" w:color="AAAAAA" w:sz="4" w:space="0"/>
      </w:pBdr>
      <w:spacing w:after="80"/>
      <w:jc w:val="right"/>
    </w:pPr>
    <w:r>
      <w:rPr>
        <w:rFonts w:ascii="Calibri" w:hAnsi="Calibri" w:eastAsia="Calibri" w:cs="Calibri"/>
        <w:color w:val="595959"/>
        <w:sz w:val="18"/>
        <w:szCs w:val="18"/>
      </w:rPr>
      <w:t>GMAT Astrodynamics Portfolio  |  Scenario 04b  |  Stephen O. Ogodo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doNotDisplayPageBoundaries w:val="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83937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basedOn w:val="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basedOn w:val="1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basedOn w:val="1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basedOn w:val="1"/>
    <w:next w:val="1"/>
    <w:qFormat/>
    <w:uiPriority w:val="0"/>
    <w:rPr>
      <w:sz w:val="56"/>
      <w:szCs w:val="56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4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2026-10-26T07:43:00Z</dcterms:created>
  <dc:creator>Un-named</dc:creator>
  <cp:lastModifiedBy>stephen Ogodo</cp:lastModifiedBy>
  <dcterms:modified xsi:type="dcterms:W3CDTF">2026-10-26T07:50:58Z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72818A1697F94E36BB3A04E418A7CFC4_12</vt:lpwstr>
  </property>
</Properties>
</file>