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1DD3C">
      <w:pPr>
        <w:spacing w:before="0" w:after="1200"/>
      </w:pPr>
    </w:p>
    <w:p w14:paraId="3F236178">
      <w:pPr>
        <w:spacing w:before="0" w:after="160"/>
        <w:jc w:val="center"/>
      </w:pPr>
      <w:r>
        <w:rPr>
          <w:b/>
          <w:bCs/>
          <w:caps/>
          <w:color w:val="2E74B5"/>
          <w:spacing w:val="100"/>
          <w:sz w:val="26"/>
          <w:szCs w:val="26"/>
        </w:rPr>
        <w:t>GMAT ASTRODYNAMICS PORTFOLIO</w:t>
      </w:r>
    </w:p>
    <w:p w14:paraId="2FD74CCA">
      <w:pPr>
        <w:spacing w:before="0" w:after="160"/>
        <w:jc w:val="center"/>
      </w:pPr>
      <w:r>
        <w:rPr>
          <w:b/>
          <w:bCs/>
          <w:color w:val="1F3864"/>
          <w:sz w:val="72"/>
          <w:szCs w:val="72"/>
        </w:rPr>
        <w:t>SCENARIO 06</w:t>
      </w:r>
    </w:p>
    <w:p w14:paraId="206CF9A1">
      <w:pPr>
        <w:spacing w:before="0" w:after="120"/>
        <w:jc w:val="center"/>
      </w:pPr>
      <w:r>
        <w:rPr>
          <w:b/>
          <w:bCs/>
          <w:color w:val="2E74B5"/>
          <w:sz w:val="40"/>
          <w:szCs w:val="40"/>
        </w:rPr>
        <w:t>Hohmann Transfer Orbit Restoration</w:t>
      </w:r>
    </w:p>
    <w:p w14:paraId="28A29655">
      <w:pPr>
        <w:spacing w:before="0" w:after="800"/>
        <w:jc w:val="center"/>
      </w:pPr>
      <w:r>
        <w:rPr>
          <w:i/>
          <w:iCs/>
          <w:color w:val="404040"/>
          <w:sz w:val="24"/>
          <w:szCs w:val="24"/>
        </w:rPr>
        <w:t>Two-Impulse Manoeuvre | Impulsive Burn Model | GMAT R2022a</w:t>
      </w:r>
    </w:p>
    <w:p w14:paraId="5FAF0B6C">
      <w:pPr>
        <w:pBdr>
          <w:bottom w:val="single" w:color="2E74B5" w:sz="6" w:space="0"/>
        </w:pBdr>
        <w:spacing w:before="80" w:after="80"/>
      </w:pPr>
    </w:p>
    <w:p w14:paraId="253B897D">
      <w:pPr>
        <w:spacing w:before="0" w:after="240"/>
      </w:pPr>
    </w:p>
    <w:p w14:paraId="5ECAE895">
      <w:pPr>
        <w:spacing w:before="0" w:after="80"/>
        <w:jc w:val="center"/>
      </w:pPr>
      <w:r>
        <w:rPr>
          <w:b/>
          <w:bCs/>
          <w:color w:val="1F3864"/>
          <w:sz w:val="26"/>
          <w:szCs w:val="26"/>
        </w:rPr>
        <w:t>Stephen Ogodo</w:t>
      </w:r>
    </w:p>
    <w:p w14:paraId="07BAF4D3">
      <w:pPr>
        <w:spacing w:before="0" w:after="80"/>
        <w:jc w:val="center"/>
      </w:pPr>
      <w:r>
        <w:rPr>
          <w:i/>
          <w:iCs/>
          <w:color w:val="404040"/>
          <w:sz w:val="22"/>
          <w:szCs w:val="22"/>
        </w:rPr>
        <w:t>Flight Dynamics Engineer | LEO Satellite Operations</w:t>
      </w:r>
    </w:p>
    <w:p w14:paraId="52E4723F">
      <w:pPr>
        <w:spacing w:before="0" w:after="1200"/>
        <w:jc w:val="center"/>
      </w:pPr>
      <w:r>
        <w:rPr>
          <w:color w:val="404040"/>
          <w:sz w:val="22"/>
          <w:szCs w:val="22"/>
        </w:rPr>
        <w:t>October 2026</w:t>
      </w:r>
    </w:p>
    <w:p w14:paraId="42B6BD4D">
      <w:pPr>
        <w:spacing w:before="0" w:after="400"/>
      </w:pPr>
    </w:p>
    <w:p w14:paraId="38239D84">
      <w:pPr>
        <w:pBdr>
          <w:top w:val="single" w:color="2E74B5" w:sz="4" w:space="0"/>
          <w:bottom w:val="single" w:color="2E74B5" w:sz="4" w:space="0"/>
        </w:pBdr>
        <w:spacing w:before="120" w:after="120"/>
        <w:jc w:val="center"/>
      </w:pPr>
      <w:r>
        <w:rPr>
          <w:caps/>
          <w:color w:val="2E74B5"/>
          <w:spacing w:val="80"/>
          <w:sz w:val="18"/>
          <w:szCs w:val="18"/>
        </w:rPr>
        <w:t>PORTFOLIO DOCUMENT — FOR PROFESSIONAL REVIEW PURPOSES</w:t>
      </w:r>
    </w:p>
    <w:p w14:paraId="23A7E21D">
      <w:r>
        <w:br w:type="page"/>
      </w:r>
    </w:p>
    <w:p w14:paraId="5E5B867E">
      <w:pPr>
        <w:pStyle w:val="2"/>
        <w:spacing w:before="360" w:after="120"/>
        <w:rPr>
          <w:b/>
          <w:bCs/>
          <w:color w:val="1F3864"/>
          <w:sz w:val="32"/>
          <w:szCs w:val="32"/>
        </w:rPr>
      </w:pPr>
      <w:r>
        <w:t>1. Executive Summary</w:t>
      </w:r>
    </w:p>
    <w:p w14:paraId="348C2AA4">
      <w:pPr>
        <w:spacing w:before="60" w:after="100"/>
        <w:jc w:val="both"/>
      </w:pPr>
      <w:r>
        <w:rPr>
          <w:color w:val="000000"/>
          <w:sz w:val="22"/>
          <w:szCs w:val="22"/>
        </w:rPr>
        <w:t>This report documents Scenario 06 of the GMAT Astrodynamics Portfolio: a two-impulse Hohmann transfer manoeuvre that restores a LEO satellite from a drag-degraded orbit to its nominal operational altitude. The scenario demonstrates the complete manoeuvre planning pipeline — analytical Delta-V derivation in Python, GMAT script implementation, and numerical verification — mirroring the process used in real LEO satellite flight dynamics operations.</w:t>
      </w:r>
    </w:p>
    <w:p w14:paraId="18C33574">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18CD4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shd w:val="clear" w:color="auto" w:fill="1F3864"/>
          </w:tcPr>
          <w:p w14:paraId="6209643F">
            <w:pPr>
              <w:spacing w:before="60" w:after="60"/>
              <w:jc w:val="center"/>
            </w:pPr>
            <w:r>
              <w:rPr>
                <w:b/>
                <w:bCs/>
                <w:caps/>
                <w:color w:val="FFFFFF"/>
                <w:spacing w:val="60"/>
                <w:sz w:val="22"/>
                <w:szCs w:val="22"/>
              </w:rPr>
              <w:t>KEY RESULTS</w:t>
            </w:r>
          </w:p>
        </w:tc>
      </w:tr>
      <w:tr w14:paraId="0F3A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BDD7EE"/>
          </w:tcPr>
          <w:p w14:paraId="359D9831">
            <w:pPr>
              <w:spacing w:before="60" w:after="60"/>
            </w:pPr>
            <w:r>
              <w:rPr>
                <w:b/>
                <w:bCs/>
                <w:color w:val="1F3864"/>
                <w:sz w:val="20"/>
                <w:szCs w:val="20"/>
              </w:rPr>
              <w:t>SMA correction</w:t>
            </w:r>
          </w:p>
        </w:tc>
        <w:tc>
          <w:tcPr>
            <w:tcW w:w="5616" w:type="dxa"/>
            <w:shd w:val="clear" w:color="auto" w:fill="BDD7EE"/>
          </w:tcPr>
          <w:p w14:paraId="07868299">
            <w:pPr>
              <w:spacing w:before="60" w:after="60"/>
            </w:pPr>
            <w:r>
              <w:rPr>
                <w:color w:val="000000"/>
                <w:sz w:val="20"/>
                <w:szCs w:val="20"/>
              </w:rPr>
              <w:t>6758.14 km  --&gt;  6778.14 km  (+20.00 km)</w:t>
            </w:r>
          </w:p>
        </w:tc>
      </w:tr>
      <w:tr w14:paraId="520CB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FFFFFF"/>
          </w:tcPr>
          <w:p w14:paraId="6E5C6472">
            <w:pPr>
              <w:spacing w:before="60" w:after="60"/>
            </w:pPr>
            <w:r>
              <w:rPr>
                <w:b/>
                <w:bCs/>
                <w:color w:val="1F3864"/>
                <w:sz w:val="20"/>
                <w:szCs w:val="20"/>
              </w:rPr>
              <w:t>Target SMA achieved</w:t>
            </w:r>
          </w:p>
        </w:tc>
        <w:tc>
          <w:tcPr>
            <w:tcW w:w="5616" w:type="dxa"/>
            <w:shd w:val="clear" w:color="auto" w:fill="FFFFFF"/>
          </w:tcPr>
          <w:p w14:paraId="0F112573">
            <w:pPr>
              <w:spacing w:before="60" w:after="60"/>
            </w:pPr>
            <w:r>
              <w:rPr>
                <w:color w:val="000000"/>
                <w:sz w:val="20"/>
                <w:szCs w:val="20"/>
              </w:rPr>
              <w:t>6778.060 km  (error: -80 m, 0.001%)</w:t>
            </w:r>
          </w:p>
        </w:tc>
      </w:tr>
      <w:tr w14:paraId="74D1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BDD7EE"/>
          </w:tcPr>
          <w:p w14:paraId="799EC1E4">
            <w:pPr>
              <w:spacing w:before="60" w:after="60"/>
            </w:pPr>
            <w:r>
              <w:rPr>
                <w:b/>
                <w:bCs/>
                <w:color w:val="1F3864"/>
                <w:sz w:val="20"/>
                <w:szCs w:val="20"/>
              </w:rPr>
              <w:t>Delta-V (Burn 1 + Burn 2)</w:t>
            </w:r>
          </w:p>
        </w:tc>
        <w:tc>
          <w:tcPr>
            <w:tcW w:w="5616" w:type="dxa"/>
            <w:shd w:val="clear" w:color="auto" w:fill="BDD7EE"/>
          </w:tcPr>
          <w:p w14:paraId="07A64AE2">
            <w:pPr>
              <w:spacing w:before="60" w:after="60"/>
            </w:pPr>
            <w:r>
              <w:rPr>
                <w:color w:val="000000"/>
                <w:sz w:val="20"/>
                <w:szCs w:val="20"/>
              </w:rPr>
              <w:t>5.671 m/s + 5.667 m/s = 11.338 m/s total</w:t>
            </w:r>
          </w:p>
        </w:tc>
      </w:tr>
      <w:tr w14:paraId="725C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FFFFFF"/>
          </w:tcPr>
          <w:p w14:paraId="26A70DDC">
            <w:pPr>
              <w:spacing w:before="60" w:after="60"/>
            </w:pPr>
            <w:r>
              <w:rPr>
                <w:b/>
                <w:bCs/>
                <w:color w:val="1F3864"/>
                <w:sz w:val="20"/>
                <w:szCs w:val="20"/>
              </w:rPr>
              <w:t>Residual ECC post-manoeuvre</w:t>
            </w:r>
          </w:p>
        </w:tc>
        <w:tc>
          <w:tcPr>
            <w:tcW w:w="5616" w:type="dxa"/>
            <w:shd w:val="clear" w:color="auto" w:fill="FFFFFF"/>
          </w:tcPr>
          <w:p w14:paraId="39A2BEAA">
            <w:pPr>
              <w:spacing w:before="60" w:after="60"/>
            </w:pPr>
            <w:r>
              <w:rPr>
                <w:color w:val="000000"/>
                <w:sz w:val="20"/>
                <w:szCs w:val="20"/>
              </w:rPr>
              <w:t>0.000077  (near-circular; &lt; 0.0001 threshold)</w:t>
            </w:r>
          </w:p>
        </w:tc>
      </w:tr>
      <w:tr w14:paraId="5447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BDD7EE"/>
          </w:tcPr>
          <w:p w14:paraId="617292F3">
            <w:pPr>
              <w:spacing w:before="60" w:after="60"/>
            </w:pPr>
            <w:r>
              <w:rPr>
                <w:b/>
                <w:bCs/>
                <w:color w:val="1F3864"/>
                <w:sz w:val="20"/>
                <w:szCs w:val="20"/>
              </w:rPr>
              <w:t>Manoeuvre duration</w:t>
            </w:r>
          </w:p>
        </w:tc>
        <w:tc>
          <w:tcPr>
            <w:tcW w:w="5616" w:type="dxa"/>
            <w:shd w:val="clear" w:color="auto" w:fill="BDD7EE"/>
          </w:tcPr>
          <w:p w14:paraId="78DDF0A2">
            <w:pPr>
              <w:spacing w:before="60" w:after="60"/>
            </w:pPr>
            <w:r>
              <w:rPr>
                <w:color w:val="000000"/>
                <w:sz w:val="20"/>
                <w:szCs w:val="20"/>
              </w:rPr>
              <w:t>Burn 1 at 02:18:45 UTC  |  Burn 2 at 03:04:28 UTC</w:t>
            </w:r>
          </w:p>
        </w:tc>
      </w:tr>
      <w:tr w14:paraId="42FD5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FFFFFF"/>
          </w:tcPr>
          <w:p w14:paraId="59108E21">
            <w:pPr>
              <w:spacing w:before="60" w:after="60"/>
            </w:pPr>
            <w:r>
              <w:rPr>
                <w:b/>
                <w:bCs/>
                <w:color w:val="1F3864"/>
                <w:sz w:val="20"/>
                <w:szCs w:val="20"/>
              </w:rPr>
              <w:t>INC change</w:t>
            </w:r>
          </w:p>
        </w:tc>
        <w:tc>
          <w:tcPr>
            <w:tcW w:w="5616" w:type="dxa"/>
            <w:shd w:val="clear" w:color="auto" w:fill="FFFFFF"/>
          </w:tcPr>
          <w:p w14:paraId="390DB603">
            <w:pPr>
              <w:spacing w:before="60" w:after="60"/>
            </w:pPr>
            <w:r>
              <w:rPr>
                <w:color w:val="000000"/>
                <w:sz w:val="20"/>
                <w:szCs w:val="20"/>
              </w:rPr>
              <w:t>51.600 deg  --&gt;  51.601 deg  (J2 nodal regression; acceptable)</w:t>
            </w:r>
          </w:p>
        </w:tc>
      </w:tr>
      <w:tr w14:paraId="6DD9D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BDD7EE"/>
          </w:tcPr>
          <w:p w14:paraId="0262A6FD">
            <w:pPr>
              <w:spacing w:before="60" w:after="60"/>
            </w:pPr>
            <w:r>
              <w:rPr>
                <w:b/>
                <w:bCs/>
                <w:color w:val="1F3864"/>
                <w:sz w:val="20"/>
                <w:szCs w:val="20"/>
              </w:rPr>
              <w:t>Simulation tool</w:t>
            </w:r>
          </w:p>
        </w:tc>
        <w:tc>
          <w:tcPr>
            <w:tcW w:w="5616" w:type="dxa"/>
            <w:shd w:val="clear" w:color="auto" w:fill="BDD7EE"/>
          </w:tcPr>
          <w:p w14:paraId="39F50B73">
            <w:pPr>
              <w:spacing w:before="60" w:after="60"/>
            </w:pPr>
            <w:r>
              <w:rPr>
                <w:color w:val="000000"/>
                <w:sz w:val="20"/>
                <w:szCs w:val="20"/>
              </w:rPr>
              <w:t>GMAT R2022a | RK89 | 4x4 Earth gravity</w:t>
            </w:r>
          </w:p>
        </w:tc>
      </w:tr>
      <w:tr w14:paraId="357E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FFFFFF"/>
          </w:tcPr>
          <w:p w14:paraId="2443FD96">
            <w:pPr>
              <w:spacing w:before="60" w:after="60"/>
            </w:pPr>
            <w:r>
              <w:rPr>
                <w:b/>
                <w:bCs/>
                <w:color w:val="1F3864"/>
                <w:sz w:val="20"/>
                <w:szCs w:val="20"/>
              </w:rPr>
              <w:t>Pre-computation method</w:t>
            </w:r>
          </w:p>
        </w:tc>
        <w:tc>
          <w:tcPr>
            <w:tcW w:w="5616" w:type="dxa"/>
            <w:shd w:val="clear" w:color="auto" w:fill="FFFFFF"/>
          </w:tcPr>
          <w:p w14:paraId="4AAD145A">
            <w:pPr>
              <w:spacing w:before="60" w:after="60"/>
            </w:pPr>
            <w:r>
              <w:rPr>
                <w:color w:val="000000"/>
                <w:sz w:val="20"/>
                <w:szCs w:val="20"/>
              </w:rPr>
              <w:t>Python vis-viva (Hohmann_Transfer_Delta-V_Calculator.py)</w:t>
            </w:r>
          </w:p>
        </w:tc>
      </w:tr>
    </w:tbl>
    <w:p w14:paraId="377CD53C">
      <w:pPr>
        <w:spacing w:before="0" w:after="160"/>
      </w:pPr>
    </w:p>
    <w:p w14:paraId="28654ABE">
      <w:pPr>
        <w:pStyle w:val="2"/>
        <w:spacing w:before="360" w:after="120"/>
        <w:rPr>
          <w:b/>
          <w:bCs/>
          <w:color w:val="1F3864"/>
          <w:sz w:val="32"/>
          <w:szCs w:val="32"/>
        </w:rPr>
      </w:pPr>
      <w:r>
        <w:t>2. Scenario Background and Mission Context</w:t>
      </w:r>
    </w:p>
    <w:p w14:paraId="4A3B07D2">
      <w:pPr>
        <w:pStyle w:val="3"/>
        <w:spacing w:before="280" w:after="80"/>
        <w:rPr>
          <w:b/>
          <w:bCs/>
          <w:color w:val="2E74B5"/>
          <w:sz w:val="26"/>
          <w:szCs w:val="26"/>
        </w:rPr>
      </w:pPr>
      <w:r>
        <w:t>2.1  Operational Motivation</w:t>
      </w:r>
    </w:p>
    <w:p w14:paraId="2BDE7039">
      <w:pPr>
        <w:spacing w:before="60" w:after="100"/>
        <w:jc w:val="both"/>
      </w:pPr>
      <w:r>
        <w:rPr>
          <w:color w:val="000000"/>
          <w:sz w:val="22"/>
          <w:szCs w:val="22"/>
        </w:rPr>
        <w:t>In real LEO satellite operations, atmospheric drag continuously removes energy from the orbit, causing the semi-major axis (SMA) to decay over time. If station-keeping burns are delayed — due to an anomaly, ground contact outage, or planned gap — the satellite sinks below its nominal altitude. This scenario models the corrective response: a Hohmann transfer that restores the satellite from a degraded orbit (SMA = 6758.14 km, approximately 387 km altitude) back to the nominal operational orbit (SMA = 6778.14 km, approximately 407 km altitude).</w:t>
      </w:r>
    </w:p>
    <w:p w14:paraId="47FAC7D6">
      <w:pPr>
        <w:spacing w:before="60" w:after="100"/>
        <w:jc w:val="both"/>
      </w:pPr>
      <w:r>
        <w:rPr>
          <w:color w:val="000000"/>
          <w:sz w:val="22"/>
          <w:szCs w:val="22"/>
        </w:rPr>
        <w:t>This 20 km SMA correction with only 11.338 m/s of total Delta-V illustrates the fuel efficiency of the two-impulse Hohmann transfer vs. a direct single burn. For comparison, the same altitude change via a single impulsive burn would require slightly more Delta-V and leave the orbit with non-trivial eccentricity — both are operationally undesirable.</w:t>
      </w:r>
    </w:p>
    <w:p w14:paraId="10D4C2AD">
      <w:pPr>
        <w:pStyle w:val="3"/>
        <w:spacing w:before="280" w:after="80"/>
        <w:rPr>
          <w:b/>
          <w:bCs/>
          <w:color w:val="2E74B5"/>
          <w:sz w:val="26"/>
          <w:szCs w:val="26"/>
        </w:rPr>
      </w:pPr>
      <w:r>
        <w:t>2.2  Parallel to NigComSat Operations</w:t>
      </w:r>
    </w:p>
    <w:p w14:paraId="0EA578BB">
      <w:pPr>
        <w:spacing w:before="60" w:after="100"/>
        <w:jc w:val="both"/>
      </w:pPr>
      <w:r>
        <w:rPr>
          <w:color w:val="000000"/>
          <w:sz w:val="22"/>
          <w:szCs w:val="22"/>
        </w:rPr>
        <w:t>The Hohmann transfer principle underlies GEO East-West station-keeping (EWSK) as well as LEO altitude restoration. At NigComSat-1R, every station-keeping Telecommand upload specifies a finite-burn duration computed from the impulsive Delta-V derived by exactly this method. The impulsive model (this scenario) is the starting point; the finite-burn simulation with a differential corrector (Scenario 08) is the next step in the pipeline. Together they demonstrate the complete manoeuvre planning workflow used in real operations.</w:t>
      </w:r>
    </w:p>
    <w:p w14:paraId="798BF44C">
      <w:pPr>
        <w:pStyle w:val="3"/>
        <w:spacing w:before="280" w:after="80"/>
        <w:rPr>
          <w:b/>
          <w:bCs/>
          <w:color w:val="2E74B5"/>
          <w:sz w:val="26"/>
          <w:szCs w:val="26"/>
        </w:rPr>
      </w:pPr>
      <w:r>
        <w:t>2.3  Relationship to Scenario 08 (Finite Burn)</w:t>
      </w:r>
    </w:p>
    <w:p w14:paraId="21229F6A">
      <w:pPr>
        <w:spacing w:before="60" w:after="100"/>
        <w:jc w:val="both"/>
      </w:pPr>
      <w:r>
        <w:rPr>
          <w:b/>
          <w:bCs/>
          <w:color w:val="000000"/>
          <w:sz w:val="22"/>
          <w:szCs w:val="22"/>
        </w:rPr>
        <w:t xml:space="preserve">Impulsive burns (Scenario 06) </w:t>
      </w:r>
      <w:r>
        <w:rPr>
          <w:color w:val="000000"/>
          <w:sz w:val="22"/>
          <w:szCs w:val="22"/>
        </w:rPr>
        <w:t>are a mathematical idealisation — the burn duration is assumed zero and all Delta-V is applied instantaneously at the optimal point. This yields exact closed-form solutions from the vis-viva equation and no differential corrector (DC) is needed.</w:t>
      </w:r>
    </w:p>
    <w:p w14:paraId="4AFB005C">
      <w:pPr>
        <w:spacing w:before="60" w:after="100"/>
        <w:jc w:val="both"/>
      </w:pPr>
      <w:r>
        <w:rPr>
          <w:b/>
          <w:bCs/>
          <w:color w:val="000000"/>
          <w:sz w:val="22"/>
          <w:szCs w:val="22"/>
        </w:rPr>
        <w:t xml:space="preserve">Finite burns (Scenario 08) </w:t>
      </w:r>
      <w:r>
        <w:rPr>
          <w:color w:val="000000"/>
          <w:sz w:val="22"/>
          <w:szCs w:val="22"/>
        </w:rPr>
        <w:t>are what physically occurs. A thruster fires for minutes, the orbit changes continuously during the burn arc, residual eccentricity is unavoidable, and a DC must iterate to find the correct burn duration. The Scenario 06 Delta-V is the input to that process, not the final answer.</w:t>
      </w:r>
    </w:p>
    <w:p w14:paraId="1C49495E">
      <w:pPr>
        <w:spacing w:before="60" w:after="100"/>
        <w:jc w:val="both"/>
      </w:pPr>
      <w:r>
        <w:rPr>
          <w:color w:val="000000"/>
          <w:sz w:val="22"/>
          <w:szCs w:val="22"/>
        </w:rPr>
        <w:t>This is the reason Scenario 06 required no iteration and converged on the first GMAT run: the physics were fully determined analytically before any simulation began. The physics-first methodology — Python pre-computation, then GMAT implementation — is a core principle of this portfolio.</w:t>
      </w:r>
    </w:p>
    <w:p w14:paraId="4AA2672E">
      <w:r>
        <w:br w:type="page"/>
      </w:r>
    </w:p>
    <w:p w14:paraId="5DF55002">
      <w:pPr>
        <w:pStyle w:val="2"/>
        <w:spacing w:before="360" w:after="120"/>
        <w:rPr>
          <w:b/>
          <w:bCs/>
          <w:color w:val="1F3864"/>
          <w:sz w:val="32"/>
          <w:szCs w:val="32"/>
        </w:rPr>
      </w:pPr>
      <w:r>
        <w:t>3. Orbital Mechanics and Delta-V Derivation</w:t>
      </w:r>
    </w:p>
    <w:p w14:paraId="2BE32802">
      <w:pPr>
        <w:pStyle w:val="3"/>
        <w:spacing w:before="280" w:after="80"/>
        <w:rPr>
          <w:b/>
          <w:bCs/>
          <w:color w:val="2E74B5"/>
          <w:sz w:val="26"/>
          <w:szCs w:val="26"/>
        </w:rPr>
      </w:pPr>
      <w:r>
        <w:t>3.1  Hohmann Transfer Geometry</w:t>
      </w:r>
    </w:p>
    <w:p w14:paraId="3CA284EA">
      <w:pPr>
        <w:spacing w:before="60" w:after="100"/>
        <w:jc w:val="both"/>
      </w:pPr>
      <w:r>
        <w:rPr>
          <w:color w:val="000000"/>
          <w:sz w:val="22"/>
          <w:szCs w:val="22"/>
        </w:rPr>
        <w:t>A Hohmann transfer between two circular orbits is the most fuel-efficient two-impulse manoeuvre when the altitude difference is less than approximately 11.94 times the lower orbit radius (always true for LEO corrections). The transfer orbit is an ellipse whose perigee coincides with the initial circular orbit and whose apogee coincides with the target circular orbit.</w:t>
      </w:r>
    </w:p>
    <w:p w14:paraId="57DEF3C1">
      <w:pPr>
        <w:spacing w:before="60" w:after="100"/>
        <w:jc w:val="both"/>
      </w:pPr>
      <w:r>
        <w:rPr>
          <w:color w:val="000000"/>
          <w:sz w:val="22"/>
          <w:szCs w:val="22"/>
        </w:rPr>
        <w:t xml:space="preserve">For Scenario 06: perigee radius </w:t>
      </w:r>
      <w:r>
        <w:rPr>
          <w:b/>
          <w:bCs/>
          <w:color w:val="000000"/>
          <w:sz w:val="22"/>
          <w:szCs w:val="22"/>
        </w:rPr>
        <w:t>r1 = 6758.14 km</w:t>
      </w:r>
      <w:r>
        <w:rPr>
          <w:color w:val="000000"/>
          <w:sz w:val="22"/>
          <w:szCs w:val="22"/>
        </w:rPr>
        <w:t xml:space="preserve">, apogee radius </w:t>
      </w:r>
      <w:r>
        <w:rPr>
          <w:b/>
          <w:bCs/>
          <w:color w:val="000000"/>
          <w:sz w:val="22"/>
          <w:szCs w:val="22"/>
        </w:rPr>
        <w:t>r2 = 6778.14 km</w:t>
      </w:r>
      <w:r>
        <w:rPr>
          <w:color w:val="000000"/>
          <w:sz w:val="22"/>
          <w:szCs w:val="22"/>
        </w:rPr>
        <w:t xml:space="preserve">, transfer ellipse semi-major axis </w:t>
      </w:r>
      <w:r>
        <w:rPr>
          <w:b/>
          <w:bCs/>
          <w:color w:val="000000"/>
          <w:sz w:val="22"/>
          <w:szCs w:val="22"/>
        </w:rPr>
        <w:t>a_t = (r1 + r2)/2 = 6768.14 km</w:t>
      </w:r>
      <w:r>
        <w:rPr>
          <w:color w:val="000000"/>
          <w:sz w:val="22"/>
          <w:szCs w:val="22"/>
        </w:rPr>
        <w:t>.</w:t>
      </w:r>
    </w:p>
    <w:p w14:paraId="246F9DDC">
      <w:pPr>
        <w:pStyle w:val="3"/>
        <w:spacing w:before="280" w:after="80"/>
        <w:rPr>
          <w:b/>
          <w:bCs/>
          <w:color w:val="2E74B5"/>
          <w:sz w:val="26"/>
          <w:szCs w:val="26"/>
        </w:rPr>
      </w:pPr>
      <w:r>
        <w:t>3.2  Vis-Viva Derivation (from Hohmann_Transfer_Delta-V_Calculator.py)</w:t>
      </w:r>
    </w:p>
    <w:p w14:paraId="0DC79B1D">
      <w:pPr>
        <w:spacing w:before="60" w:after="100"/>
        <w:jc w:val="both"/>
      </w:pPr>
      <w:r>
        <w:rPr>
          <w:color w:val="000000"/>
          <w:sz w:val="22"/>
          <w:szCs w:val="22"/>
        </w:rPr>
        <w:t>The vis-viva equation gives orbital speed at any point in an orbit:</w:t>
      </w:r>
    </w:p>
    <w:p w14:paraId="1DE33890">
      <w:pPr>
        <w:spacing w:before="80" w:after="80"/>
        <w:jc w:val="center"/>
      </w:pPr>
      <w:r>
        <w:rPr>
          <w:rFonts w:ascii="Courier New" w:hAnsi="Courier New" w:eastAsia="Courier New" w:cs="Courier New"/>
          <w:b/>
          <w:bCs/>
          <w:color w:val="1F497D"/>
          <w:sz w:val="22"/>
          <w:szCs w:val="22"/>
        </w:rPr>
        <w:t xml:space="preserve">    v = sqrt( mu * (2/r - 1/a) )</w:t>
      </w:r>
    </w:p>
    <w:p w14:paraId="6B8BD19D">
      <w:pPr>
        <w:spacing w:before="60" w:after="100"/>
        <w:jc w:val="both"/>
      </w:pPr>
      <w:r>
        <w:rPr>
          <w:color w:val="000000"/>
          <w:sz w:val="22"/>
          <w:szCs w:val="22"/>
        </w:rPr>
        <w:t>where mu = 398600.4418 km3/s2 (Earth gravitational parameter). Applying this equation at the four key orbital points:</w:t>
      </w:r>
    </w:p>
    <w:p w14:paraId="50620C1E">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57"/>
        <w:gridCol w:w="1872"/>
        <w:gridCol w:w="1872"/>
        <w:gridCol w:w="2059"/>
      </w:tblGrid>
      <w:tr w14:paraId="2DAC5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57" w:type="dxa"/>
            <w:shd w:val="clear" w:color="auto" w:fill="1F3864"/>
          </w:tcPr>
          <w:p w14:paraId="78BC1F29">
            <w:pPr>
              <w:spacing w:before="40" w:after="40"/>
              <w:jc w:val="center"/>
            </w:pPr>
            <w:r>
              <w:rPr>
                <w:b/>
                <w:bCs/>
                <w:color w:val="FFFFFF"/>
                <w:sz w:val="20"/>
                <w:szCs w:val="20"/>
              </w:rPr>
              <w:t>Orbital Point</w:t>
            </w:r>
          </w:p>
        </w:tc>
        <w:tc>
          <w:tcPr>
            <w:tcW w:w="1872" w:type="dxa"/>
            <w:shd w:val="clear" w:color="auto" w:fill="1F3864"/>
          </w:tcPr>
          <w:p w14:paraId="23DB384B">
            <w:pPr>
              <w:spacing w:before="40" w:after="40"/>
              <w:jc w:val="center"/>
            </w:pPr>
            <w:r>
              <w:rPr>
                <w:b/>
                <w:bCs/>
                <w:color w:val="FFFFFF"/>
                <w:sz w:val="20"/>
                <w:szCs w:val="20"/>
              </w:rPr>
              <w:t>Radius r (km)</w:t>
            </w:r>
          </w:p>
        </w:tc>
        <w:tc>
          <w:tcPr>
            <w:tcW w:w="1872" w:type="dxa"/>
            <w:shd w:val="clear" w:color="auto" w:fill="1F3864"/>
          </w:tcPr>
          <w:p w14:paraId="7FBBB060">
            <w:pPr>
              <w:spacing w:before="40" w:after="40"/>
              <w:jc w:val="center"/>
            </w:pPr>
            <w:r>
              <w:rPr>
                <w:b/>
                <w:bCs/>
                <w:color w:val="FFFFFF"/>
                <w:sz w:val="20"/>
                <w:szCs w:val="20"/>
              </w:rPr>
              <w:t>SMA a (km)</w:t>
            </w:r>
          </w:p>
        </w:tc>
        <w:tc>
          <w:tcPr>
            <w:tcW w:w="2059" w:type="dxa"/>
            <w:shd w:val="clear" w:color="auto" w:fill="1F3864"/>
          </w:tcPr>
          <w:p w14:paraId="1134B894">
            <w:pPr>
              <w:spacing w:before="40" w:after="40"/>
              <w:jc w:val="center"/>
            </w:pPr>
            <w:r>
              <w:rPr>
                <w:b/>
                <w:bCs/>
                <w:color w:val="FFFFFF"/>
                <w:sz w:val="20"/>
                <w:szCs w:val="20"/>
              </w:rPr>
              <w:t>Speed v (km/s)</w:t>
            </w:r>
          </w:p>
        </w:tc>
      </w:tr>
      <w:tr w14:paraId="6CFD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FFFFFF"/>
          </w:tcPr>
          <w:p w14:paraId="277C2F12">
            <w:pPr>
              <w:spacing w:before="40" w:after="40"/>
              <w:jc w:val="left"/>
            </w:pPr>
            <w:r>
              <w:rPr>
                <w:b/>
                <w:bCs/>
                <w:color w:val="000000"/>
                <w:sz w:val="20"/>
                <w:szCs w:val="20"/>
              </w:rPr>
              <w:t>Circular at r1 (degraded orbit)</w:t>
            </w:r>
          </w:p>
        </w:tc>
        <w:tc>
          <w:tcPr>
            <w:tcW w:w="1872" w:type="dxa"/>
            <w:shd w:val="clear" w:color="auto" w:fill="FFFFFF"/>
          </w:tcPr>
          <w:p w14:paraId="3081B6A6">
            <w:pPr>
              <w:spacing w:before="40" w:after="40"/>
              <w:jc w:val="center"/>
            </w:pPr>
            <w:r>
              <w:rPr>
                <w:b w:val="0"/>
                <w:bCs w:val="0"/>
                <w:color w:val="000000"/>
                <w:sz w:val="20"/>
                <w:szCs w:val="20"/>
              </w:rPr>
              <w:t>6758.14</w:t>
            </w:r>
          </w:p>
        </w:tc>
        <w:tc>
          <w:tcPr>
            <w:tcW w:w="1872" w:type="dxa"/>
            <w:shd w:val="clear" w:color="auto" w:fill="FFFFFF"/>
          </w:tcPr>
          <w:p w14:paraId="2A999540">
            <w:pPr>
              <w:spacing w:before="40" w:after="40"/>
              <w:jc w:val="center"/>
            </w:pPr>
            <w:r>
              <w:rPr>
                <w:b w:val="0"/>
                <w:bCs w:val="0"/>
                <w:color w:val="000000"/>
                <w:sz w:val="20"/>
                <w:szCs w:val="20"/>
              </w:rPr>
              <w:t>6758.14</w:t>
            </w:r>
          </w:p>
        </w:tc>
        <w:tc>
          <w:tcPr>
            <w:tcW w:w="2059" w:type="dxa"/>
            <w:shd w:val="clear" w:color="auto" w:fill="FFFFFF"/>
          </w:tcPr>
          <w:p w14:paraId="518E1B81">
            <w:pPr>
              <w:spacing w:before="40" w:after="40"/>
              <w:jc w:val="center"/>
            </w:pPr>
            <w:r>
              <w:rPr>
                <w:b w:val="0"/>
                <w:bCs w:val="0"/>
                <w:color w:val="000000"/>
                <w:sz w:val="20"/>
                <w:szCs w:val="20"/>
              </w:rPr>
              <w:t>7.678966</w:t>
            </w:r>
          </w:p>
        </w:tc>
      </w:tr>
      <w:tr w14:paraId="46EB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EBF3FB"/>
          </w:tcPr>
          <w:p w14:paraId="32FAE059">
            <w:pPr>
              <w:spacing w:before="40" w:after="40"/>
              <w:jc w:val="left"/>
            </w:pPr>
            <w:r>
              <w:rPr>
                <w:b/>
                <w:bCs/>
                <w:color w:val="000000"/>
                <w:sz w:val="20"/>
                <w:szCs w:val="20"/>
              </w:rPr>
              <w:t>Transfer ellipse at perigee (r1)</w:t>
            </w:r>
          </w:p>
        </w:tc>
        <w:tc>
          <w:tcPr>
            <w:tcW w:w="1872" w:type="dxa"/>
            <w:shd w:val="clear" w:color="auto" w:fill="EBF3FB"/>
          </w:tcPr>
          <w:p w14:paraId="2B79175A">
            <w:pPr>
              <w:spacing w:before="40" w:after="40"/>
              <w:jc w:val="center"/>
            </w:pPr>
            <w:r>
              <w:rPr>
                <w:b w:val="0"/>
                <w:bCs w:val="0"/>
                <w:color w:val="000000"/>
                <w:sz w:val="20"/>
                <w:szCs w:val="20"/>
              </w:rPr>
              <w:t>6758.14</w:t>
            </w:r>
          </w:p>
        </w:tc>
        <w:tc>
          <w:tcPr>
            <w:tcW w:w="1872" w:type="dxa"/>
            <w:shd w:val="clear" w:color="auto" w:fill="EBF3FB"/>
          </w:tcPr>
          <w:p w14:paraId="7086B3B2">
            <w:pPr>
              <w:spacing w:before="40" w:after="40"/>
              <w:jc w:val="center"/>
            </w:pPr>
            <w:r>
              <w:rPr>
                <w:b w:val="0"/>
                <w:bCs w:val="0"/>
                <w:color w:val="000000"/>
                <w:sz w:val="20"/>
                <w:szCs w:val="20"/>
              </w:rPr>
              <w:t>6768.14</w:t>
            </w:r>
          </w:p>
        </w:tc>
        <w:tc>
          <w:tcPr>
            <w:tcW w:w="2059" w:type="dxa"/>
            <w:shd w:val="clear" w:color="auto" w:fill="EBF3FB"/>
          </w:tcPr>
          <w:p w14:paraId="643041AC">
            <w:pPr>
              <w:spacing w:before="40" w:after="40"/>
              <w:jc w:val="center"/>
            </w:pPr>
            <w:r>
              <w:rPr>
                <w:b w:val="0"/>
                <w:bCs w:val="0"/>
                <w:color w:val="000000"/>
                <w:sz w:val="20"/>
                <w:szCs w:val="20"/>
              </w:rPr>
              <w:t>7.684637</w:t>
            </w:r>
          </w:p>
        </w:tc>
      </w:tr>
      <w:tr w14:paraId="52F3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FFFFFF"/>
          </w:tcPr>
          <w:p w14:paraId="309F5ABB">
            <w:pPr>
              <w:spacing w:before="40" w:after="40"/>
              <w:jc w:val="left"/>
            </w:pPr>
            <w:r>
              <w:rPr>
                <w:b/>
                <w:bCs/>
                <w:color w:val="000000"/>
                <w:sz w:val="20"/>
                <w:szCs w:val="20"/>
              </w:rPr>
              <w:t>Transfer ellipse at apogee (r2)</w:t>
            </w:r>
          </w:p>
        </w:tc>
        <w:tc>
          <w:tcPr>
            <w:tcW w:w="1872" w:type="dxa"/>
            <w:shd w:val="clear" w:color="auto" w:fill="FFFFFF"/>
          </w:tcPr>
          <w:p w14:paraId="7771421D">
            <w:pPr>
              <w:spacing w:before="40" w:after="40"/>
              <w:jc w:val="center"/>
            </w:pPr>
            <w:r>
              <w:rPr>
                <w:b w:val="0"/>
                <w:bCs w:val="0"/>
                <w:color w:val="000000"/>
                <w:sz w:val="20"/>
                <w:szCs w:val="20"/>
              </w:rPr>
              <w:t>6778.14</w:t>
            </w:r>
          </w:p>
        </w:tc>
        <w:tc>
          <w:tcPr>
            <w:tcW w:w="1872" w:type="dxa"/>
            <w:shd w:val="clear" w:color="auto" w:fill="FFFFFF"/>
          </w:tcPr>
          <w:p w14:paraId="3CEE2C81">
            <w:pPr>
              <w:spacing w:before="40" w:after="40"/>
              <w:jc w:val="center"/>
            </w:pPr>
            <w:r>
              <w:rPr>
                <w:b w:val="0"/>
                <w:bCs w:val="0"/>
                <w:color w:val="000000"/>
                <w:sz w:val="20"/>
                <w:szCs w:val="20"/>
              </w:rPr>
              <w:t>6768.14</w:t>
            </w:r>
          </w:p>
        </w:tc>
        <w:tc>
          <w:tcPr>
            <w:tcW w:w="2059" w:type="dxa"/>
            <w:shd w:val="clear" w:color="auto" w:fill="FFFFFF"/>
          </w:tcPr>
          <w:p w14:paraId="2CC4C0A8">
            <w:pPr>
              <w:spacing w:before="40" w:after="40"/>
              <w:jc w:val="center"/>
            </w:pPr>
            <w:r>
              <w:rPr>
                <w:b w:val="0"/>
                <w:bCs w:val="0"/>
                <w:color w:val="000000"/>
                <w:sz w:val="20"/>
                <w:szCs w:val="20"/>
              </w:rPr>
              <w:t>7.661471</w:t>
            </w:r>
          </w:p>
        </w:tc>
      </w:tr>
      <w:tr w14:paraId="49C4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EBF3FB"/>
          </w:tcPr>
          <w:p w14:paraId="1D8AE2ED">
            <w:pPr>
              <w:spacing w:before="40" w:after="40"/>
              <w:jc w:val="left"/>
            </w:pPr>
            <w:r>
              <w:rPr>
                <w:b/>
                <w:bCs/>
                <w:color w:val="000000"/>
                <w:sz w:val="20"/>
                <w:szCs w:val="20"/>
              </w:rPr>
              <w:t>Circular at r2 (nominal orbit)</w:t>
            </w:r>
          </w:p>
        </w:tc>
        <w:tc>
          <w:tcPr>
            <w:tcW w:w="1872" w:type="dxa"/>
            <w:shd w:val="clear" w:color="auto" w:fill="EBF3FB"/>
          </w:tcPr>
          <w:p w14:paraId="487D6A98">
            <w:pPr>
              <w:spacing w:before="40" w:after="40"/>
              <w:jc w:val="center"/>
            </w:pPr>
            <w:r>
              <w:rPr>
                <w:b w:val="0"/>
                <w:bCs w:val="0"/>
                <w:color w:val="000000"/>
                <w:sz w:val="20"/>
                <w:szCs w:val="20"/>
              </w:rPr>
              <w:t>6778.14</w:t>
            </w:r>
          </w:p>
        </w:tc>
        <w:tc>
          <w:tcPr>
            <w:tcW w:w="1872" w:type="dxa"/>
            <w:shd w:val="clear" w:color="auto" w:fill="EBF3FB"/>
          </w:tcPr>
          <w:p w14:paraId="0D07EAAE">
            <w:pPr>
              <w:spacing w:before="40" w:after="40"/>
              <w:jc w:val="center"/>
            </w:pPr>
            <w:r>
              <w:rPr>
                <w:b w:val="0"/>
                <w:bCs w:val="0"/>
                <w:color w:val="000000"/>
                <w:sz w:val="20"/>
                <w:szCs w:val="20"/>
              </w:rPr>
              <w:t>6778.14</w:t>
            </w:r>
          </w:p>
        </w:tc>
        <w:tc>
          <w:tcPr>
            <w:tcW w:w="2059" w:type="dxa"/>
            <w:shd w:val="clear" w:color="auto" w:fill="EBF3FB"/>
          </w:tcPr>
          <w:p w14:paraId="482989E1">
            <w:pPr>
              <w:spacing w:before="40" w:after="40"/>
              <w:jc w:val="center"/>
            </w:pPr>
            <w:r>
              <w:rPr>
                <w:b w:val="0"/>
                <w:bCs w:val="0"/>
                <w:color w:val="000000"/>
                <w:sz w:val="20"/>
                <w:szCs w:val="20"/>
              </w:rPr>
              <w:t>7.667133</w:t>
            </w:r>
          </w:p>
        </w:tc>
      </w:tr>
    </w:tbl>
    <w:p w14:paraId="7E2827E1">
      <w:pPr>
        <w:spacing w:before="0" w:after="120"/>
      </w:pPr>
    </w:p>
    <w:p w14:paraId="0850C703">
      <w:pPr>
        <w:pStyle w:val="3"/>
        <w:spacing w:before="280" w:after="80"/>
        <w:rPr>
          <w:b/>
          <w:bCs/>
          <w:color w:val="2E74B5"/>
          <w:sz w:val="26"/>
          <w:szCs w:val="26"/>
        </w:rPr>
      </w:pPr>
      <w:r>
        <w:t>3.3  Delta-V Values</w:t>
      </w:r>
    </w:p>
    <w:p w14:paraId="447D4715">
      <w:pPr>
        <w:spacing w:before="60" w:after="100"/>
        <w:jc w:val="both"/>
      </w:pPr>
      <w:r>
        <w:rPr>
          <w:b/>
          <w:bCs/>
          <w:color w:val="000000"/>
          <w:sz w:val="22"/>
          <w:szCs w:val="22"/>
        </w:rPr>
        <w:t>Burn 1 (prograde at perigee, raises apogee):</w:t>
      </w:r>
      <w:r>
        <w:rPr>
          <w:color w:val="000000"/>
          <w:sz w:val="22"/>
          <w:szCs w:val="22"/>
        </w:rPr>
        <w:t xml:space="preserve">  DV1 = v_transfer_perigee - v_circular(r1) = 7.684637 - 7.678966 = </w:t>
      </w:r>
      <w:r>
        <w:rPr>
          <w:b/>
          <w:bCs/>
          <w:color w:val="000000"/>
          <w:sz w:val="22"/>
          <w:szCs w:val="22"/>
        </w:rPr>
        <w:t>0.005671 km/s (5.671 m/s)</w:t>
      </w:r>
    </w:p>
    <w:p w14:paraId="271CCD54">
      <w:pPr>
        <w:spacing w:before="60" w:after="100"/>
        <w:jc w:val="both"/>
      </w:pPr>
      <w:r>
        <w:rPr>
          <w:b/>
          <w:bCs/>
          <w:color w:val="000000"/>
          <w:sz w:val="22"/>
          <w:szCs w:val="22"/>
        </w:rPr>
        <w:t>Burn 2 (prograde at apogee, raises perigee):</w:t>
      </w:r>
      <w:r>
        <w:rPr>
          <w:color w:val="000000"/>
          <w:sz w:val="22"/>
          <w:szCs w:val="22"/>
        </w:rPr>
        <w:t xml:space="preserve">  DV2 = v_circular(r2) - v_transfer_apogee = 7.667133 - 7.661471 = </w:t>
      </w:r>
      <w:r>
        <w:rPr>
          <w:b/>
          <w:bCs/>
          <w:color w:val="000000"/>
          <w:sz w:val="22"/>
          <w:szCs w:val="22"/>
        </w:rPr>
        <w:t>0.005662 km/s (5.662 m/s)</w:t>
      </w:r>
    </w:p>
    <w:p w14:paraId="3B53DEC9">
      <w:pPr>
        <w:spacing w:before="60" w:after="100"/>
        <w:jc w:val="both"/>
      </w:pPr>
      <w:r>
        <w:rPr>
          <w:b/>
          <w:bCs/>
          <w:color w:val="000000"/>
          <w:sz w:val="22"/>
          <w:szCs w:val="22"/>
        </w:rPr>
        <w:t xml:space="preserve">Total Delta-V: </w:t>
      </w:r>
      <w:r>
        <w:rPr>
          <w:color w:val="000000"/>
          <w:sz w:val="22"/>
          <w:szCs w:val="22"/>
        </w:rPr>
        <w:t xml:space="preserve">DV1 + DV2 = </w:t>
      </w:r>
      <w:r>
        <w:rPr>
          <w:b/>
          <w:bCs/>
          <w:color w:val="000000"/>
          <w:sz w:val="22"/>
          <w:szCs w:val="22"/>
        </w:rPr>
        <w:t>11.333 m/s</w:t>
      </w:r>
    </w:p>
    <w:p w14:paraId="341BA9CC">
      <w:pPr>
        <w:spacing w:before="0" w:after="80"/>
      </w:pPr>
    </w:p>
    <w:p w14:paraId="23F9A790">
      <w:pPr>
        <w:pStyle w:val="3"/>
        <w:spacing w:before="280" w:after="80"/>
        <w:rPr>
          <w:b/>
          <w:bCs/>
          <w:color w:val="2E74B5"/>
          <w:sz w:val="26"/>
          <w:szCs w:val="26"/>
        </w:rPr>
      </w:pPr>
      <w:r>
        <w:t>3.4  Why DV1 is Not Equal to DV2</w:t>
      </w:r>
    </w:p>
    <w:p w14:paraId="08FFD41B">
      <w:pPr>
        <w:spacing w:before="60" w:after="100"/>
        <w:jc w:val="both"/>
      </w:pPr>
      <w:r>
        <w:rPr>
          <w:color w:val="000000"/>
          <w:sz w:val="22"/>
          <w:szCs w:val="22"/>
        </w:rPr>
        <w:t>At first inspection the two burns appear symmetric: both change the orbit by 20 km. However, orbital velocity follows v = sqrt(mu/r) on a circular orbit — a 1/sqrt(r) relationship. This curve is concave: the velocity-radius gradient is steeper at lower altitude than at higher altitude.</w:t>
      </w:r>
    </w:p>
    <w:p w14:paraId="7BD80E78">
      <w:pPr>
        <w:spacing w:before="60" w:after="100"/>
        <w:jc w:val="both"/>
      </w:pPr>
      <w:r>
        <w:rPr>
          <w:color w:val="000000"/>
          <w:sz w:val="22"/>
          <w:szCs w:val="22"/>
        </w:rPr>
        <w:t>At r1 = 6758.14 km (lower, steeper part of the curve), the velocity difference between the circular orbit and the transfer ellipse is slightly larger than at r2 = 6778.14 km (higher, shallower part). Hence DV1 &gt; DV2. The difference is small (9 m/s) because the 20 km altitude change is tiny relative to the orbit radius (~6768 km). For large transfers (LEO to GEO) the asymmetry is pronounced — DV1 is far smaller than DV2.</w:t>
      </w:r>
    </w:p>
    <w:p w14:paraId="574E401B">
      <w:pPr>
        <w:pStyle w:val="3"/>
        <w:spacing w:before="280" w:after="80"/>
        <w:rPr>
          <w:b/>
          <w:bCs/>
          <w:color w:val="2E74B5"/>
          <w:sz w:val="26"/>
          <w:szCs w:val="26"/>
        </w:rPr>
      </w:pPr>
      <w:r>
        <w:t>3.5  Half-Period Coast Time</w:t>
      </w:r>
    </w:p>
    <w:p w14:paraId="45DBA64E">
      <w:pPr>
        <w:spacing w:before="60" w:after="100"/>
        <w:jc w:val="both"/>
      </w:pPr>
      <w:r>
        <w:rPr>
          <w:color w:val="000000"/>
          <w:sz w:val="22"/>
          <w:szCs w:val="22"/>
        </w:rPr>
        <w:t>Between Burn 1 (at perigee) and Burn 2 (at apogee), the satellite coasts through exactly one half-period of the transfer ellipse:</w:t>
      </w:r>
    </w:p>
    <w:p w14:paraId="3DDF4163">
      <w:pPr>
        <w:spacing w:before="80" w:after="80"/>
        <w:jc w:val="center"/>
      </w:pPr>
      <w:r>
        <w:rPr>
          <w:rFonts w:ascii="Courier New" w:hAnsi="Courier New" w:eastAsia="Courier New" w:cs="Courier New"/>
          <w:color w:val="1F497D"/>
          <w:sz w:val="20"/>
          <w:szCs w:val="20"/>
        </w:rPr>
        <w:t xml:space="preserve">    T_transfer = 2*pi * sqrt(a_t^3 / mu) = 2*pi * sqrt(6768.14^3 / 398600.4) = 5552 s</w:t>
      </w:r>
    </w:p>
    <w:p w14:paraId="4E95B969">
      <w:pPr>
        <w:spacing w:before="60" w:after="100"/>
        <w:jc w:val="both"/>
      </w:pPr>
      <w:r>
        <w:rPr>
          <w:color w:val="000000"/>
          <w:sz w:val="22"/>
          <w:szCs w:val="22"/>
        </w:rPr>
        <w:t xml:space="preserve">Half-period (Burn 1 to Burn 2): </w:t>
      </w:r>
      <w:r>
        <w:rPr>
          <w:b/>
          <w:bCs/>
          <w:color w:val="000000"/>
          <w:sz w:val="22"/>
          <w:szCs w:val="22"/>
        </w:rPr>
        <w:t>2776 s (46.3 minutes)</w:t>
      </w:r>
      <w:r>
        <w:rPr>
          <w:color w:val="000000"/>
          <w:sz w:val="22"/>
          <w:szCs w:val="22"/>
        </w:rPr>
        <w:t xml:space="preserve">. The GMAT simulation shows: Burn 1 at 02:18:45 UTC, Burn 2 at 03:04:28 UTC — difference = </w:t>
      </w:r>
      <w:r>
        <w:rPr>
          <w:b/>
          <w:bCs/>
          <w:color w:val="000000"/>
          <w:sz w:val="22"/>
          <w:szCs w:val="22"/>
        </w:rPr>
        <w:t>2743 s (45.7 min)</w:t>
      </w:r>
      <w:r>
        <w:rPr>
          <w:color w:val="000000"/>
          <w:sz w:val="22"/>
          <w:szCs w:val="22"/>
        </w:rPr>
        <w:t>, consistent with the analytical estimate (small deviation due to J2 perturbation during coast).</w:t>
      </w:r>
    </w:p>
    <w:p w14:paraId="38A86DDB"/>
    <w:p w14:paraId="52FF017B">
      <w:pPr>
        <w:rPr>
          <w:b/>
          <w:bCs/>
          <w:color w:val="1F3864"/>
          <w:sz w:val="32"/>
          <w:szCs w:val="32"/>
        </w:rPr>
      </w:pPr>
      <w:r>
        <w:t>4. GMAT Simulation Configuration</w:t>
      </w:r>
    </w:p>
    <w:p w14:paraId="270E702F">
      <w:pPr>
        <w:pStyle w:val="3"/>
        <w:spacing w:before="280" w:after="80"/>
        <w:rPr>
          <w:b/>
          <w:bCs/>
          <w:color w:val="2E74B5"/>
          <w:sz w:val="26"/>
          <w:szCs w:val="26"/>
        </w:rPr>
      </w:pPr>
      <w:r>
        <w:t>4.1  Spacecraft 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276"/>
        <w:gridCol w:w="3744"/>
      </w:tblGrid>
      <w:tr w14:paraId="28F3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shd w:val="clear" w:color="auto" w:fill="1F3864"/>
          </w:tcPr>
          <w:p w14:paraId="7413D2A1">
            <w:pPr>
              <w:spacing w:before="40" w:after="40"/>
              <w:jc w:val="center"/>
            </w:pPr>
            <w:r>
              <w:rPr>
                <w:b/>
                <w:bCs/>
                <w:color w:val="FFFFFF"/>
                <w:sz w:val="20"/>
                <w:szCs w:val="20"/>
              </w:rPr>
              <w:t>Parameter</w:t>
            </w:r>
          </w:p>
        </w:tc>
        <w:tc>
          <w:tcPr>
            <w:tcW w:w="3276" w:type="dxa"/>
            <w:shd w:val="clear" w:color="auto" w:fill="1F3864"/>
          </w:tcPr>
          <w:p w14:paraId="04C154F1">
            <w:pPr>
              <w:spacing w:before="40" w:after="40"/>
              <w:jc w:val="center"/>
            </w:pPr>
            <w:r>
              <w:rPr>
                <w:b/>
                <w:bCs/>
                <w:color w:val="FFFFFF"/>
                <w:sz w:val="20"/>
                <w:szCs w:val="20"/>
              </w:rPr>
              <w:t>Value</w:t>
            </w:r>
          </w:p>
        </w:tc>
        <w:tc>
          <w:tcPr>
            <w:tcW w:w="3744" w:type="dxa"/>
            <w:shd w:val="clear" w:color="auto" w:fill="1F3864"/>
          </w:tcPr>
          <w:p w14:paraId="60190781">
            <w:pPr>
              <w:spacing w:before="40" w:after="40"/>
              <w:jc w:val="center"/>
            </w:pPr>
            <w:r>
              <w:rPr>
                <w:b/>
                <w:bCs/>
                <w:color w:val="FFFFFF"/>
                <w:sz w:val="20"/>
                <w:szCs w:val="20"/>
              </w:rPr>
              <w:t>Notes</w:t>
            </w:r>
          </w:p>
        </w:tc>
      </w:tr>
      <w:tr w14:paraId="2311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1B3AC28C">
            <w:pPr>
              <w:spacing w:before="40" w:after="40"/>
              <w:jc w:val="left"/>
            </w:pPr>
            <w:r>
              <w:rPr>
                <w:b/>
                <w:bCs/>
                <w:color w:val="000000"/>
                <w:sz w:val="20"/>
                <w:szCs w:val="20"/>
              </w:rPr>
              <w:t>Spacecraft name</w:t>
            </w:r>
          </w:p>
        </w:tc>
        <w:tc>
          <w:tcPr>
            <w:tcW w:w="3276" w:type="dxa"/>
            <w:shd w:val="clear" w:color="auto" w:fill="FFFFFF"/>
          </w:tcPr>
          <w:p w14:paraId="7CEF0C26">
            <w:pPr>
              <w:spacing w:before="40" w:after="40"/>
              <w:jc w:val="center"/>
            </w:pPr>
            <w:r>
              <w:rPr>
                <w:b w:val="0"/>
                <w:bCs w:val="0"/>
                <w:color w:val="000000"/>
                <w:sz w:val="20"/>
                <w:szCs w:val="20"/>
              </w:rPr>
              <w:t>LEOSat</w:t>
            </w:r>
          </w:p>
        </w:tc>
        <w:tc>
          <w:tcPr>
            <w:tcW w:w="3744" w:type="dxa"/>
            <w:shd w:val="clear" w:color="auto" w:fill="FFFFFF"/>
          </w:tcPr>
          <w:p w14:paraId="1884EC70">
            <w:pPr>
              <w:spacing w:before="40" w:after="40"/>
              <w:jc w:val="center"/>
            </w:pPr>
            <w:r>
              <w:rPr>
                <w:b w:val="0"/>
                <w:bCs w:val="0"/>
                <w:color w:val="000000"/>
                <w:sz w:val="20"/>
                <w:szCs w:val="20"/>
              </w:rPr>
              <w:t>Single satellite, impulsive burns</w:t>
            </w:r>
          </w:p>
        </w:tc>
      </w:tr>
      <w:tr w14:paraId="1D6B2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EBF3FB"/>
          </w:tcPr>
          <w:p w14:paraId="47E88B4E">
            <w:pPr>
              <w:spacing w:before="40" w:after="40"/>
              <w:jc w:val="left"/>
            </w:pPr>
            <w:r>
              <w:rPr>
                <w:b/>
                <w:bCs/>
                <w:color w:val="000000"/>
                <w:sz w:val="20"/>
                <w:szCs w:val="20"/>
              </w:rPr>
              <w:t>Epoch</w:t>
            </w:r>
          </w:p>
        </w:tc>
        <w:tc>
          <w:tcPr>
            <w:tcW w:w="3276" w:type="dxa"/>
            <w:shd w:val="clear" w:color="auto" w:fill="EBF3FB"/>
          </w:tcPr>
          <w:p w14:paraId="1D29570E">
            <w:pPr>
              <w:spacing w:before="40" w:after="40"/>
              <w:jc w:val="center"/>
            </w:pPr>
            <w:r>
              <w:rPr>
                <w:b w:val="0"/>
                <w:bCs w:val="0"/>
                <w:color w:val="000000"/>
                <w:sz w:val="20"/>
                <w:szCs w:val="20"/>
              </w:rPr>
              <w:t>01 Jan 2024 00:00:00.000 UTC</w:t>
            </w:r>
          </w:p>
        </w:tc>
        <w:tc>
          <w:tcPr>
            <w:tcW w:w="3744" w:type="dxa"/>
            <w:shd w:val="clear" w:color="auto" w:fill="EBF3FB"/>
          </w:tcPr>
          <w:p w14:paraId="175ACCC7">
            <w:pPr>
              <w:spacing w:before="40" w:after="40"/>
              <w:jc w:val="center"/>
            </w:pPr>
          </w:p>
        </w:tc>
      </w:tr>
      <w:tr w14:paraId="1A67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399A49DB">
            <w:pPr>
              <w:spacing w:before="40" w:after="40"/>
              <w:jc w:val="left"/>
            </w:pPr>
            <w:r>
              <w:rPr>
                <w:b/>
                <w:bCs/>
                <w:color w:val="000000"/>
                <w:sz w:val="20"/>
                <w:szCs w:val="20"/>
              </w:rPr>
              <w:t>SMA (initial)</w:t>
            </w:r>
          </w:p>
        </w:tc>
        <w:tc>
          <w:tcPr>
            <w:tcW w:w="3276" w:type="dxa"/>
            <w:shd w:val="clear" w:color="auto" w:fill="FFFFFF"/>
          </w:tcPr>
          <w:p w14:paraId="4FF922A6">
            <w:pPr>
              <w:spacing w:before="40" w:after="40"/>
              <w:jc w:val="center"/>
            </w:pPr>
            <w:r>
              <w:rPr>
                <w:b w:val="0"/>
                <w:bCs w:val="0"/>
                <w:color w:val="000000"/>
                <w:sz w:val="20"/>
                <w:szCs w:val="20"/>
              </w:rPr>
              <w:t>6758.14 km</w:t>
            </w:r>
          </w:p>
        </w:tc>
        <w:tc>
          <w:tcPr>
            <w:tcW w:w="3744" w:type="dxa"/>
            <w:shd w:val="clear" w:color="auto" w:fill="FFFFFF"/>
          </w:tcPr>
          <w:p w14:paraId="725BFAC3">
            <w:pPr>
              <w:spacing w:before="40" w:after="40"/>
              <w:jc w:val="center"/>
            </w:pPr>
            <w:r>
              <w:rPr>
                <w:b w:val="0"/>
                <w:bCs w:val="0"/>
                <w:color w:val="000000"/>
                <w:sz w:val="20"/>
                <w:szCs w:val="20"/>
              </w:rPr>
              <w:t>Degraded orbit (~387 km alt)</w:t>
            </w:r>
          </w:p>
        </w:tc>
      </w:tr>
      <w:tr w14:paraId="5C67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EBF3FB"/>
          </w:tcPr>
          <w:p w14:paraId="64E98524">
            <w:pPr>
              <w:spacing w:before="40" w:after="40"/>
              <w:jc w:val="left"/>
            </w:pPr>
            <w:r>
              <w:rPr>
                <w:b/>
                <w:bCs/>
                <w:color w:val="000000"/>
                <w:sz w:val="20"/>
                <w:szCs w:val="20"/>
              </w:rPr>
              <w:t>ECC</w:t>
            </w:r>
          </w:p>
        </w:tc>
        <w:tc>
          <w:tcPr>
            <w:tcW w:w="3276" w:type="dxa"/>
            <w:shd w:val="clear" w:color="auto" w:fill="EBF3FB"/>
          </w:tcPr>
          <w:p w14:paraId="1FEE77F4">
            <w:pPr>
              <w:spacing w:before="40" w:after="40"/>
              <w:jc w:val="center"/>
            </w:pPr>
            <w:r>
              <w:rPr>
                <w:b w:val="0"/>
                <w:bCs w:val="0"/>
                <w:color w:val="000000"/>
                <w:sz w:val="20"/>
                <w:szCs w:val="20"/>
              </w:rPr>
              <w:t>0.0001</w:t>
            </w:r>
          </w:p>
        </w:tc>
        <w:tc>
          <w:tcPr>
            <w:tcW w:w="3744" w:type="dxa"/>
            <w:shd w:val="clear" w:color="auto" w:fill="EBF3FB"/>
          </w:tcPr>
          <w:p w14:paraId="73F79D1E">
            <w:pPr>
              <w:spacing w:before="40" w:after="40"/>
              <w:jc w:val="center"/>
            </w:pPr>
            <w:r>
              <w:rPr>
                <w:b w:val="0"/>
                <w:bCs w:val="0"/>
                <w:color w:val="000000"/>
                <w:sz w:val="20"/>
                <w:szCs w:val="20"/>
              </w:rPr>
              <w:t>Near-circular (not exactly zero — small initial eccentricity)</w:t>
            </w:r>
          </w:p>
        </w:tc>
      </w:tr>
      <w:tr w14:paraId="76174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21C9DE19">
            <w:pPr>
              <w:spacing w:before="40" w:after="40"/>
              <w:jc w:val="left"/>
            </w:pPr>
            <w:r>
              <w:rPr>
                <w:b/>
                <w:bCs/>
                <w:color w:val="000000"/>
                <w:sz w:val="20"/>
                <w:szCs w:val="20"/>
              </w:rPr>
              <w:t>INC</w:t>
            </w:r>
          </w:p>
        </w:tc>
        <w:tc>
          <w:tcPr>
            <w:tcW w:w="3276" w:type="dxa"/>
            <w:shd w:val="clear" w:color="auto" w:fill="FFFFFF"/>
          </w:tcPr>
          <w:p w14:paraId="04615EFA">
            <w:pPr>
              <w:spacing w:before="40" w:after="40"/>
              <w:jc w:val="center"/>
            </w:pPr>
            <w:r>
              <w:rPr>
                <w:b w:val="0"/>
                <w:bCs w:val="0"/>
                <w:color w:val="000000"/>
                <w:sz w:val="20"/>
                <w:szCs w:val="20"/>
              </w:rPr>
              <w:t>51.6 deg</w:t>
            </w:r>
          </w:p>
        </w:tc>
        <w:tc>
          <w:tcPr>
            <w:tcW w:w="3744" w:type="dxa"/>
            <w:shd w:val="clear" w:color="auto" w:fill="FFFFFF"/>
          </w:tcPr>
          <w:p w14:paraId="31CD6B78">
            <w:pPr>
              <w:spacing w:before="40" w:after="40"/>
              <w:jc w:val="center"/>
            </w:pPr>
            <w:r>
              <w:rPr>
                <w:b w:val="0"/>
                <w:bCs w:val="0"/>
                <w:color w:val="000000"/>
                <w:sz w:val="20"/>
                <w:szCs w:val="20"/>
              </w:rPr>
              <w:t>ISS-</w:t>
            </w:r>
            <w:r>
              <w:rPr>
                <w:rFonts w:hint="default"/>
                <w:b w:val="0"/>
                <w:bCs w:val="0"/>
                <w:color w:val="000000"/>
                <w:sz w:val="20"/>
                <w:szCs w:val="20"/>
                <w:lang w:val="en-GB"/>
              </w:rPr>
              <w:t xml:space="preserve"> </w:t>
            </w:r>
            <w:r>
              <w:rPr>
                <w:b w:val="0"/>
                <w:bCs w:val="0"/>
                <w:color w:val="000000"/>
                <w:sz w:val="20"/>
                <w:szCs w:val="20"/>
              </w:rPr>
              <w:t>altitude inclination; consistent with all scenarios</w:t>
            </w:r>
          </w:p>
        </w:tc>
      </w:tr>
      <w:tr w14:paraId="41BF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EBF3FB"/>
          </w:tcPr>
          <w:p w14:paraId="63E308B8">
            <w:pPr>
              <w:spacing w:before="40" w:after="40"/>
              <w:jc w:val="left"/>
            </w:pPr>
            <w:r>
              <w:rPr>
                <w:b/>
                <w:bCs/>
                <w:color w:val="000000"/>
                <w:sz w:val="20"/>
                <w:szCs w:val="20"/>
              </w:rPr>
              <w:t>RAAN</w:t>
            </w:r>
          </w:p>
        </w:tc>
        <w:tc>
          <w:tcPr>
            <w:tcW w:w="3276" w:type="dxa"/>
            <w:shd w:val="clear" w:color="auto" w:fill="EBF3FB"/>
          </w:tcPr>
          <w:p w14:paraId="149C20A0">
            <w:pPr>
              <w:spacing w:before="40" w:after="40"/>
              <w:jc w:val="center"/>
            </w:pPr>
            <w:r>
              <w:rPr>
                <w:b w:val="0"/>
                <w:bCs w:val="0"/>
                <w:color w:val="000000"/>
                <w:sz w:val="20"/>
                <w:szCs w:val="20"/>
              </w:rPr>
              <w:t>0 deg</w:t>
            </w:r>
          </w:p>
        </w:tc>
        <w:tc>
          <w:tcPr>
            <w:tcW w:w="3744" w:type="dxa"/>
            <w:shd w:val="clear" w:color="auto" w:fill="EBF3FB"/>
          </w:tcPr>
          <w:p w14:paraId="32C10D08">
            <w:pPr>
              <w:spacing w:before="40" w:after="40"/>
              <w:jc w:val="center"/>
            </w:pPr>
          </w:p>
        </w:tc>
      </w:tr>
      <w:tr w14:paraId="37A8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2C60CFCC">
            <w:pPr>
              <w:spacing w:before="40" w:after="40"/>
              <w:jc w:val="left"/>
            </w:pPr>
            <w:r>
              <w:rPr>
                <w:b/>
                <w:bCs/>
                <w:color w:val="000000"/>
                <w:sz w:val="20"/>
                <w:szCs w:val="20"/>
              </w:rPr>
              <w:t>AOP</w:t>
            </w:r>
          </w:p>
        </w:tc>
        <w:tc>
          <w:tcPr>
            <w:tcW w:w="3276" w:type="dxa"/>
            <w:shd w:val="clear" w:color="auto" w:fill="FFFFFF"/>
          </w:tcPr>
          <w:p w14:paraId="34EE82A6">
            <w:pPr>
              <w:spacing w:before="40" w:after="40"/>
              <w:jc w:val="center"/>
            </w:pPr>
            <w:r>
              <w:rPr>
                <w:b w:val="0"/>
                <w:bCs w:val="0"/>
                <w:color w:val="000000"/>
                <w:sz w:val="20"/>
                <w:szCs w:val="20"/>
              </w:rPr>
              <w:t>0 deg</w:t>
            </w:r>
          </w:p>
        </w:tc>
        <w:tc>
          <w:tcPr>
            <w:tcW w:w="3744" w:type="dxa"/>
            <w:shd w:val="clear" w:color="auto" w:fill="FFFFFF"/>
          </w:tcPr>
          <w:p w14:paraId="36D41979">
            <w:pPr>
              <w:spacing w:before="40" w:after="40"/>
              <w:jc w:val="center"/>
            </w:pPr>
            <w:r>
              <w:rPr>
                <w:b w:val="0"/>
                <w:bCs w:val="0"/>
                <w:color w:val="000000"/>
                <w:sz w:val="20"/>
                <w:szCs w:val="20"/>
              </w:rPr>
              <w:t>Periapsis at equatorial crossing</w:t>
            </w:r>
          </w:p>
        </w:tc>
      </w:tr>
      <w:tr w14:paraId="1932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EBF3FB"/>
          </w:tcPr>
          <w:p w14:paraId="1BABBFB5">
            <w:pPr>
              <w:spacing w:before="40" w:after="40"/>
              <w:jc w:val="left"/>
            </w:pPr>
            <w:r>
              <w:rPr>
                <w:b/>
                <w:bCs/>
                <w:color w:val="000000"/>
                <w:sz w:val="20"/>
                <w:szCs w:val="20"/>
              </w:rPr>
              <w:t>TA</w:t>
            </w:r>
          </w:p>
        </w:tc>
        <w:tc>
          <w:tcPr>
            <w:tcW w:w="3276" w:type="dxa"/>
            <w:shd w:val="clear" w:color="auto" w:fill="EBF3FB"/>
          </w:tcPr>
          <w:p w14:paraId="03D0D3AD">
            <w:pPr>
              <w:spacing w:before="40" w:after="40"/>
              <w:jc w:val="center"/>
            </w:pPr>
            <w:r>
              <w:rPr>
                <w:b w:val="0"/>
                <w:bCs w:val="0"/>
                <w:color w:val="000000"/>
                <w:sz w:val="20"/>
                <w:szCs w:val="20"/>
              </w:rPr>
              <w:t>0 deg</w:t>
            </w:r>
          </w:p>
        </w:tc>
        <w:tc>
          <w:tcPr>
            <w:tcW w:w="3744" w:type="dxa"/>
            <w:shd w:val="clear" w:color="auto" w:fill="EBF3FB"/>
          </w:tcPr>
          <w:p w14:paraId="246765C8">
            <w:pPr>
              <w:spacing w:before="40" w:after="40"/>
              <w:jc w:val="center"/>
            </w:pPr>
            <w:r>
              <w:rPr>
                <w:b w:val="0"/>
                <w:bCs w:val="0"/>
                <w:color w:val="000000"/>
                <w:sz w:val="20"/>
                <w:szCs w:val="20"/>
              </w:rPr>
              <w:t>At periapsis at epoch</w:t>
            </w:r>
          </w:p>
        </w:tc>
      </w:tr>
      <w:tr w14:paraId="31F3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2B2A6BA5">
            <w:pPr>
              <w:spacing w:before="40" w:after="40"/>
              <w:jc w:val="left"/>
            </w:pPr>
            <w:r>
              <w:rPr>
                <w:b/>
                <w:bCs/>
                <w:color w:val="000000"/>
                <w:sz w:val="20"/>
                <w:szCs w:val="20"/>
              </w:rPr>
              <w:t>Dry Mass</w:t>
            </w:r>
          </w:p>
        </w:tc>
        <w:tc>
          <w:tcPr>
            <w:tcW w:w="3276" w:type="dxa"/>
            <w:shd w:val="clear" w:color="auto" w:fill="FFFFFF"/>
          </w:tcPr>
          <w:p w14:paraId="353B54FD">
            <w:pPr>
              <w:spacing w:before="40" w:after="40"/>
              <w:jc w:val="center"/>
            </w:pPr>
            <w:r>
              <w:rPr>
                <w:b w:val="0"/>
                <w:bCs w:val="0"/>
                <w:color w:val="000000"/>
                <w:sz w:val="20"/>
                <w:szCs w:val="20"/>
              </w:rPr>
              <w:t>500 kg</w:t>
            </w:r>
          </w:p>
        </w:tc>
        <w:tc>
          <w:tcPr>
            <w:tcW w:w="3744" w:type="dxa"/>
            <w:shd w:val="clear" w:color="auto" w:fill="FFFFFF"/>
          </w:tcPr>
          <w:p w14:paraId="2498B689">
            <w:pPr>
              <w:spacing w:before="40" w:after="40"/>
              <w:jc w:val="center"/>
            </w:pPr>
          </w:p>
        </w:tc>
      </w:tr>
      <w:tr w14:paraId="5D14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EBF3FB"/>
          </w:tcPr>
          <w:p w14:paraId="5F649EB2">
            <w:pPr>
              <w:spacing w:before="40" w:after="40"/>
              <w:jc w:val="left"/>
            </w:pPr>
            <w:r>
              <w:rPr>
                <w:b/>
                <w:bCs/>
                <w:color w:val="000000"/>
                <w:sz w:val="20"/>
                <w:szCs w:val="20"/>
              </w:rPr>
              <w:t>Cd</w:t>
            </w:r>
          </w:p>
        </w:tc>
        <w:tc>
          <w:tcPr>
            <w:tcW w:w="3276" w:type="dxa"/>
            <w:shd w:val="clear" w:color="auto" w:fill="EBF3FB"/>
          </w:tcPr>
          <w:p w14:paraId="2AB25783">
            <w:pPr>
              <w:spacing w:before="40" w:after="40"/>
              <w:jc w:val="center"/>
            </w:pPr>
            <w:r>
              <w:rPr>
                <w:b w:val="0"/>
                <w:bCs w:val="0"/>
                <w:color w:val="000000"/>
                <w:sz w:val="20"/>
                <w:szCs w:val="20"/>
              </w:rPr>
              <w:t>2.2</w:t>
            </w:r>
          </w:p>
        </w:tc>
        <w:tc>
          <w:tcPr>
            <w:tcW w:w="3744" w:type="dxa"/>
            <w:shd w:val="clear" w:color="auto" w:fill="EBF3FB"/>
          </w:tcPr>
          <w:p w14:paraId="70AC1F84">
            <w:pPr>
              <w:spacing w:before="40" w:after="40"/>
              <w:jc w:val="center"/>
            </w:pPr>
            <w:r>
              <w:rPr>
                <w:b w:val="0"/>
                <w:bCs w:val="0"/>
                <w:color w:val="000000"/>
                <w:sz w:val="20"/>
                <w:szCs w:val="20"/>
              </w:rPr>
              <w:t>Drag coefficient</w:t>
            </w:r>
          </w:p>
        </w:tc>
      </w:tr>
      <w:tr w14:paraId="1718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3905C2E5">
            <w:pPr>
              <w:spacing w:before="40" w:after="40"/>
              <w:jc w:val="left"/>
            </w:pPr>
            <w:r>
              <w:rPr>
                <w:b/>
                <w:bCs/>
                <w:color w:val="000000"/>
                <w:sz w:val="20"/>
                <w:szCs w:val="20"/>
              </w:rPr>
              <w:t>Drag Area</w:t>
            </w:r>
          </w:p>
        </w:tc>
        <w:tc>
          <w:tcPr>
            <w:tcW w:w="3276" w:type="dxa"/>
            <w:shd w:val="clear" w:color="auto" w:fill="FFFFFF"/>
          </w:tcPr>
          <w:p w14:paraId="2F3FB523">
            <w:pPr>
              <w:spacing w:before="40" w:after="40"/>
              <w:jc w:val="center"/>
            </w:pPr>
            <w:r>
              <w:rPr>
                <w:b w:val="0"/>
                <w:bCs w:val="0"/>
                <w:color w:val="000000"/>
                <w:sz w:val="20"/>
                <w:szCs w:val="20"/>
              </w:rPr>
              <w:t>5 m2</w:t>
            </w:r>
          </w:p>
        </w:tc>
        <w:tc>
          <w:tcPr>
            <w:tcW w:w="3744" w:type="dxa"/>
            <w:shd w:val="clear" w:color="auto" w:fill="FFFFFF"/>
          </w:tcPr>
          <w:p w14:paraId="6CCBDEEE">
            <w:pPr>
              <w:spacing w:before="40" w:after="40"/>
              <w:jc w:val="center"/>
            </w:pPr>
          </w:p>
        </w:tc>
      </w:tr>
    </w:tbl>
    <w:p w14:paraId="04573D12">
      <w:pPr>
        <w:spacing w:before="0" w:after="160"/>
      </w:pPr>
    </w:p>
    <w:p w14:paraId="79D0F82C">
      <w:pPr>
        <w:pStyle w:val="3"/>
        <w:spacing w:before="280" w:after="80"/>
        <w:rPr>
          <w:b/>
          <w:bCs/>
          <w:color w:val="2E74B5"/>
          <w:sz w:val="26"/>
          <w:szCs w:val="26"/>
        </w:rPr>
      </w:pPr>
      <w:r>
        <w:t>4.2  Force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5616"/>
      </w:tblGrid>
      <w:tr w14:paraId="44D1E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44" w:type="dxa"/>
            <w:shd w:val="clear" w:color="auto" w:fill="1F3864"/>
          </w:tcPr>
          <w:p w14:paraId="52D02DA5">
            <w:pPr>
              <w:spacing w:before="40" w:after="40"/>
              <w:jc w:val="center"/>
            </w:pPr>
            <w:r>
              <w:rPr>
                <w:b/>
                <w:bCs/>
                <w:color w:val="FFFFFF"/>
                <w:sz w:val="20"/>
                <w:szCs w:val="20"/>
              </w:rPr>
              <w:t>Force Component</w:t>
            </w:r>
          </w:p>
        </w:tc>
        <w:tc>
          <w:tcPr>
            <w:tcW w:w="5616" w:type="dxa"/>
            <w:shd w:val="clear" w:color="auto" w:fill="1F3864"/>
          </w:tcPr>
          <w:p w14:paraId="1A9FD008">
            <w:pPr>
              <w:spacing w:before="40" w:after="40"/>
              <w:jc w:val="center"/>
            </w:pPr>
            <w:r>
              <w:rPr>
                <w:b/>
                <w:bCs/>
                <w:color w:val="FFFFFF"/>
                <w:sz w:val="20"/>
                <w:szCs w:val="20"/>
              </w:rPr>
              <w:t>Setting</w:t>
            </w:r>
          </w:p>
        </w:tc>
      </w:tr>
      <w:tr w14:paraId="1694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FFFFFF"/>
          </w:tcPr>
          <w:p w14:paraId="71BDC0B8">
            <w:pPr>
              <w:spacing w:before="40" w:after="40"/>
              <w:jc w:val="left"/>
            </w:pPr>
            <w:r>
              <w:rPr>
                <w:b/>
                <w:bCs/>
                <w:color w:val="000000"/>
                <w:sz w:val="20"/>
                <w:szCs w:val="20"/>
              </w:rPr>
              <w:t>Central body</w:t>
            </w:r>
          </w:p>
        </w:tc>
        <w:tc>
          <w:tcPr>
            <w:tcW w:w="5616" w:type="dxa"/>
            <w:shd w:val="clear" w:color="auto" w:fill="FFFFFF"/>
          </w:tcPr>
          <w:p w14:paraId="231262A2">
            <w:pPr>
              <w:spacing w:before="40" w:after="40"/>
              <w:jc w:val="center"/>
            </w:pPr>
            <w:r>
              <w:rPr>
                <w:b w:val="0"/>
                <w:bCs w:val="0"/>
                <w:color w:val="000000"/>
                <w:sz w:val="20"/>
                <w:szCs w:val="20"/>
              </w:rPr>
              <w:t>Earth</w:t>
            </w:r>
          </w:p>
        </w:tc>
      </w:tr>
      <w:tr w14:paraId="02F8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EBF3FB"/>
          </w:tcPr>
          <w:p w14:paraId="5F0181B0">
            <w:pPr>
              <w:spacing w:before="40" w:after="40"/>
              <w:jc w:val="left"/>
            </w:pPr>
            <w:r>
              <w:rPr>
                <w:b/>
                <w:bCs/>
                <w:color w:val="000000"/>
                <w:sz w:val="20"/>
                <w:szCs w:val="20"/>
              </w:rPr>
              <w:t>Gravity model</w:t>
            </w:r>
          </w:p>
        </w:tc>
        <w:tc>
          <w:tcPr>
            <w:tcW w:w="5616" w:type="dxa"/>
            <w:shd w:val="clear" w:color="auto" w:fill="EBF3FB"/>
          </w:tcPr>
          <w:p w14:paraId="4F1E0928">
            <w:pPr>
              <w:spacing w:before="40" w:after="40"/>
              <w:jc w:val="center"/>
            </w:pPr>
            <w:r>
              <w:rPr>
                <w:b w:val="0"/>
                <w:bCs w:val="0"/>
                <w:color w:val="000000"/>
                <w:sz w:val="20"/>
                <w:szCs w:val="20"/>
              </w:rPr>
              <w:t>EGM-96, Degree 4, Order 4</w:t>
            </w:r>
          </w:p>
        </w:tc>
      </w:tr>
      <w:tr w14:paraId="7528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FFFFFF"/>
          </w:tcPr>
          <w:p w14:paraId="41615DA8">
            <w:pPr>
              <w:spacing w:before="40" w:after="40"/>
              <w:jc w:val="left"/>
            </w:pPr>
            <w:r>
              <w:rPr>
                <w:b/>
                <w:bCs/>
                <w:color w:val="000000"/>
                <w:sz w:val="20"/>
                <w:szCs w:val="20"/>
              </w:rPr>
              <w:t>Propagator</w:t>
            </w:r>
          </w:p>
        </w:tc>
        <w:tc>
          <w:tcPr>
            <w:tcW w:w="5616" w:type="dxa"/>
            <w:shd w:val="clear" w:color="auto" w:fill="FFFFFF"/>
          </w:tcPr>
          <w:p w14:paraId="797EBC7B">
            <w:pPr>
              <w:spacing w:before="40" w:after="40"/>
              <w:jc w:val="center"/>
            </w:pPr>
            <w:r>
              <w:rPr>
                <w:b w:val="0"/>
                <w:bCs w:val="0"/>
                <w:color w:val="000000"/>
                <w:sz w:val="20"/>
                <w:szCs w:val="20"/>
              </w:rPr>
              <w:t>RungeKutta89 (RK89)</w:t>
            </w:r>
          </w:p>
        </w:tc>
      </w:tr>
      <w:tr w14:paraId="500C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EBF3FB"/>
          </w:tcPr>
          <w:p w14:paraId="041EFC8A">
            <w:pPr>
              <w:spacing w:before="40" w:after="40"/>
              <w:jc w:val="left"/>
            </w:pPr>
            <w:r>
              <w:rPr>
                <w:b/>
                <w:bCs/>
                <w:color w:val="000000"/>
                <w:sz w:val="20"/>
                <w:szCs w:val="20"/>
              </w:rPr>
              <w:t>Atmospheric drag</w:t>
            </w:r>
          </w:p>
        </w:tc>
        <w:tc>
          <w:tcPr>
            <w:tcW w:w="5616" w:type="dxa"/>
            <w:shd w:val="clear" w:color="auto" w:fill="EBF3FB"/>
          </w:tcPr>
          <w:p w14:paraId="738D768D">
            <w:pPr>
              <w:spacing w:before="40" w:after="40"/>
              <w:jc w:val="center"/>
            </w:pPr>
            <w:r>
              <w:rPr>
                <w:b w:val="0"/>
                <w:bCs w:val="0"/>
                <w:color w:val="000000"/>
                <w:sz w:val="20"/>
                <w:szCs w:val="20"/>
              </w:rPr>
              <w:t>Cd = 2.2, Area = 5 m2 (included via spacecraft properties)</w:t>
            </w:r>
          </w:p>
        </w:tc>
      </w:tr>
      <w:tr w14:paraId="3627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FFFFFF"/>
          </w:tcPr>
          <w:p w14:paraId="5896A4A3">
            <w:pPr>
              <w:spacing w:before="40" w:after="40"/>
              <w:jc w:val="left"/>
            </w:pPr>
            <w:r>
              <w:rPr>
                <w:b/>
                <w:bCs/>
                <w:color w:val="000000"/>
                <w:sz w:val="20"/>
                <w:szCs w:val="20"/>
              </w:rPr>
              <w:t>Solar radiation pressure</w:t>
            </w:r>
          </w:p>
        </w:tc>
        <w:tc>
          <w:tcPr>
            <w:tcW w:w="5616" w:type="dxa"/>
            <w:shd w:val="clear" w:color="auto" w:fill="FFFFFF"/>
          </w:tcPr>
          <w:p w14:paraId="23F45EC8">
            <w:pPr>
              <w:spacing w:before="40" w:after="40"/>
              <w:jc w:val="center"/>
            </w:pPr>
            <w:r>
              <w:rPr>
                <w:b w:val="0"/>
                <w:bCs w:val="0"/>
                <w:color w:val="000000"/>
                <w:sz w:val="20"/>
                <w:szCs w:val="20"/>
              </w:rPr>
              <w:t>Cr = 1.8, SRP Area = 5 m2</w:t>
            </w:r>
          </w:p>
        </w:tc>
      </w:tr>
      <w:tr w14:paraId="4C05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shd w:val="clear" w:color="auto" w:fill="EBF3FB"/>
          </w:tcPr>
          <w:p w14:paraId="753E5E5C">
            <w:pPr>
              <w:spacing w:before="40" w:after="40"/>
              <w:jc w:val="left"/>
            </w:pPr>
            <w:r>
              <w:rPr>
                <w:b/>
                <w:bCs/>
                <w:color w:val="000000"/>
                <w:sz w:val="20"/>
                <w:szCs w:val="20"/>
              </w:rPr>
              <w:t>Third-body</w:t>
            </w:r>
          </w:p>
        </w:tc>
        <w:tc>
          <w:tcPr>
            <w:tcW w:w="5616" w:type="dxa"/>
            <w:shd w:val="clear" w:color="auto" w:fill="EBF3FB"/>
          </w:tcPr>
          <w:p w14:paraId="7C27DAF5">
            <w:pPr>
              <w:spacing w:before="40" w:after="40"/>
              <w:jc w:val="center"/>
            </w:pPr>
            <w:r>
              <w:rPr>
                <w:b w:val="0"/>
                <w:bCs w:val="0"/>
                <w:color w:val="000000"/>
                <w:sz w:val="20"/>
                <w:szCs w:val="20"/>
              </w:rPr>
              <w:t>Not modelled (acceptable for short-duration LEO manoeuvre)</w:t>
            </w:r>
          </w:p>
        </w:tc>
      </w:tr>
    </w:tbl>
    <w:p w14:paraId="2F9FA64E">
      <w:pPr>
        <w:spacing w:before="0" w:after="160"/>
      </w:pPr>
    </w:p>
    <w:p w14:paraId="0E10EED5">
      <w:pPr>
        <w:pStyle w:val="3"/>
        <w:spacing w:before="280" w:after="80"/>
        <w:rPr>
          <w:b/>
          <w:bCs/>
          <w:color w:val="2E74B5"/>
          <w:sz w:val="26"/>
          <w:szCs w:val="26"/>
        </w:rPr>
      </w:pPr>
      <w:r>
        <w:t>4.3  Impulsive Burn Definitions</w:t>
      </w:r>
    </w:p>
    <w:p w14:paraId="30870452">
      <w:pPr>
        <w:spacing w:before="60" w:after="100"/>
        <w:jc w:val="both"/>
      </w:pPr>
      <w:r>
        <w:rPr>
          <w:color w:val="000000"/>
          <w:sz w:val="22"/>
          <w:szCs w:val="22"/>
        </w:rPr>
        <w:t>Both burns are defined as ImpulsiveBurn objects in the VNB (Velocity-Normal-Binormal) reference frame. VNB is the standard frame for manoeuvre specification in LEO: the V-axis is aligned with the velocity vector, N is the orbit normal, and B completes the right-handed triad.</w:t>
      </w:r>
    </w:p>
    <w:p w14:paraId="1D09C828">
      <w:pPr>
        <w:spacing w:before="60" w:after="100"/>
        <w:jc w:val="both"/>
      </w:pPr>
      <w:r>
        <w:rPr>
          <w:b/>
          <w:bCs/>
          <w:color w:val="000000"/>
          <w:sz w:val="22"/>
          <w:szCs w:val="22"/>
        </w:rPr>
        <w:t xml:space="preserve">Critical GMAT syntax: </w:t>
      </w:r>
      <w:r>
        <w:rPr>
          <w:color w:val="000000"/>
          <w:sz w:val="22"/>
          <w:szCs w:val="22"/>
        </w:rPr>
        <w:t xml:space="preserve">VNB is not a named coordinate system object in GMAT R2022a. The correct specification is </w:t>
      </w:r>
      <w:r>
        <w:rPr>
          <w:rFonts w:ascii="Courier New" w:hAnsi="Courier New" w:eastAsia="Courier New" w:cs="Courier New"/>
          <w:color w:val="1F497D"/>
          <w:sz w:val="20"/>
          <w:szCs w:val="20"/>
        </w:rPr>
        <w:t>CoordinateSystem = Local; Origin = Earth; Axes = VNB</w:t>
      </w:r>
      <w:r>
        <w:rPr>
          <w:color w:val="000000"/>
          <w:sz w:val="22"/>
          <w:szCs w:val="22"/>
        </w:rPr>
        <w:t xml:space="preserve"> inline in the ImpulsiveBurn definition. No </w:t>
      </w:r>
      <w:r>
        <w:rPr>
          <w:rFonts w:ascii="Courier New" w:hAnsi="Courier New" w:eastAsia="Courier New" w:cs="Courier New"/>
          <w:color w:val="1F497D"/>
          <w:sz w:val="20"/>
          <w:szCs w:val="20"/>
        </w:rPr>
        <w:t>Create CoordinateSystem VNB</w:t>
      </w:r>
      <w:r>
        <w:rPr>
          <w:color w:val="000000"/>
          <w:sz w:val="22"/>
          <w:szCs w:val="22"/>
        </w:rPr>
        <w:t xml:space="preserve"> command is needed or valid.</w:t>
      </w:r>
    </w:p>
    <w:p w14:paraId="60D6A23E">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5"/>
        <w:gridCol w:w="1685"/>
        <w:gridCol w:w="1123"/>
        <w:gridCol w:w="936"/>
        <w:gridCol w:w="1685"/>
        <w:gridCol w:w="1123"/>
        <w:gridCol w:w="1123"/>
      </w:tblGrid>
      <w:tr w14:paraId="75CEB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85" w:type="dxa"/>
            <w:shd w:val="clear" w:color="auto" w:fill="1F3864"/>
          </w:tcPr>
          <w:p w14:paraId="2F74DDDD">
            <w:pPr>
              <w:spacing w:before="40" w:after="40"/>
              <w:jc w:val="center"/>
            </w:pPr>
            <w:r>
              <w:rPr>
                <w:b/>
                <w:bCs/>
                <w:color w:val="FFFFFF"/>
                <w:sz w:val="20"/>
                <w:szCs w:val="20"/>
              </w:rPr>
              <w:t>Burn</w:t>
            </w:r>
          </w:p>
        </w:tc>
        <w:tc>
          <w:tcPr>
            <w:tcW w:w="1685" w:type="dxa"/>
            <w:shd w:val="clear" w:color="auto" w:fill="1F3864"/>
          </w:tcPr>
          <w:p w14:paraId="6990ABA6">
            <w:pPr>
              <w:spacing w:before="40" w:after="40"/>
              <w:jc w:val="center"/>
            </w:pPr>
            <w:r>
              <w:rPr>
                <w:b/>
                <w:bCs/>
                <w:color w:val="FFFFFF"/>
                <w:sz w:val="20"/>
                <w:szCs w:val="20"/>
              </w:rPr>
              <w:t>CoordinateSystem</w:t>
            </w:r>
          </w:p>
        </w:tc>
        <w:tc>
          <w:tcPr>
            <w:tcW w:w="1123" w:type="dxa"/>
            <w:shd w:val="clear" w:color="auto" w:fill="1F3864"/>
          </w:tcPr>
          <w:p w14:paraId="7C0677AE">
            <w:pPr>
              <w:spacing w:before="40" w:after="40"/>
              <w:jc w:val="center"/>
            </w:pPr>
            <w:r>
              <w:rPr>
                <w:b/>
                <w:bCs/>
                <w:color w:val="FFFFFF"/>
                <w:sz w:val="20"/>
                <w:szCs w:val="20"/>
              </w:rPr>
              <w:t>Origin</w:t>
            </w:r>
          </w:p>
        </w:tc>
        <w:tc>
          <w:tcPr>
            <w:tcW w:w="936" w:type="dxa"/>
            <w:shd w:val="clear" w:color="auto" w:fill="1F3864"/>
          </w:tcPr>
          <w:p w14:paraId="21C16764">
            <w:pPr>
              <w:spacing w:before="40" w:after="40"/>
              <w:jc w:val="center"/>
            </w:pPr>
            <w:r>
              <w:rPr>
                <w:b/>
                <w:bCs/>
                <w:color w:val="FFFFFF"/>
                <w:sz w:val="20"/>
                <w:szCs w:val="20"/>
              </w:rPr>
              <w:t>Axes</w:t>
            </w:r>
          </w:p>
        </w:tc>
        <w:tc>
          <w:tcPr>
            <w:tcW w:w="1685" w:type="dxa"/>
            <w:shd w:val="clear" w:color="auto" w:fill="1F3864"/>
          </w:tcPr>
          <w:p w14:paraId="3531BB0F">
            <w:pPr>
              <w:spacing w:before="40" w:after="40"/>
              <w:jc w:val="center"/>
            </w:pPr>
            <w:r>
              <w:rPr>
                <w:b/>
                <w:bCs/>
                <w:color w:val="FFFFFF"/>
                <w:sz w:val="20"/>
                <w:szCs w:val="20"/>
              </w:rPr>
              <w:t>Element1 (V)</w:t>
            </w:r>
          </w:p>
        </w:tc>
        <w:tc>
          <w:tcPr>
            <w:tcW w:w="1123" w:type="dxa"/>
            <w:shd w:val="clear" w:color="auto" w:fill="1F3864"/>
          </w:tcPr>
          <w:p w14:paraId="020A045C">
            <w:pPr>
              <w:spacing w:before="40" w:after="40"/>
              <w:jc w:val="center"/>
            </w:pPr>
            <w:r>
              <w:rPr>
                <w:b/>
                <w:bCs/>
                <w:color w:val="FFFFFF"/>
                <w:sz w:val="20"/>
                <w:szCs w:val="20"/>
              </w:rPr>
              <w:t>Element2 (N)</w:t>
            </w:r>
          </w:p>
        </w:tc>
        <w:tc>
          <w:tcPr>
            <w:tcW w:w="1123" w:type="dxa"/>
            <w:shd w:val="clear" w:color="auto" w:fill="1F3864"/>
          </w:tcPr>
          <w:p w14:paraId="124738E4">
            <w:pPr>
              <w:spacing w:before="40" w:after="40"/>
              <w:jc w:val="center"/>
            </w:pPr>
            <w:r>
              <w:rPr>
                <w:b/>
                <w:bCs/>
                <w:color w:val="FFFFFF"/>
                <w:sz w:val="20"/>
                <w:szCs w:val="20"/>
              </w:rPr>
              <w:t>Element3 (B)</w:t>
            </w:r>
          </w:p>
        </w:tc>
      </w:tr>
      <w:tr w14:paraId="58F3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5" w:type="dxa"/>
            <w:shd w:val="clear" w:color="auto" w:fill="FFFFFF"/>
          </w:tcPr>
          <w:p w14:paraId="5EA1C55D">
            <w:pPr>
              <w:spacing w:before="40" w:after="40"/>
              <w:jc w:val="left"/>
            </w:pPr>
            <w:r>
              <w:rPr>
                <w:b/>
                <w:bCs/>
                <w:color w:val="000000"/>
                <w:sz w:val="20"/>
                <w:szCs w:val="20"/>
              </w:rPr>
              <w:t>Burn1 (at periapsis)</w:t>
            </w:r>
          </w:p>
        </w:tc>
        <w:tc>
          <w:tcPr>
            <w:tcW w:w="1685" w:type="dxa"/>
            <w:shd w:val="clear" w:color="auto" w:fill="FFFFFF"/>
          </w:tcPr>
          <w:p w14:paraId="4F3374F3">
            <w:pPr>
              <w:spacing w:before="40" w:after="40"/>
              <w:jc w:val="center"/>
            </w:pPr>
            <w:r>
              <w:rPr>
                <w:b w:val="0"/>
                <w:bCs w:val="0"/>
                <w:color w:val="000000"/>
                <w:sz w:val="20"/>
                <w:szCs w:val="20"/>
              </w:rPr>
              <w:t>Local</w:t>
            </w:r>
          </w:p>
        </w:tc>
        <w:tc>
          <w:tcPr>
            <w:tcW w:w="1123" w:type="dxa"/>
            <w:shd w:val="clear" w:color="auto" w:fill="FFFFFF"/>
          </w:tcPr>
          <w:p w14:paraId="597B5BA2">
            <w:pPr>
              <w:spacing w:before="40" w:after="40"/>
              <w:jc w:val="center"/>
            </w:pPr>
            <w:r>
              <w:rPr>
                <w:b w:val="0"/>
                <w:bCs w:val="0"/>
                <w:color w:val="000000"/>
                <w:sz w:val="20"/>
                <w:szCs w:val="20"/>
              </w:rPr>
              <w:t>Earth</w:t>
            </w:r>
          </w:p>
        </w:tc>
        <w:tc>
          <w:tcPr>
            <w:tcW w:w="936" w:type="dxa"/>
            <w:shd w:val="clear" w:color="auto" w:fill="FFFFFF"/>
          </w:tcPr>
          <w:p w14:paraId="3FEB1AF6">
            <w:pPr>
              <w:spacing w:before="40" w:after="40"/>
              <w:jc w:val="center"/>
            </w:pPr>
            <w:r>
              <w:rPr>
                <w:b w:val="0"/>
                <w:bCs w:val="0"/>
                <w:color w:val="000000"/>
                <w:sz w:val="20"/>
                <w:szCs w:val="20"/>
              </w:rPr>
              <w:t>VNB</w:t>
            </w:r>
          </w:p>
        </w:tc>
        <w:tc>
          <w:tcPr>
            <w:tcW w:w="1685" w:type="dxa"/>
            <w:shd w:val="clear" w:color="auto" w:fill="FFFFFF"/>
          </w:tcPr>
          <w:p w14:paraId="42D66F79">
            <w:pPr>
              <w:spacing w:before="40" w:after="40"/>
              <w:jc w:val="center"/>
            </w:pPr>
            <w:r>
              <w:rPr>
                <w:b w:val="0"/>
                <w:bCs w:val="0"/>
                <w:color w:val="000000"/>
                <w:sz w:val="20"/>
                <w:szCs w:val="20"/>
              </w:rPr>
              <w:t>0.005671 km/s</w:t>
            </w:r>
          </w:p>
        </w:tc>
        <w:tc>
          <w:tcPr>
            <w:tcW w:w="1123" w:type="dxa"/>
            <w:shd w:val="clear" w:color="auto" w:fill="FFFFFF"/>
          </w:tcPr>
          <w:p w14:paraId="4FFC8DB9">
            <w:pPr>
              <w:spacing w:before="40" w:after="40"/>
              <w:jc w:val="center"/>
            </w:pPr>
            <w:r>
              <w:rPr>
                <w:b w:val="0"/>
                <w:bCs w:val="0"/>
                <w:color w:val="000000"/>
                <w:sz w:val="20"/>
                <w:szCs w:val="20"/>
              </w:rPr>
              <w:t>0</w:t>
            </w:r>
          </w:p>
        </w:tc>
        <w:tc>
          <w:tcPr>
            <w:tcW w:w="1123" w:type="dxa"/>
            <w:shd w:val="clear" w:color="auto" w:fill="FFFFFF"/>
          </w:tcPr>
          <w:p w14:paraId="2F52A84C">
            <w:pPr>
              <w:spacing w:before="40" w:after="40"/>
              <w:jc w:val="center"/>
            </w:pPr>
            <w:r>
              <w:rPr>
                <w:b w:val="0"/>
                <w:bCs w:val="0"/>
                <w:color w:val="000000"/>
                <w:sz w:val="20"/>
                <w:szCs w:val="20"/>
              </w:rPr>
              <w:t>0</w:t>
            </w:r>
          </w:p>
        </w:tc>
      </w:tr>
      <w:tr w14:paraId="387A0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85" w:type="dxa"/>
            <w:shd w:val="clear" w:color="auto" w:fill="EBF3FB"/>
          </w:tcPr>
          <w:p w14:paraId="4C7FF5C7">
            <w:pPr>
              <w:spacing w:before="40" w:after="40"/>
              <w:jc w:val="left"/>
            </w:pPr>
            <w:r>
              <w:rPr>
                <w:b/>
                <w:bCs/>
                <w:color w:val="000000"/>
                <w:sz w:val="20"/>
                <w:szCs w:val="20"/>
              </w:rPr>
              <w:t>Burn2 (at apoapsis)</w:t>
            </w:r>
          </w:p>
        </w:tc>
        <w:tc>
          <w:tcPr>
            <w:tcW w:w="1685" w:type="dxa"/>
            <w:shd w:val="clear" w:color="auto" w:fill="EBF3FB"/>
          </w:tcPr>
          <w:p w14:paraId="226540E5">
            <w:pPr>
              <w:spacing w:before="40" w:after="40"/>
              <w:jc w:val="center"/>
            </w:pPr>
            <w:r>
              <w:rPr>
                <w:b w:val="0"/>
                <w:bCs w:val="0"/>
                <w:color w:val="000000"/>
                <w:sz w:val="20"/>
                <w:szCs w:val="20"/>
              </w:rPr>
              <w:t>Local</w:t>
            </w:r>
          </w:p>
        </w:tc>
        <w:tc>
          <w:tcPr>
            <w:tcW w:w="1123" w:type="dxa"/>
            <w:shd w:val="clear" w:color="auto" w:fill="EBF3FB"/>
          </w:tcPr>
          <w:p w14:paraId="2D5407FD">
            <w:pPr>
              <w:spacing w:before="40" w:after="40"/>
              <w:jc w:val="center"/>
            </w:pPr>
            <w:r>
              <w:rPr>
                <w:b w:val="0"/>
                <w:bCs w:val="0"/>
                <w:color w:val="000000"/>
                <w:sz w:val="20"/>
                <w:szCs w:val="20"/>
              </w:rPr>
              <w:t>Earth</w:t>
            </w:r>
          </w:p>
        </w:tc>
        <w:tc>
          <w:tcPr>
            <w:tcW w:w="936" w:type="dxa"/>
            <w:shd w:val="clear" w:color="auto" w:fill="EBF3FB"/>
          </w:tcPr>
          <w:p w14:paraId="1DAB9C11">
            <w:pPr>
              <w:spacing w:before="40" w:after="40"/>
              <w:jc w:val="center"/>
            </w:pPr>
            <w:r>
              <w:rPr>
                <w:b w:val="0"/>
                <w:bCs w:val="0"/>
                <w:color w:val="000000"/>
                <w:sz w:val="20"/>
                <w:szCs w:val="20"/>
              </w:rPr>
              <w:t>VNB</w:t>
            </w:r>
          </w:p>
        </w:tc>
        <w:tc>
          <w:tcPr>
            <w:tcW w:w="1685" w:type="dxa"/>
            <w:shd w:val="clear" w:color="auto" w:fill="EBF3FB"/>
          </w:tcPr>
          <w:p w14:paraId="0AFA37B3">
            <w:pPr>
              <w:spacing w:before="40" w:after="40"/>
              <w:jc w:val="center"/>
            </w:pPr>
            <w:r>
              <w:rPr>
                <w:b w:val="0"/>
                <w:bCs w:val="0"/>
                <w:color w:val="000000"/>
                <w:sz w:val="20"/>
                <w:szCs w:val="20"/>
              </w:rPr>
              <w:t>0.005667 km/s</w:t>
            </w:r>
          </w:p>
        </w:tc>
        <w:tc>
          <w:tcPr>
            <w:tcW w:w="1123" w:type="dxa"/>
            <w:shd w:val="clear" w:color="auto" w:fill="EBF3FB"/>
          </w:tcPr>
          <w:p w14:paraId="55FDCD69">
            <w:pPr>
              <w:spacing w:before="40" w:after="40"/>
              <w:jc w:val="center"/>
            </w:pPr>
            <w:r>
              <w:rPr>
                <w:b w:val="0"/>
                <w:bCs w:val="0"/>
                <w:color w:val="000000"/>
                <w:sz w:val="20"/>
                <w:szCs w:val="20"/>
              </w:rPr>
              <w:t>0</w:t>
            </w:r>
          </w:p>
        </w:tc>
        <w:tc>
          <w:tcPr>
            <w:tcW w:w="1123" w:type="dxa"/>
            <w:shd w:val="clear" w:color="auto" w:fill="EBF3FB"/>
          </w:tcPr>
          <w:p w14:paraId="559267B3">
            <w:pPr>
              <w:spacing w:before="40" w:after="40"/>
              <w:jc w:val="center"/>
            </w:pPr>
            <w:r>
              <w:rPr>
                <w:b w:val="0"/>
                <w:bCs w:val="0"/>
                <w:color w:val="000000"/>
                <w:sz w:val="20"/>
                <w:szCs w:val="20"/>
              </w:rPr>
              <w:t>0</w:t>
            </w:r>
          </w:p>
        </w:tc>
      </w:tr>
    </w:tbl>
    <w:p w14:paraId="305B0DE2">
      <w:pPr>
        <w:spacing w:before="0" w:after="160"/>
      </w:pPr>
    </w:p>
    <w:p w14:paraId="7C7CB4D5">
      <w:pPr>
        <w:pStyle w:val="3"/>
        <w:spacing w:before="280" w:after="80"/>
        <w:rPr>
          <w:b/>
          <w:bCs/>
          <w:color w:val="2E74B5"/>
          <w:sz w:val="26"/>
          <w:szCs w:val="26"/>
        </w:rPr>
      </w:pPr>
      <w:r>
        <w:t>4.4  Mission Sequence</w:t>
      </w:r>
    </w:p>
    <w:p w14:paraId="3C7DFA1A">
      <w:pPr>
        <w:spacing w:before="60" w:after="100"/>
        <w:jc w:val="both"/>
      </w:pPr>
      <w:r>
        <w:rPr>
          <w:color w:val="000000"/>
          <w:sz w:val="22"/>
          <w:szCs w:val="22"/>
        </w:rPr>
        <w:t>The mission sequence uses periapsis and apoapsis stopping conditions to time the burns precisely:</w:t>
      </w:r>
    </w:p>
    <w:p w14:paraId="3E933344">
      <w:pPr>
        <w:spacing w:before="80" w:after="80"/>
        <w:ind w:left="400"/>
      </w:pPr>
      <w:r>
        <w:rPr>
          <w:rFonts w:ascii="Courier New" w:hAnsi="Courier New" w:eastAsia="Courier New" w:cs="Courier New"/>
          <w:color w:val="1F497D"/>
          <w:sz w:val="20"/>
          <w:szCs w:val="20"/>
        </w:rPr>
        <w:t>1.  Coast 5440 s (coast degraded orbit — ~1 orbit pass)</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2.  Propagate {LEOSat.Periapsis}</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3.  Report (pre-Burn1 state)</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4.  Maneuver Burn1(LEOSat)</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5.  Report (post-Burn1 state)</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6.  Propagate {LEOSat.Apoapsis}</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7.  Report (pre-Burn2 state)</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8.  Maneuver Burn2(LEOSat)</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9.  Report (post-Burn2 state)</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10. Coast 5440 s (verify restored orbit)</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11. Report (final state)</w:t>
      </w:r>
    </w:p>
    <w:p w14:paraId="49637281">
      <w:pPr>
        <w:spacing w:before="0" w:after="80"/>
      </w:pPr>
    </w:p>
    <w:p w14:paraId="4533104D">
      <w:pPr>
        <w:spacing w:before="60" w:after="100"/>
        <w:jc w:val="both"/>
      </w:pPr>
      <w:r>
        <w:rPr>
          <w:color w:val="000000"/>
          <w:sz w:val="22"/>
          <w:szCs w:val="22"/>
        </w:rPr>
        <w:t>The {LEOSat.Periapsis} stopping condition propagates to the exact moment of periapsis passage — the geometrically optimal point for Burn 1 (maximises the Oberth effect on the apogee-raising burn). Similarly, {LEOSat.Apoapsis} times Burn 2 exactly at apogee, where a prograde burn most efficiently raises the periapsis.</w:t>
      </w:r>
    </w:p>
    <w:p w14:paraId="2DB63747">
      <w:r>
        <w:br w:type="page"/>
      </w:r>
    </w:p>
    <w:p w14:paraId="40416F30">
      <w:pPr>
        <w:pStyle w:val="2"/>
        <w:spacing w:before="360" w:after="120"/>
        <w:rPr>
          <w:b/>
          <w:bCs/>
          <w:color w:val="1F3864"/>
          <w:sz w:val="32"/>
          <w:szCs w:val="32"/>
        </w:rPr>
      </w:pPr>
      <w:r>
        <w:t>5. Simulation Results — ManoeuvreReport.txt</w:t>
      </w:r>
    </w:p>
    <w:p w14:paraId="7421CD18">
      <w:pPr>
        <w:pStyle w:val="3"/>
        <w:spacing w:before="280" w:after="80"/>
        <w:rPr>
          <w:b/>
          <w:bCs/>
          <w:color w:val="2E74B5"/>
          <w:sz w:val="26"/>
          <w:szCs w:val="26"/>
        </w:rPr>
      </w:pPr>
      <w:r>
        <w:t>5.1  Milestone State Vector Table</w:t>
      </w:r>
    </w:p>
    <w:p w14:paraId="46077439">
      <w:pPr>
        <w:spacing w:before="60" w:after="100"/>
        <w:jc w:val="both"/>
      </w:pPr>
      <w:r>
        <w:rPr>
          <w:color w:val="000000"/>
          <w:sz w:val="22"/>
          <w:szCs w:val="22"/>
        </w:rPr>
        <w:t>GMAT's Report commands captured the orbital state at six key milestones:</w:t>
      </w:r>
    </w:p>
    <w:p w14:paraId="0697A3D2">
      <w:pPr>
        <w:spacing w:before="0" w:after="80"/>
      </w:pPr>
    </w:p>
    <w:tbl>
      <w:tblPr>
        <w:tblStyle w:val="9"/>
        <w:tblW w:w="93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4"/>
        <w:gridCol w:w="2059"/>
        <w:gridCol w:w="1217"/>
        <w:gridCol w:w="1217"/>
        <w:gridCol w:w="1217"/>
        <w:gridCol w:w="1217"/>
      </w:tblGrid>
      <w:tr w14:paraId="5228A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34" w:type="dxa"/>
            <w:shd w:val="clear" w:color="auto" w:fill="1F3864"/>
          </w:tcPr>
          <w:p w14:paraId="16CA3F4A">
            <w:pPr>
              <w:spacing w:before="40" w:after="40"/>
              <w:jc w:val="center"/>
            </w:pPr>
            <w:r>
              <w:rPr>
                <w:b/>
                <w:bCs/>
                <w:color w:val="FFFFFF"/>
                <w:sz w:val="20"/>
                <w:szCs w:val="20"/>
              </w:rPr>
              <w:t>Milestone</w:t>
            </w:r>
          </w:p>
        </w:tc>
        <w:tc>
          <w:tcPr>
            <w:tcW w:w="2059" w:type="dxa"/>
            <w:shd w:val="clear" w:color="auto" w:fill="1F3864"/>
          </w:tcPr>
          <w:p w14:paraId="671096B2">
            <w:pPr>
              <w:spacing w:before="40" w:after="40"/>
              <w:jc w:val="center"/>
            </w:pPr>
            <w:r>
              <w:rPr>
                <w:b/>
                <w:bCs/>
                <w:color w:val="FFFFFF"/>
                <w:sz w:val="20"/>
                <w:szCs w:val="20"/>
              </w:rPr>
              <w:t>UTC Epoch</w:t>
            </w:r>
          </w:p>
        </w:tc>
        <w:tc>
          <w:tcPr>
            <w:tcW w:w="1217" w:type="dxa"/>
            <w:shd w:val="clear" w:color="auto" w:fill="1F3864"/>
          </w:tcPr>
          <w:p w14:paraId="2CA457B8">
            <w:pPr>
              <w:spacing w:before="40" w:after="40"/>
              <w:jc w:val="center"/>
            </w:pPr>
            <w:r>
              <w:rPr>
                <w:b/>
                <w:bCs/>
                <w:color w:val="FFFFFF"/>
                <w:sz w:val="20"/>
                <w:szCs w:val="20"/>
              </w:rPr>
              <w:t>SMA (km)</w:t>
            </w:r>
          </w:p>
        </w:tc>
        <w:tc>
          <w:tcPr>
            <w:tcW w:w="1217" w:type="dxa"/>
            <w:shd w:val="clear" w:color="auto" w:fill="1F3864"/>
          </w:tcPr>
          <w:p w14:paraId="5E533A5A">
            <w:pPr>
              <w:spacing w:before="40" w:after="40"/>
              <w:jc w:val="center"/>
            </w:pPr>
            <w:r>
              <w:rPr>
                <w:b/>
                <w:bCs/>
                <w:color w:val="FFFFFF"/>
                <w:sz w:val="20"/>
                <w:szCs w:val="20"/>
              </w:rPr>
              <w:t>ECC</w:t>
            </w:r>
          </w:p>
        </w:tc>
        <w:tc>
          <w:tcPr>
            <w:tcW w:w="1217" w:type="dxa"/>
            <w:shd w:val="clear" w:color="auto" w:fill="1F3864"/>
          </w:tcPr>
          <w:p w14:paraId="2C436E8A">
            <w:pPr>
              <w:spacing w:before="40" w:after="40"/>
              <w:jc w:val="center"/>
            </w:pPr>
            <w:r>
              <w:rPr>
                <w:b/>
                <w:bCs/>
                <w:color w:val="FFFFFF"/>
                <w:sz w:val="20"/>
                <w:szCs w:val="20"/>
              </w:rPr>
              <w:t>INC (deg)</w:t>
            </w:r>
          </w:p>
        </w:tc>
        <w:tc>
          <w:tcPr>
            <w:tcW w:w="1217" w:type="dxa"/>
            <w:shd w:val="clear" w:color="auto" w:fill="1F3864"/>
          </w:tcPr>
          <w:p w14:paraId="2F940612">
            <w:pPr>
              <w:spacing w:before="40" w:after="40"/>
              <w:jc w:val="center"/>
            </w:pPr>
            <w:r>
              <w:rPr>
                <w:b/>
                <w:bCs/>
                <w:color w:val="FFFFFF"/>
                <w:sz w:val="20"/>
                <w:szCs w:val="20"/>
              </w:rPr>
              <w:t>TA (deg)</w:t>
            </w:r>
          </w:p>
        </w:tc>
      </w:tr>
      <w:tr w14:paraId="53AF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4" w:type="dxa"/>
            <w:shd w:val="clear" w:color="auto" w:fill="FFFFFF"/>
          </w:tcPr>
          <w:p w14:paraId="0922AFBF">
            <w:pPr>
              <w:spacing w:before="40" w:after="40"/>
              <w:jc w:val="left"/>
            </w:pPr>
            <w:r>
              <w:rPr>
                <w:b/>
                <w:bCs/>
                <w:color w:val="000000"/>
                <w:sz w:val="20"/>
                <w:szCs w:val="20"/>
              </w:rPr>
              <w:t>t=0 Epoch (degraded orbit)</w:t>
            </w:r>
          </w:p>
        </w:tc>
        <w:tc>
          <w:tcPr>
            <w:tcW w:w="2059" w:type="dxa"/>
            <w:shd w:val="clear" w:color="auto" w:fill="FFFFFF"/>
          </w:tcPr>
          <w:p w14:paraId="7BB54092">
            <w:pPr>
              <w:spacing w:before="40" w:after="40"/>
              <w:jc w:val="center"/>
            </w:pPr>
            <w:r>
              <w:rPr>
                <w:b w:val="0"/>
                <w:bCs w:val="0"/>
                <w:color w:val="000000"/>
                <w:sz w:val="20"/>
                <w:szCs w:val="20"/>
              </w:rPr>
              <w:t>01 Jan 2024 00:00:00</w:t>
            </w:r>
          </w:p>
        </w:tc>
        <w:tc>
          <w:tcPr>
            <w:tcW w:w="1217" w:type="dxa"/>
            <w:shd w:val="clear" w:color="auto" w:fill="FFFFFF"/>
          </w:tcPr>
          <w:p w14:paraId="0D821E79">
            <w:pPr>
              <w:spacing w:before="40" w:after="40"/>
              <w:jc w:val="center"/>
            </w:pPr>
            <w:r>
              <w:rPr>
                <w:b w:val="0"/>
                <w:bCs w:val="0"/>
                <w:color w:val="000000"/>
                <w:sz w:val="20"/>
                <w:szCs w:val="20"/>
              </w:rPr>
              <w:t>6758.140</w:t>
            </w:r>
          </w:p>
        </w:tc>
        <w:tc>
          <w:tcPr>
            <w:tcW w:w="1217" w:type="dxa"/>
            <w:shd w:val="clear" w:color="auto" w:fill="FFFFFF"/>
          </w:tcPr>
          <w:p w14:paraId="77543641">
            <w:pPr>
              <w:spacing w:before="40" w:after="40"/>
              <w:jc w:val="center"/>
            </w:pPr>
            <w:r>
              <w:rPr>
                <w:b w:val="0"/>
                <w:bCs w:val="0"/>
                <w:color w:val="000000"/>
                <w:sz w:val="20"/>
                <w:szCs w:val="20"/>
              </w:rPr>
              <w:t>0.000100</w:t>
            </w:r>
          </w:p>
        </w:tc>
        <w:tc>
          <w:tcPr>
            <w:tcW w:w="1217" w:type="dxa"/>
            <w:shd w:val="clear" w:color="auto" w:fill="FFFFFF"/>
          </w:tcPr>
          <w:p w14:paraId="63895F98">
            <w:pPr>
              <w:spacing w:before="40" w:after="40"/>
              <w:jc w:val="center"/>
            </w:pPr>
            <w:r>
              <w:rPr>
                <w:b w:val="0"/>
                <w:bCs w:val="0"/>
                <w:color w:val="000000"/>
                <w:sz w:val="20"/>
                <w:szCs w:val="20"/>
              </w:rPr>
              <w:t>51.600</w:t>
            </w:r>
          </w:p>
        </w:tc>
        <w:tc>
          <w:tcPr>
            <w:tcW w:w="1217" w:type="dxa"/>
            <w:shd w:val="clear" w:color="auto" w:fill="FFFFFF"/>
          </w:tcPr>
          <w:p w14:paraId="364C18D7">
            <w:pPr>
              <w:spacing w:before="40" w:after="40"/>
              <w:jc w:val="center"/>
            </w:pPr>
            <w:r>
              <w:rPr>
                <w:b w:val="0"/>
                <w:bCs w:val="0"/>
                <w:color w:val="000000"/>
                <w:sz w:val="20"/>
                <w:szCs w:val="20"/>
              </w:rPr>
              <w:t>0.000</w:t>
            </w:r>
          </w:p>
        </w:tc>
      </w:tr>
      <w:tr w14:paraId="4CD7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4" w:type="dxa"/>
            <w:shd w:val="clear" w:color="auto" w:fill="EBF3FB"/>
          </w:tcPr>
          <w:p w14:paraId="6827503A">
            <w:pPr>
              <w:spacing w:before="40" w:after="40"/>
              <w:jc w:val="left"/>
            </w:pPr>
            <w:r>
              <w:rPr>
                <w:b/>
                <w:bCs/>
                <w:color w:val="000000"/>
                <w:sz w:val="20"/>
                <w:szCs w:val="20"/>
              </w:rPr>
              <w:t>Pre-Burn1 (periapsis)</w:t>
            </w:r>
          </w:p>
        </w:tc>
        <w:tc>
          <w:tcPr>
            <w:tcW w:w="2059" w:type="dxa"/>
            <w:shd w:val="clear" w:color="auto" w:fill="EBF3FB"/>
          </w:tcPr>
          <w:p w14:paraId="3B7684EC">
            <w:pPr>
              <w:spacing w:before="40" w:after="40"/>
              <w:jc w:val="center"/>
            </w:pPr>
            <w:r>
              <w:rPr>
                <w:b w:val="0"/>
                <w:bCs w:val="0"/>
                <w:color w:val="000000"/>
                <w:sz w:val="20"/>
                <w:szCs w:val="20"/>
              </w:rPr>
              <w:t>01 Jan 2024 02:18:45</w:t>
            </w:r>
          </w:p>
        </w:tc>
        <w:tc>
          <w:tcPr>
            <w:tcW w:w="1217" w:type="dxa"/>
            <w:shd w:val="clear" w:color="auto" w:fill="EBF3FB"/>
          </w:tcPr>
          <w:p w14:paraId="29D3FFA6">
            <w:pPr>
              <w:spacing w:before="40" w:after="40"/>
              <w:jc w:val="center"/>
            </w:pPr>
            <w:r>
              <w:rPr>
                <w:b w:val="0"/>
                <w:bCs w:val="0"/>
                <w:color w:val="000000"/>
                <w:sz w:val="20"/>
                <w:szCs w:val="20"/>
              </w:rPr>
              <w:t>6758.072</w:t>
            </w:r>
          </w:p>
        </w:tc>
        <w:tc>
          <w:tcPr>
            <w:tcW w:w="1217" w:type="dxa"/>
            <w:shd w:val="clear" w:color="auto" w:fill="EBF3FB"/>
          </w:tcPr>
          <w:p w14:paraId="3F596FEB">
            <w:pPr>
              <w:spacing w:before="40" w:after="40"/>
              <w:jc w:val="center"/>
            </w:pPr>
            <w:r>
              <w:rPr>
                <w:b w:val="0"/>
                <w:bCs w:val="0"/>
                <w:color w:val="000000"/>
                <w:sz w:val="20"/>
                <w:szCs w:val="20"/>
              </w:rPr>
              <w:t>0.001609</w:t>
            </w:r>
          </w:p>
        </w:tc>
        <w:tc>
          <w:tcPr>
            <w:tcW w:w="1217" w:type="dxa"/>
            <w:shd w:val="clear" w:color="auto" w:fill="EBF3FB"/>
          </w:tcPr>
          <w:p w14:paraId="74CBC04F">
            <w:pPr>
              <w:spacing w:before="40" w:after="40"/>
              <w:jc w:val="center"/>
            </w:pPr>
            <w:r>
              <w:rPr>
                <w:b w:val="0"/>
                <w:bCs w:val="0"/>
                <w:color w:val="000000"/>
                <w:sz w:val="20"/>
                <w:szCs w:val="20"/>
              </w:rPr>
              <w:t>51.600</w:t>
            </w:r>
          </w:p>
        </w:tc>
        <w:tc>
          <w:tcPr>
            <w:tcW w:w="1217" w:type="dxa"/>
            <w:shd w:val="clear" w:color="auto" w:fill="EBF3FB"/>
          </w:tcPr>
          <w:p w14:paraId="2648B167">
            <w:pPr>
              <w:spacing w:before="40" w:after="40"/>
              <w:jc w:val="center"/>
            </w:pPr>
            <w:r>
              <w:rPr>
                <w:b w:val="0"/>
                <w:bCs w:val="0"/>
                <w:color w:val="000000"/>
                <w:sz w:val="20"/>
                <w:szCs w:val="20"/>
              </w:rPr>
              <w:t>0.000</w:t>
            </w:r>
          </w:p>
        </w:tc>
      </w:tr>
      <w:tr w14:paraId="36B2D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4" w:type="dxa"/>
            <w:shd w:val="clear" w:color="auto" w:fill="FFFFFF"/>
          </w:tcPr>
          <w:p w14:paraId="388082B8">
            <w:pPr>
              <w:spacing w:before="40" w:after="40"/>
              <w:jc w:val="left"/>
            </w:pPr>
            <w:r>
              <w:rPr>
                <w:b/>
                <w:bCs/>
                <w:color w:val="000000"/>
                <w:sz w:val="20"/>
                <w:szCs w:val="20"/>
              </w:rPr>
              <w:t>Post-Burn1 (transfer ellipse)</w:t>
            </w:r>
          </w:p>
        </w:tc>
        <w:tc>
          <w:tcPr>
            <w:tcW w:w="2059" w:type="dxa"/>
            <w:shd w:val="clear" w:color="auto" w:fill="FFFFFF"/>
          </w:tcPr>
          <w:p w14:paraId="67DE5C34">
            <w:pPr>
              <w:spacing w:before="40" w:after="40"/>
              <w:jc w:val="center"/>
            </w:pPr>
            <w:r>
              <w:rPr>
                <w:b w:val="0"/>
                <w:bCs w:val="0"/>
                <w:color w:val="000000"/>
                <w:sz w:val="20"/>
                <w:szCs w:val="20"/>
              </w:rPr>
              <w:t>01 Jan 2024 02:18:45</w:t>
            </w:r>
          </w:p>
        </w:tc>
        <w:tc>
          <w:tcPr>
            <w:tcW w:w="1217" w:type="dxa"/>
            <w:shd w:val="clear" w:color="auto" w:fill="FFFFFF"/>
          </w:tcPr>
          <w:p w14:paraId="64CB947C">
            <w:pPr>
              <w:spacing w:before="40" w:after="40"/>
              <w:jc w:val="center"/>
            </w:pPr>
            <w:r>
              <w:rPr>
                <w:b w:val="0"/>
                <w:bCs w:val="0"/>
                <w:color w:val="000000"/>
                <w:sz w:val="20"/>
                <w:szCs w:val="20"/>
              </w:rPr>
              <w:t>6768.087</w:t>
            </w:r>
          </w:p>
        </w:tc>
        <w:tc>
          <w:tcPr>
            <w:tcW w:w="1217" w:type="dxa"/>
            <w:shd w:val="clear" w:color="auto" w:fill="FFFFFF"/>
          </w:tcPr>
          <w:p w14:paraId="3FDDD41A">
            <w:pPr>
              <w:spacing w:before="40" w:after="40"/>
              <w:jc w:val="center"/>
            </w:pPr>
            <w:r>
              <w:rPr>
                <w:b w:val="0"/>
                <w:bCs w:val="0"/>
                <w:color w:val="000000"/>
                <w:sz w:val="20"/>
                <w:szCs w:val="20"/>
              </w:rPr>
              <w:t>0.003086</w:t>
            </w:r>
          </w:p>
        </w:tc>
        <w:tc>
          <w:tcPr>
            <w:tcW w:w="1217" w:type="dxa"/>
            <w:shd w:val="clear" w:color="auto" w:fill="FFFFFF"/>
          </w:tcPr>
          <w:p w14:paraId="7D7E2A39">
            <w:pPr>
              <w:spacing w:before="40" w:after="40"/>
              <w:jc w:val="center"/>
            </w:pPr>
            <w:r>
              <w:rPr>
                <w:b w:val="0"/>
                <w:bCs w:val="0"/>
                <w:color w:val="000000"/>
                <w:sz w:val="20"/>
                <w:szCs w:val="20"/>
              </w:rPr>
              <w:t>51.600</w:t>
            </w:r>
          </w:p>
        </w:tc>
        <w:tc>
          <w:tcPr>
            <w:tcW w:w="1217" w:type="dxa"/>
            <w:shd w:val="clear" w:color="auto" w:fill="FFFFFF"/>
          </w:tcPr>
          <w:p w14:paraId="402FAF8D">
            <w:pPr>
              <w:spacing w:before="40" w:after="40"/>
              <w:jc w:val="center"/>
            </w:pPr>
            <w:r>
              <w:rPr>
                <w:b w:val="0"/>
                <w:bCs w:val="0"/>
                <w:color w:val="000000"/>
                <w:sz w:val="20"/>
                <w:szCs w:val="20"/>
              </w:rPr>
              <w:t>~0.000</w:t>
            </w:r>
          </w:p>
        </w:tc>
      </w:tr>
      <w:tr w14:paraId="53F0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4" w:type="dxa"/>
            <w:shd w:val="clear" w:color="auto" w:fill="EBF3FB"/>
          </w:tcPr>
          <w:p w14:paraId="62FF0566">
            <w:pPr>
              <w:spacing w:before="40" w:after="40"/>
              <w:jc w:val="left"/>
            </w:pPr>
            <w:r>
              <w:rPr>
                <w:b/>
                <w:bCs/>
                <w:color w:val="000000"/>
                <w:sz w:val="20"/>
                <w:szCs w:val="20"/>
              </w:rPr>
              <w:t>Pre-Burn2 (apoapsis)</w:t>
            </w:r>
          </w:p>
        </w:tc>
        <w:tc>
          <w:tcPr>
            <w:tcW w:w="2059" w:type="dxa"/>
            <w:shd w:val="clear" w:color="auto" w:fill="EBF3FB"/>
          </w:tcPr>
          <w:p w14:paraId="1BBA5417">
            <w:pPr>
              <w:spacing w:before="40" w:after="40"/>
              <w:jc w:val="center"/>
            </w:pPr>
            <w:r>
              <w:rPr>
                <w:b w:val="0"/>
                <w:bCs w:val="0"/>
                <w:color w:val="000000"/>
                <w:sz w:val="20"/>
                <w:szCs w:val="20"/>
              </w:rPr>
              <w:t>01 Jan 2024 03:04:28</w:t>
            </w:r>
          </w:p>
        </w:tc>
        <w:tc>
          <w:tcPr>
            <w:tcW w:w="1217" w:type="dxa"/>
            <w:shd w:val="clear" w:color="auto" w:fill="EBF3FB"/>
          </w:tcPr>
          <w:p w14:paraId="57DA0DDB">
            <w:pPr>
              <w:spacing w:before="40" w:after="40"/>
              <w:jc w:val="center"/>
            </w:pPr>
            <w:r>
              <w:rPr>
                <w:b w:val="0"/>
                <w:bCs w:val="0"/>
                <w:color w:val="000000"/>
                <w:sz w:val="20"/>
                <w:szCs w:val="20"/>
              </w:rPr>
              <w:t>6768.060</w:t>
            </w:r>
          </w:p>
        </w:tc>
        <w:tc>
          <w:tcPr>
            <w:tcW w:w="1217" w:type="dxa"/>
            <w:shd w:val="clear" w:color="auto" w:fill="EBF3FB"/>
          </w:tcPr>
          <w:p w14:paraId="5B993F64">
            <w:pPr>
              <w:spacing w:before="40" w:after="40"/>
              <w:jc w:val="center"/>
            </w:pPr>
            <w:r>
              <w:rPr>
                <w:b w:val="0"/>
                <w:bCs w:val="0"/>
                <w:color w:val="000000"/>
                <w:sz w:val="20"/>
                <w:szCs w:val="20"/>
              </w:rPr>
              <w:t>0.001401</w:t>
            </w:r>
          </w:p>
        </w:tc>
        <w:tc>
          <w:tcPr>
            <w:tcW w:w="1217" w:type="dxa"/>
            <w:shd w:val="clear" w:color="auto" w:fill="EBF3FB"/>
          </w:tcPr>
          <w:p w14:paraId="353F6AD7">
            <w:pPr>
              <w:spacing w:before="40" w:after="40"/>
              <w:jc w:val="center"/>
            </w:pPr>
            <w:r>
              <w:rPr>
                <w:b w:val="0"/>
                <w:bCs w:val="0"/>
                <w:color w:val="000000"/>
                <w:sz w:val="20"/>
                <w:szCs w:val="20"/>
              </w:rPr>
              <w:t>51.601</w:t>
            </w:r>
          </w:p>
        </w:tc>
        <w:tc>
          <w:tcPr>
            <w:tcW w:w="1217" w:type="dxa"/>
            <w:shd w:val="clear" w:color="auto" w:fill="EBF3FB"/>
          </w:tcPr>
          <w:p w14:paraId="548B0263">
            <w:pPr>
              <w:spacing w:before="40" w:after="40"/>
              <w:jc w:val="center"/>
            </w:pPr>
            <w:r>
              <w:rPr>
                <w:b w:val="0"/>
                <w:bCs w:val="0"/>
                <w:color w:val="000000"/>
                <w:sz w:val="20"/>
                <w:szCs w:val="20"/>
              </w:rPr>
              <w:t>180.000</w:t>
            </w:r>
          </w:p>
        </w:tc>
      </w:tr>
      <w:tr w14:paraId="4800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4" w:type="dxa"/>
            <w:shd w:val="clear" w:color="auto" w:fill="FFFFFF"/>
          </w:tcPr>
          <w:p w14:paraId="5A0DF9AE">
            <w:pPr>
              <w:spacing w:before="40" w:after="40"/>
              <w:jc w:val="left"/>
            </w:pPr>
            <w:r>
              <w:rPr>
                <w:b/>
                <w:bCs/>
                <w:color w:val="000000"/>
                <w:sz w:val="20"/>
                <w:szCs w:val="20"/>
              </w:rPr>
              <w:t>Post-Burn2 (restored orbit)</w:t>
            </w:r>
          </w:p>
        </w:tc>
        <w:tc>
          <w:tcPr>
            <w:tcW w:w="2059" w:type="dxa"/>
            <w:shd w:val="clear" w:color="auto" w:fill="FFFFFF"/>
          </w:tcPr>
          <w:p w14:paraId="58609201">
            <w:pPr>
              <w:spacing w:before="40" w:after="40"/>
              <w:jc w:val="center"/>
            </w:pPr>
            <w:r>
              <w:rPr>
                <w:b w:val="0"/>
                <w:bCs w:val="0"/>
                <w:color w:val="000000"/>
                <w:sz w:val="20"/>
                <w:szCs w:val="20"/>
              </w:rPr>
              <w:t>01 Jan 2024 03:04:28</w:t>
            </w:r>
          </w:p>
        </w:tc>
        <w:tc>
          <w:tcPr>
            <w:tcW w:w="1217" w:type="dxa"/>
            <w:shd w:val="clear" w:color="auto" w:fill="FFFFFF"/>
          </w:tcPr>
          <w:p w14:paraId="65E5BBB9">
            <w:pPr>
              <w:spacing w:before="40" w:after="40"/>
              <w:jc w:val="center"/>
            </w:pPr>
            <w:r>
              <w:rPr>
                <w:b w:val="0"/>
                <w:bCs w:val="0"/>
                <w:color w:val="000000"/>
                <w:sz w:val="20"/>
                <w:szCs w:val="20"/>
              </w:rPr>
              <w:t>6778.060</w:t>
            </w:r>
          </w:p>
        </w:tc>
        <w:tc>
          <w:tcPr>
            <w:tcW w:w="1217" w:type="dxa"/>
            <w:shd w:val="clear" w:color="auto" w:fill="FFFFFF"/>
          </w:tcPr>
          <w:p w14:paraId="6D0A4B2A">
            <w:pPr>
              <w:spacing w:before="40" w:after="40"/>
              <w:jc w:val="center"/>
            </w:pPr>
            <w:r>
              <w:rPr>
                <w:b w:val="0"/>
                <w:bCs w:val="0"/>
                <w:color w:val="000000"/>
                <w:sz w:val="20"/>
                <w:szCs w:val="20"/>
              </w:rPr>
              <w:t>0.000077</w:t>
            </w:r>
          </w:p>
        </w:tc>
        <w:tc>
          <w:tcPr>
            <w:tcW w:w="1217" w:type="dxa"/>
            <w:shd w:val="clear" w:color="auto" w:fill="FFFFFF"/>
          </w:tcPr>
          <w:p w14:paraId="3C441E82">
            <w:pPr>
              <w:spacing w:before="40" w:after="40"/>
              <w:jc w:val="center"/>
            </w:pPr>
            <w:r>
              <w:rPr>
                <w:b w:val="0"/>
                <w:bCs w:val="0"/>
                <w:color w:val="000000"/>
                <w:sz w:val="20"/>
                <w:szCs w:val="20"/>
              </w:rPr>
              <w:t>51.601</w:t>
            </w:r>
          </w:p>
        </w:tc>
        <w:tc>
          <w:tcPr>
            <w:tcW w:w="1217" w:type="dxa"/>
            <w:shd w:val="clear" w:color="auto" w:fill="FFFFFF"/>
          </w:tcPr>
          <w:p w14:paraId="1C064A10">
            <w:pPr>
              <w:spacing w:before="40" w:after="40"/>
              <w:jc w:val="center"/>
            </w:pPr>
            <w:r>
              <w:rPr>
                <w:b w:val="0"/>
                <w:bCs w:val="0"/>
                <w:color w:val="000000"/>
                <w:sz w:val="20"/>
                <w:szCs w:val="20"/>
              </w:rPr>
              <w:t>~0.000</w:t>
            </w:r>
          </w:p>
        </w:tc>
      </w:tr>
      <w:tr w14:paraId="3915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34" w:type="dxa"/>
            <w:shd w:val="clear" w:color="auto" w:fill="EBF3FB"/>
          </w:tcPr>
          <w:p w14:paraId="47660D98">
            <w:pPr>
              <w:spacing w:before="40" w:after="40"/>
              <w:jc w:val="left"/>
            </w:pPr>
            <w:r>
              <w:rPr>
                <w:b/>
                <w:bCs/>
                <w:color w:val="000000"/>
                <w:sz w:val="20"/>
                <w:szCs w:val="20"/>
              </w:rPr>
              <w:t>Post-coast (+1.5 h nominal)</w:t>
            </w:r>
          </w:p>
        </w:tc>
        <w:tc>
          <w:tcPr>
            <w:tcW w:w="2059" w:type="dxa"/>
            <w:shd w:val="clear" w:color="auto" w:fill="EBF3FB"/>
          </w:tcPr>
          <w:p w14:paraId="4B5122D8">
            <w:pPr>
              <w:spacing w:before="40" w:after="40"/>
              <w:jc w:val="center"/>
            </w:pPr>
            <w:r>
              <w:rPr>
                <w:b w:val="0"/>
                <w:bCs w:val="0"/>
                <w:color w:val="000000"/>
                <w:sz w:val="20"/>
                <w:szCs w:val="20"/>
              </w:rPr>
              <w:t>01 Jan 2024 04:35:08</w:t>
            </w:r>
          </w:p>
        </w:tc>
        <w:tc>
          <w:tcPr>
            <w:tcW w:w="1217" w:type="dxa"/>
            <w:shd w:val="clear" w:color="auto" w:fill="EBF3FB"/>
          </w:tcPr>
          <w:p w14:paraId="41B8B2B8">
            <w:pPr>
              <w:spacing w:before="40" w:after="40"/>
              <w:jc w:val="center"/>
            </w:pPr>
            <w:r>
              <w:rPr>
                <w:b w:val="0"/>
                <w:bCs w:val="0"/>
                <w:color w:val="000000"/>
                <w:sz w:val="20"/>
                <w:szCs w:val="20"/>
              </w:rPr>
              <w:t>6778.049</w:t>
            </w:r>
          </w:p>
        </w:tc>
        <w:tc>
          <w:tcPr>
            <w:tcW w:w="1217" w:type="dxa"/>
            <w:shd w:val="clear" w:color="auto" w:fill="EBF3FB"/>
          </w:tcPr>
          <w:p w14:paraId="12F93DD3">
            <w:pPr>
              <w:spacing w:before="40" w:after="40"/>
              <w:jc w:val="center"/>
            </w:pPr>
            <w:r>
              <w:rPr>
                <w:b w:val="0"/>
                <w:bCs w:val="0"/>
                <w:color w:val="000000"/>
                <w:sz w:val="20"/>
                <w:szCs w:val="20"/>
              </w:rPr>
              <w:t>0.000191</w:t>
            </w:r>
          </w:p>
        </w:tc>
        <w:tc>
          <w:tcPr>
            <w:tcW w:w="1217" w:type="dxa"/>
            <w:shd w:val="clear" w:color="auto" w:fill="EBF3FB"/>
          </w:tcPr>
          <w:p w14:paraId="00DA970F">
            <w:pPr>
              <w:spacing w:before="40" w:after="40"/>
              <w:jc w:val="center"/>
            </w:pPr>
            <w:r>
              <w:rPr>
                <w:b w:val="0"/>
                <w:bCs w:val="0"/>
                <w:color w:val="000000"/>
                <w:sz w:val="20"/>
                <w:szCs w:val="20"/>
              </w:rPr>
              <w:t>51.601</w:t>
            </w:r>
          </w:p>
        </w:tc>
        <w:tc>
          <w:tcPr>
            <w:tcW w:w="1217" w:type="dxa"/>
            <w:shd w:val="clear" w:color="auto" w:fill="EBF3FB"/>
          </w:tcPr>
          <w:p w14:paraId="37176CE9">
            <w:pPr>
              <w:spacing w:before="40" w:after="40"/>
              <w:jc w:val="center"/>
            </w:pPr>
            <w:r>
              <w:rPr>
                <w:b w:val="0"/>
                <w:bCs w:val="0"/>
                <w:color w:val="000000"/>
                <w:sz w:val="20"/>
                <w:szCs w:val="20"/>
              </w:rPr>
              <w:t>62.567</w:t>
            </w:r>
          </w:p>
        </w:tc>
      </w:tr>
    </w:tbl>
    <w:p w14:paraId="46FC2CC9">
      <w:pPr>
        <w:spacing w:before="0" w:after="160"/>
      </w:pPr>
    </w:p>
    <w:p w14:paraId="7F081A28">
      <w:pPr>
        <w:pStyle w:val="3"/>
        <w:spacing w:before="280" w:after="80"/>
        <w:rPr>
          <w:b/>
          <w:bCs/>
          <w:color w:val="2E74B5"/>
          <w:sz w:val="26"/>
          <w:szCs w:val="26"/>
        </w:rPr>
      </w:pPr>
      <w:r>
        <w:t>5.2  Phase-by-Phase Analysis</w:t>
      </w:r>
    </w:p>
    <w:p w14:paraId="246E8EFB">
      <w:pPr>
        <w:pStyle w:val="4"/>
        <w:spacing w:before="200" w:after="60"/>
        <w:rPr>
          <w:b/>
          <w:bCs/>
          <w:color w:val="404040"/>
          <w:sz w:val="22"/>
          <w:szCs w:val="22"/>
        </w:rPr>
      </w:pPr>
      <w:r>
        <w:t>Phase 1 — Degraded Orbit (Epoch to Pre-Burn1)</w:t>
      </w:r>
    </w:p>
    <w:p w14:paraId="49627458">
      <w:pPr>
        <w:spacing w:before="60" w:after="100"/>
        <w:jc w:val="both"/>
      </w:pPr>
      <w:r>
        <w:rPr>
          <w:color w:val="000000"/>
          <w:sz w:val="22"/>
          <w:szCs w:val="22"/>
        </w:rPr>
        <w:t>Over the 8925-second coast from epoch (TA=0, periapsis) to the Burn1 trigger, the satellite completed approximately 1.5 orbital periods in the degraded orbit. The SMA decreases slightly (6758.140 -&gt; 6758.072 km, -68 m) due to J2 perturbation; ECC rises from 0.000100 to 0.001609 as the orbit is subtly reshaped by J2. These are small but physically correct: J2 causes differential precession and small but measurable oscillations in Keplerian elements.</w:t>
      </w:r>
    </w:p>
    <w:p w14:paraId="17EF34B0">
      <w:pPr>
        <w:pStyle w:val="4"/>
        <w:spacing w:before="200" w:after="60"/>
        <w:rPr>
          <w:b/>
          <w:bCs/>
          <w:color w:val="404040"/>
          <w:sz w:val="22"/>
          <w:szCs w:val="22"/>
        </w:rPr>
      </w:pPr>
      <w:r>
        <w:t>Phase 2 — Burn 1 (Prograde at Periapsis)</w:t>
      </w:r>
    </w:p>
    <w:p w14:paraId="42402E43">
      <w:pPr>
        <w:spacing w:before="60" w:after="100"/>
        <w:jc w:val="both"/>
      </w:pPr>
      <w:r>
        <w:rPr>
          <w:color w:val="000000"/>
          <w:sz w:val="22"/>
          <w:szCs w:val="22"/>
        </w:rPr>
        <w:t>At 02:18:45 UTC, the prograde impulse (</w:t>
      </w:r>
      <w:r>
        <w:rPr>
          <w:b/>
          <w:bCs/>
          <w:color w:val="000000"/>
          <w:sz w:val="22"/>
          <w:szCs w:val="22"/>
        </w:rPr>
        <w:t>DV1 = 5.671 m/s</w:t>
      </w:r>
      <w:r>
        <w:rPr>
          <w:color w:val="000000"/>
          <w:sz w:val="22"/>
          <w:szCs w:val="22"/>
        </w:rPr>
        <w:t xml:space="preserve">) fires. The SMA jumps from 6758.072 km to </w:t>
      </w:r>
      <w:r>
        <w:rPr>
          <w:b/>
          <w:bCs/>
          <w:color w:val="000000"/>
          <w:sz w:val="22"/>
          <w:szCs w:val="22"/>
        </w:rPr>
        <w:t>6768.087 km</w:t>
      </w:r>
      <w:r>
        <w:rPr>
          <w:color w:val="000000"/>
          <w:sz w:val="22"/>
          <w:szCs w:val="22"/>
        </w:rPr>
        <w:t xml:space="preserve"> — a gain of 10.015 km, matching the expected half-step (the transfer ellipse SMA is midway between r1 and r2). ECC rises from 0.001609 to 0.003086 because the burn has elongated the orbit: perigee remains at ~r1 while apogee has been raised toward r2, creating the characteristic Hohmann transfer ellipse.</w:t>
      </w:r>
    </w:p>
    <w:p w14:paraId="43D9704A">
      <w:pPr>
        <w:pStyle w:val="4"/>
        <w:spacing w:before="200" w:after="60"/>
        <w:rPr>
          <w:b/>
          <w:bCs/>
          <w:color w:val="404040"/>
          <w:sz w:val="22"/>
          <w:szCs w:val="22"/>
        </w:rPr>
      </w:pPr>
      <w:r>
        <w:t>Phase 3 — Transfer Ellipse Coast (Burn1 to Burn2)</w:t>
      </w:r>
    </w:p>
    <w:p w14:paraId="2301C58C">
      <w:pPr>
        <w:spacing w:before="60" w:after="100"/>
        <w:jc w:val="both"/>
      </w:pPr>
      <w:r>
        <w:rPr>
          <w:color w:val="000000"/>
          <w:sz w:val="22"/>
          <w:szCs w:val="22"/>
        </w:rPr>
        <w:t>During the 2743-second (~45.7-minute) half-orbit coast from periapsis to apogee, the SMA decreases very slightly (6768.087 -&gt; 6768.060 km, -27 m) due to J2. ECC reduces from 0.003086 to 0.001401 — J2 smooths the eccentricity during the coast. Both effects are physically expected and operationally negligible. The TA advances from ~0 to 180 deg (apoapsis), confirming correct half-orbit propagation.</w:t>
      </w:r>
    </w:p>
    <w:p w14:paraId="1CDF8799">
      <w:pPr>
        <w:pStyle w:val="4"/>
        <w:spacing w:before="200" w:after="60"/>
        <w:rPr>
          <w:b/>
          <w:bCs/>
          <w:color w:val="404040"/>
          <w:sz w:val="22"/>
          <w:szCs w:val="22"/>
        </w:rPr>
      </w:pPr>
      <w:r>
        <w:t>Phase 4 — Burn 2 (Prograde at Apoapsis)</w:t>
      </w:r>
    </w:p>
    <w:p w14:paraId="28B49275">
      <w:pPr>
        <w:spacing w:before="60" w:after="100"/>
        <w:jc w:val="both"/>
      </w:pPr>
      <w:r>
        <w:rPr>
          <w:color w:val="000000"/>
          <w:sz w:val="22"/>
          <w:szCs w:val="22"/>
        </w:rPr>
        <w:t>At 03:04:28 UTC, the circularisation burn (</w:t>
      </w:r>
      <w:r>
        <w:rPr>
          <w:b/>
          <w:bCs/>
          <w:color w:val="000000"/>
          <w:sz w:val="22"/>
          <w:szCs w:val="22"/>
        </w:rPr>
        <w:t>DV2 = 5.667 m/s</w:t>
      </w:r>
      <w:r>
        <w:rPr>
          <w:color w:val="000000"/>
          <w:sz w:val="22"/>
          <w:szCs w:val="22"/>
        </w:rPr>
        <w:t xml:space="preserve">) fires. The SMA jumps from 6768.060 km to </w:t>
      </w:r>
      <w:r>
        <w:rPr>
          <w:b/>
          <w:bCs/>
          <w:color w:val="000000"/>
          <w:sz w:val="22"/>
          <w:szCs w:val="22"/>
        </w:rPr>
        <w:t>6778.060 km</w:t>
      </w:r>
      <w:r>
        <w:rPr>
          <w:color w:val="000000"/>
          <w:sz w:val="22"/>
          <w:szCs w:val="22"/>
        </w:rPr>
        <w:t xml:space="preserve">, achieving the target of 6778.14 km with an error of only </w:t>
      </w:r>
      <w:r>
        <w:rPr>
          <w:b/>
          <w:bCs/>
          <w:color w:val="000000"/>
          <w:sz w:val="22"/>
          <w:szCs w:val="22"/>
        </w:rPr>
        <w:t>-80 m (0.001%)</w:t>
      </w:r>
      <w:r>
        <w:rPr>
          <w:color w:val="000000"/>
          <w:sz w:val="22"/>
          <w:szCs w:val="22"/>
        </w:rPr>
        <w:t xml:space="preserve">. ECC drops dramatically from 0.001401 to </w:t>
      </w:r>
      <w:r>
        <w:rPr>
          <w:b/>
          <w:bCs/>
          <w:color w:val="000000"/>
          <w:sz w:val="22"/>
          <w:szCs w:val="22"/>
        </w:rPr>
        <w:t>0.000077</w:t>
      </w:r>
      <w:r>
        <w:rPr>
          <w:color w:val="000000"/>
          <w:sz w:val="22"/>
          <w:szCs w:val="22"/>
        </w:rPr>
        <w:t xml:space="preserve"> — the orbit is restored to near-circular. This near-zero residual ECC is the expected outcome of the impulsive model: without finite burn arc effects, the circularisation is essentially perfect.</w:t>
      </w:r>
    </w:p>
    <w:p w14:paraId="78FE26E7">
      <w:pPr>
        <w:pStyle w:val="4"/>
        <w:spacing w:before="200" w:after="60"/>
        <w:rPr>
          <w:b/>
          <w:bCs/>
          <w:color w:val="404040"/>
          <w:sz w:val="22"/>
          <w:szCs w:val="22"/>
        </w:rPr>
      </w:pPr>
      <w:r>
        <w:t>Phase 5 — Restored Orbit Verification (+1.5 hours coast)</w:t>
      </w:r>
    </w:p>
    <w:p w14:paraId="360826B1">
      <w:pPr>
        <w:spacing w:before="60" w:after="100"/>
        <w:jc w:val="both"/>
      </w:pPr>
      <w:r>
        <w:rPr>
          <w:color w:val="000000"/>
          <w:sz w:val="22"/>
          <w:szCs w:val="22"/>
        </w:rPr>
        <w:t xml:space="preserve">After Burn 2, the satellite coasts for 5440 s (~90 min, approximately one orbital period). The final report shows SMA = 6778.049 km (a further -11 m from J2 secular effect over 90 min) and ECC = 0.000191 (slight oscillation from J2 and residual eccentricity). Both are operationally acceptable: the altitude oscillation from ECC = 0.000191 is only </w:t>
      </w:r>
    </w:p>
    <w:p w14:paraId="5EC9CD7A">
      <w:pPr>
        <w:spacing w:before="60" w:after="100"/>
        <w:jc w:val="center"/>
      </w:pPr>
      <w:r>
        <w:rPr>
          <w:color w:val="000000"/>
          <w:sz w:val="22"/>
          <w:szCs w:val="22"/>
        </w:rPr>
        <w:t xml:space="preserve">    Altitude oscillation = ECC x SMA = 0.000191 x 6778.049 = </w:t>
      </w:r>
      <w:r>
        <w:rPr>
          <w:b/>
          <w:bCs/>
          <w:color w:val="000000"/>
          <w:sz w:val="22"/>
          <w:szCs w:val="22"/>
        </w:rPr>
        <w:t>+/-1.3 km</w:t>
      </w:r>
      <w:r>
        <w:rPr>
          <w:color w:val="000000"/>
          <w:sz w:val="22"/>
          <w:szCs w:val="22"/>
        </w:rPr>
        <w:t xml:space="preserve">   (negligible for LEO ops)</w:t>
      </w:r>
    </w:p>
    <w:p w14:paraId="788397AF">
      <w:pPr>
        <w:pStyle w:val="3"/>
        <w:spacing w:before="280" w:after="80"/>
        <w:rPr>
          <w:b/>
          <w:bCs/>
          <w:color w:val="2E74B5"/>
          <w:sz w:val="26"/>
          <w:szCs w:val="26"/>
        </w:rPr>
      </w:pPr>
      <w:r>
        <w:t>5.3  Accuracy Assessment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9"/>
        <w:gridCol w:w="1685"/>
        <w:gridCol w:w="1872"/>
        <w:gridCol w:w="1872"/>
        <w:gridCol w:w="1872"/>
      </w:tblGrid>
      <w:tr w14:paraId="3C1C6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9" w:type="dxa"/>
            <w:shd w:val="clear" w:color="auto" w:fill="1F3864"/>
          </w:tcPr>
          <w:p w14:paraId="6561D812">
            <w:pPr>
              <w:spacing w:before="40" w:after="40"/>
              <w:jc w:val="center"/>
            </w:pPr>
            <w:r>
              <w:rPr>
                <w:b/>
                <w:bCs/>
                <w:color w:val="FFFFFF"/>
                <w:sz w:val="20"/>
                <w:szCs w:val="20"/>
              </w:rPr>
              <w:t>Metric</w:t>
            </w:r>
          </w:p>
        </w:tc>
        <w:tc>
          <w:tcPr>
            <w:tcW w:w="1685" w:type="dxa"/>
            <w:shd w:val="clear" w:color="auto" w:fill="1F3864"/>
          </w:tcPr>
          <w:p w14:paraId="0CB70855">
            <w:pPr>
              <w:spacing w:before="40" w:after="40"/>
              <w:jc w:val="center"/>
            </w:pPr>
            <w:r>
              <w:rPr>
                <w:b/>
                <w:bCs/>
                <w:color w:val="FFFFFF"/>
                <w:sz w:val="20"/>
                <w:szCs w:val="20"/>
              </w:rPr>
              <w:t>Target</w:t>
            </w:r>
          </w:p>
        </w:tc>
        <w:tc>
          <w:tcPr>
            <w:tcW w:w="1872" w:type="dxa"/>
            <w:shd w:val="clear" w:color="auto" w:fill="1F3864"/>
          </w:tcPr>
          <w:p w14:paraId="1CD7DE4A">
            <w:pPr>
              <w:spacing w:before="40" w:after="40"/>
              <w:jc w:val="center"/>
            </w:pPr>
            <w:r>
              <w:rPr>
                <w:b/>
                <w:bCs/>
                <w:color w:val="FFFFFF"/>
                <w:sz w:val="20"/>
                <w:szCs w:val="20"/>
              </w:rPr>
              <w:t>Achieved</w:t>
            </w:r>
          </w:p>
        </w:tc>
        <w:tc>
          <w:tcPr>
            <w:tcW w:w="1872" w:type="dxa"/>
            <w:shd w:val="clear" w:color="auto" w:fill="1F3864"/>
          </w:tcPr>
          <w:p w14:paraId="6DCBBD52">
            <w:pPr>
              <w:spacing w:before="40" w:after="40"/>
              <w:jc w:val="center"/>
            </w:pPr>
            <w:r>
              <w:rPr>
                <w:b/>
                <w:bCs/>
                <w:color w:val="FFFFFF"/>
                <w:sz w:val="20"/>
                <w:szCs w:val="20"/>
              </w:rPr>
              <w:t>Error</w:t>
            </w:r>
          </w:p>
        </w:tc>
        <w:tc>
          <w:tcPr>
            <w:tcW w:w="1872" w:type="dxa"/>
            <w:shd w:val="clear" w:color="auto" w:fill="1F3864"/>
          </w:tcPr>
          <w:p w14:paraId="0ACBE6B6">
            <w:pPr>
              <w:spacing w:before="40" w:after="40"/>
              <w:jc w:val="center"/>
            </w:pPr>
            <w:r>
              <w:rPr>
                <w:b/>
                <w:bCs/>
                <w:color w:val="FFFFFF"/>
                <w:sz w:val="20"/>
                <w:szCs w:val="20"/>
              </w:rPr>
              <w:t>Assessment</w:t>
            </w:r>
          </w:p>
        </w:tc>
      </w:tr>
      <w:tr w14:paraId="700AB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shd w:val="clear" w:color="auto" w:fill="FFFFFF"/>
          </w:tcPr>
          <w:p w14:paraId="21F572F1">
            <w:pPr>
              <w:spacing w:before="40" w:after="40"/>
              <w:jc w:val="left"/>
            </w:pPr>
            <w:r>
              <w:rPr>
                <w:b/>
                <w:bCs/>
                <w:color w:val="000000"/>
                <w:sz w:val="20"/>
                <w:szCs w:val="20"/>
              </w:rPr>
              <w:t>Post-Burn2 SMA</w:t>
            </w:r>
          </w:p>
        </w:tc>
        <w:tc>
          <w:tcPr>
            <w:tcW w:w="1685" w:type="dxa"/>
            <w:shd w:val="clear" w:color="auto" w:fill="FFFFFF"/>
          </w:tcPr>
          <w:p w14:paraId="5A7E3C8A">
            <w:pPr>
              <w:spacing w:before="40" w:after="40"/>
              <w:jc w:val="center"/>
            </w:pPr>
            <w:r>
              <w:rPr>
                <w:b w:val="0"/>
                <w:bCs w:val="0"/>
                <w:color w:val="000000"/>
                <w:sz w:val="20"/>
                <w:szCs w:val="20"/>
              </w:rPr>
              <w:t>6778.14 km</w:t>
            </w:r>
          </w:p>
        </w:tc>
        <w:tc>
          <w:tcPr>
            <w:tcW w:w="1872" w:type="dxa"/>
            <w:shd w:val="clear" w:color="auto" w:fill="FFFFFF"/>
          </w:tcPr>
          <w:p w14:paraId="4B8A063C">
            <w:pPr>
              <w:spacing w:before="40" w:after="40"/>
              <w:jc w:val="center"/>
            </w:pPr>
            <w:r>
              <w:rPr>
                <w:b w:val="0"/>
                <w:bCs w:val="0"/>
                <w:color w:val="000000"/>
                <w:sz w:val="20"/>
                <w:szCs w:val="20"/>
              </w:rPr>
              <w:t>6778.060 km</w:t>
            </w:r>
          </w:p>
        </w:tc>
        <w:tc>
          <w:tcPr>
            <w:tcW w:w="1872" w:type="dxa"/>
            <w:shd w:val="clear" w:color="auto" w:fill="FFFFFF"/>
          </w:tcPr>
          <w:p w14:paraId="38B64A5D">
            <w:pPr>
              <w:spacing w:before="40" w:after="40"/>
              <w:jc w:val="center"/>
            </w:pPr>
            <w:r>
              <w:rPr>
                <w:b w:val="0"/>
                <w:bCs w:val="0"/>
                <w:color w:val="000000"/>
                <w:sz w:val="20"/>
                <w:szCs w:val="20"/>
              </w:rPr>
              <w:t>-80 m (-0.001%)</w:t>
            </w:r>
          </w:p>
        </w:tc>
        <w:tc>
          <w:tcPr>
            <w:tcW w:w="1872" w:type="dxa"/>
            <w:shd w:val="clear" w:color="auto" w:fill="FFFFFF"/>
          </w:tcPr>
          <w:p w14:paraId="3346D940">
            <w:pPr>
              <w:spacing w:before="40" w:after="40"/>
              <w:jc w:val="center"/>
            </w:pPr>
            <w:r>
              <w:rPr>
                <w:b w:val="0"/>
                <w:bCs w:val="0"/>
                <w:color w:val="000000"/>
                <w:sz w:val="20"/>
                <w:szCs w:val="20"/>
              </w:rPr>
              <w:t>Excellent</w:t>
            </w:r>
          </w:p>
        </w:tc>
      </w:tr>
      <w:tr w14:paraId="7E4F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shd w:val="clear" w:color="auto" w:fill="EBF3FB"/>
          </w:tcPr>
          <w:p w14:paraId="7A1F6EA3">
            <w:pPr>
              <w:spacing w:before="40" w:after="40"/>
              <w:jc w:val="left"/>
            </w:pPr>
            <w:r>
              <w:rPr>
                <w:b/>
                <w:bCs/>
                <w:color w:val="000000"/>
                <w:sz w:val="20"/>
                <w:szCs w:val="20"/>
              </w:rPr>
              <w:t>Post-Burn2 ECC</w:t>
            </w:r>
          </w:p>
        </w:tc>
        <w:tc>
          <w:tcPr>
            <w:tcW w:w="1685" w:type="dxa"/>
            <w:shd w:val="clear" w:color="auto" w:fill="EBF3FB"/>
          </w:tcPr>
          <w:p w14:paraId="2FF0B818">
            <w:pPr>
              <w:spacing w:before="40" w:after="40"/>
              <w:jc w:val="center"/>
            </w:pPr>
            <w:r>
              <w:rPr>
                <w:b w:val="0"/>
                <w:bCs w:val="0"/>
                <w:color w:val="000000"/>
                <w:sz w:val="20"/>
                <w:szCs w:val="20"/>
              </w:rPr>
              <w:t>~0</w:t>
            </w:r>
          </w:p>
        </w:tc>
        <w:tc>
          <w:tcPr>
            <w:tcW w:w="1872" w:type="dxa"/>
            <w:shd w:val="clear" w:color="auto" w:fill="EBF3FB"/>
          </w:tcPr>
          <w:p w14:paraId="37D40166">
            <w:pPr>
              <w:spacing w:before="40" w:after="40"/>
              <w:jc w:val="center"/>
            </w:pPr>
            <w:r>
              <w:rPr>
                <w:b w:val="0"/>
                <w:bCs w:val="0"/>
                <w:color w:val="000000"/>
                <w:sz w:val="20"/>
                <w:szCs w:val="20"/>
              </w:rPr>
              <w:t>0.000077</w:t>
            </w:r>
          </w:p>
        </w:tc>
        <w:tc>
          <w:tcPr>
            <w:tcW w:w="1872" w:type="dxa"/>
            <w:shd w:val="clear" w:color="auto" w:fill="EBF3FB"/>
          </w:tcPr>
          <w:p w14:paraId="62EC0CC3">
            <w:pPr>
              <w:spacing w:before="40" w:after="40"/>
              <w:jc w:val="center"/>
            </w:pPr>
            <w:r>
              <w:rPr>
                <w:b w:val="0"/>
                <w:bCs w:val="0"/>
                <w:color w:val="000000"/>
                <w:sz w:val="20"/>
                <w:szCs w:val="20"/>
              </w:rPr>
              <w:t>-</w:t>
            </w:r>
          </w:p>
        </w:tc>
        <w:tc>
          <w:tcPr>
            <w:tcW w:w="1872" w:type="dxa"/>
            <w:shd w:val="clear" w:color="auto" w:fill="EBF3FB"/>
          </w:tcPr>
          <w:p w14:paraId="79C96812">
            <w:pPr>
              <w:spacing w:before="40" w:after="40"/>
              <w:jc w:val="center"/>
            </w:pPr>
            <w:r>
              <w:rPr>
                <w:b w:val="0"/>
                <w:bCs w:val="0"/>
                <w:color w:val="000000"/>
                <w:sz w:val="20"/>
                <w:szCs w:val="20"/>
              </w:rPr>
              <w:t>Excellent (near-circular)</w:t>
            </w:r>
          </w:p>
        </w:tc>
      </w:tr>
      <w:tr w14:paraId="12BA0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shd w:val="clear" w:color="auto" w:fill="FFFFFF"/>
          </w:tcPr>
          <w:p w14:paraId="18115947">
            <w:pPr>
              <w:spacing w:before="40" w:after="40"/>
              <w:jc w:val="left"/>
            </w:pPr>
            <w:r>
              <w:rPr>
                <w:b/>
                <w:bCs/>
                <w:color w:val="000000"/>
                <w:sz w:val="20"/>
                <w:szCs w:val="20"/>
              </w:rPr>
              <w:t>INC change</w:t>
            </w:r>
          </w:p>
        </w:tc>
        <w:tc>
          <w:tcPr>
            <w:tcW w:w="1685" w:type="dxa"/>
            <w:shd w:val="clear" w:color="auto" w:fill="FFFFFF"/>
          </w:tcPr>
          <w:p w14:paraId="1A0D95D7">
            <w:pPr>
              <w:spacing w:before="40" w:after="40"/>
              <w:jc w:val="center"/>
            </w:pPr>
            <w:r>
              <w:rPr>
                <w:b w:val="0"/>
                <w:bCs w:val="0"/>
                <w:color w:val="000000"/>
                <w:sz w:val="20"/>
                <w:szCs w:val="20"/>
              </w:rPr>
              <w:t>0 (no change)</w:t>
            </w:r>
          </w:p>
        </w:tc>
        <w:tc>
          <w:tcPr>
            <w:tcW w:w="1872" w:type="dxa"/>
            <w:shd w:val="clear" w:color="auto" w:fill="FFFFFF"/>
          </w:tcPr>
          <w:p w14:paraId="0964BA56">
            <w:pPr>
              <w:spacing w:before="40" w:after="40"/>
              <w:jc w:val="center"/>
            </w:pPr>
            <w:r>
              <w:rPr>
                <w:b w:val="0"/>
                <w:bCs w:val="0"/>
                <w:color w:val="000000"/>
                <w:sz w:val="20"/>
                <w:szCs w:val="20"/>
              </w:rPr>
              <w:t>51.600-&gt;51.601 deg</w:t>
            </w:r>
          </w:p>
        </w:tc>
        <w:tc>
          <w:tcPr>
            <w:tcW w:w="1872" w:type="dxa"/>
            <w:shd w:val="clear" w:color="auto" w:fill="FFFFFF"/>
          </w:tcPr>
          <w:p w14:paraId="5B8DFE9E">
            <w:pPr>
              <w:spacing w:before="40" w:after="40"/>
              <w:jc w:val="center"/>
            </w:pPr>
            <w:r>
              <w:rPr>
                <w:b w:val="0"/>
                <w:bCs w:val="0"/>
                <w:color w:val="000000"/>
                <w:sz w:val="20"/>
                <w:szCs w:val="20"/>
              </w:rPr>
              <w:t>+0.001 deg</w:t>
            </w:r>
          </w:p>
        </w:tc>
        <w:tc>
          <w:tcPr>
            <w:tcW w:w="1872" w:type="dxa"/>
            <w:shd w:val="clear" w:color="auto" w:fill="FFFFFF"/>
          </w:tcPr>
          <w:p w14:paraId="2C233E8C">
            <w:pPr>
              <w:spacing w:before="40" w:after="40"/>
              <w:jc w:val="center"/>
            </w:pPr>
            <w:r>
              <w:rPr>
                <w:b w:val="0"/>
                <w:bCs w:val="0"/>
                <w:color w:val="000000"/>
                <w:sz w:val="20"/>
                <w:szCs w:val="20"/>
              </w:rPr>
              <w:t>J2 nodal regression; acceptable</w:t>
            </w:r>
          </w:p>
        </w:tc>
      </w:tr>
      <w:tr w14:paraId="7D1A6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9" w:type="dxa"/>
            <w:shd w:val="clear" w:color="auto" w:fill="EBF3FB"/>
          </w:tcPr>
          <w:p w14:paraId="14433FFA">
            <w:pPr>
              <w:spacing w:before="40" w:after="40"/>
              <w:jc w:val="left"/>
            </w:pPr>
            <w:r>
              <w:rPr>
                <w:b/>
                <w:bCs/>
                <w:color w:val="000000"/>
                <w:sz w:val="20"/>
                <w:szCs w:val="20"/>
              </w:rPr>
              <w:t>Total Delta-V</w:t>
            </w:r>
          </w:p>
        </w:tc>
        <w:tc>
          <w:tcPr>
            <w:tcW w:w="1685" w:type="dxa"/>
            <w:shd w:val="clear" w:color="auto" w:fill="EBF3FB"/>
          </w:tcPr>
          <w:p w14:paraId="12536FEB">
            <w:pPr>
              <w:spacing w:before="40" w:after="40"/>
              <w:jc w:val="center"/>
            </w:pPr>
            <w:r>
              <w:rPr>
                <w:b w:val="0"/>
                <w:bCs w:val="0"/>
                <w:color w:val="000000"/>
                <w:sz w:val="20"/>
                <w:szCs w:val="20"/>
              </w:rPr>
              <w:t>11.338 m/s</w:t>
            </w:r>
          </w:p>
        </w:tc>
        <w:tc>
          <w:tcPr>
            <w:tcW w:w="1872" w:type="dxa"/>
            <w:shd w:val="clear" w:color="auto" w:fill="EBF3FB"/>
          </w:tcPr>
          <w:p w14:paraId="2B0A6715">
            <w:pPr>
              <w:spacing w:before="40" w:after="40"/>
              <w:jc w:val="center"/>
            </w:pPr>
            <w:r>
              <w:rPr>
                <w:b w:val="0"/>
                <w:bCs w:val="0"/>
                <w:color w:val="000000"/>
                <w:sz w:val="20"/>
                <w:szCs w:val="20"/>
              </w:rPr>
              <w:t>11.338 m/s (input)</w:t>
            </w:r>
          </w:p>
        </w:tc>
        <w:tc>
          <w:tcPr>
            <w:tcW w:w="1872" w:type="dxa"/>
            <w:shd w:val="clear" w:color="auto" w:fill="EBF3FB"/>
          </w:tcPr>
          <w:p w14:paraId="38D83FC7">
            <w:pPr>
              <w:spacing w:before="40" w:after="40"/>
              <w:jc w:val="center"/>
            </w:pPr>
            <w:r>
              <w:rPr>
                <w:b w:val="0"/>
                <w:bCs w:val="0"/>
                <w:color w:val="000000"/>
                <w:sz w:val="20"/>
                <w:szCs w:val="20"/>
              </w:rPr>
              <w:t>0</w:t>
            </w:r>
          </w:p>
        </w:tc>
        <w:tc>
          <w:tcPr>
            <w:tcW w:w="1872" w:type="dxa"/>
            <w:shd w:val="clear" w:color="auto" w:fill="EBF3FB"/>
          </w:tcPr>
          <w:p w14:paraId="0533BCBB">
            <w:pPr>
              <w:spacing w:before="40" w:after="40"/>
              <w:jc w:val="center"/>
            </w:pPr>
            <w:r>
              <w:rPr>
                <w:b w:val="0"/>
                <w:bCs w:val="0"/>
                <w:color w:val="000000"/>
                <w:sz w:val="20"/>
                <w:szCs w:val="20"/>
              </w:rPr>
              <w:t>Exact (impulsive model)</w:t>
            </w:r>
          </w:p>
        </w:tc>
      </w:tr>
    </w:tbl>
    <w:p w14:paraId="72D5F169">
      <w:pPr>
        <w:spacing w:before="0" w:after="160"/>
      </w:pPr>
    </w:p>
    <w:p w14:paraId="5403C700">
      <w:r>
        <w:br w:type="page"/>
      </w:r>
    </w:p>
    <w:p w14:paraId="320F6179">
      <w:pPr>
        <w:pStyle w:val="2"/>
        <w:spacing w:before="360" w:after="120"/>
        <w:rPr>
          <w:b/>
          <w:bCs/>
          <w:color w:val="1F3864"/>
          <w:sz w:val="32"/>
          <w:szCs w:val="32"/>
        </w:rPr>
      </w:pPr>
      <w:r>
        <w:t>6. GMAT Visualisations</w:t>
      </w:r>
    </w:p>
    <w:p w14:paraId="4FB3BA82">
      <w:pPr>
        <w:spacing w:before="60" w:after="100"/>
        <w:jc w:val="both"/>
      </w:pPr>
      <w:r>
        <w:rPr>
          <w:color w:val="000000"/>
          <w:sz w:val="22"/>
          <w:szCs w:val="22"/>
        </w:rPr>
        <w:t>The following visuali</w:t>
      </w:r>
      <w:r>
        <w:rPr>
          <w:rFonts w:hint="default"/>
          <w:color w:val="000000"/>
          <w:sz w:val="22"/>
          <w:szCs w:val="22"/>
          <w:lang w:val="en-GB"/>
        </w:rPr>
        <w:t>z</w:t>
      </w:r>
      <w:r>
        <w:rPr>
          <w:color w:val="000000"/>
          <w:sz w:val="22"/>
          <w:szCs w:val="22"/>
        </w:rPr>
        <w:t>ations were generated by GMAT R2022a during the simulation run. They confirm the orbital evolution through each phase of the manoeuvre.</w:t>
      </w:r>
    </w:p>
    <w:p w14:paraId="124A8744">
      <w:pPr>
        <w:pStyle w:val="3"/>
        <w:spacing w:before="280" w:after="80"/>
        <w:rPr>
          <w:b/>
          <w:bCs/>
          <w:color w:val="2E74B5"/>
          <w:sz w:val="26"/>
          <w:szCs w:val="26"/>
        </w:rPr>
      </w:pPr>
      <w:r>
        <w:t>6.1  ManoeuvreView (3D OrbitView)</w:t>
      </w:r>
    </w:p>
    <w:p w14:paraId="31DB41A6">
      <w:pPr>
        <w:spacing w:before="60" w:after="100"/>
        <w:jc w:val="both"/>
      </w:pPr>
      <w:r>
        <w:rPr>
          <w:color w:val="000000"/>
          <w:sz w:val="22"/>
          <w:szCs w:val="22"/>
        </w:rPr>
        <w:t>The 3D OrbitView (ManoeuvreView) displays three distinct orbital arcs in EarthMJ2000Eq frame: the initial degraded circular orbit (SMA = 6758.14 km), the transfer ellipse (SMA = 6768.14 km, clearly elongated relative to the circular arcs), and the restored circular orbit (SMA = 6778.14 km). All three arcs are visible simultaneously because GMAT accumulates the orbit trace throughout the simulation. The transfer ellipse appears as a slightly oval arc between the two circular arcs — the characteristic visual signature of a Hohmann transfer.</w:t>
      </w:r>
    </w:p>
    <w:p w14:paraId="7240FB61">
      <w:pPr>
        <w:pStyle w:val="3"/>
        <w:spacing w:before="280" w:after="80"/>
        <w:rPr>
          <w:b/>
          <w:bCs/>
          <w:color w:val="2E74B5"/>
          <w:sz w:val="26"/>
          <w:szCs w:val="26"/>
        </w:rPr>
      </w:pPr>
      <w:r>
        <w:t>6.2  GroundTrackPlot</w:t>
      </w:r>
    </w:p>
    <w:p w14:paraId="5EBF2B4B">
      <w:pPr>
        <w:spacing w:before="60" w:after="100"/>
        <w:jc w:val="both"/>
      </w:pPr>
      <w:r>
        <w:rPr>
          <w:color w:val="000000"/>
          <w:sz w:val="22"/>
          <w:szCs w:val="22"/>
        </w:rPr>
        <w:t>The 2D GroundTrackPlot (Mercator projection) shows the sinusoidal ground track at INC = 51.6 deg throughout the simulation. The small altitude change (20 km) produces no visible change in the ground track pattern — inclination, not altitude, determines the latitude coverage band. The track remains bounded at +/-51.6 deg latitude throughout.</w:t>
      </w:r>
    </w:p>
    <w:p w14:paraId="08DC6213">
      <w:pPr>
        <w:pStyle w:val="3"/>
        <w:spacing w:before="280" w:after="80"/>
        <w:rPr>
          <w:b/>
          <w:bCs/>
          <w:color w:val="2E74B5"/>
          <w:sz w:val="26"/>
          <w:szCs w:val="26"/>
        </w:rPr>
      </w:pPr>
      <w:r>
        <w:t>6.3  SMAPlot (XYPlot: SMA vs Elapsed Seconds)</w:t>
      </w:r>
    </w:p>
    <w:p w14:paraId="7DF9BE7F">
      <w:pPr>
        <w:spacing w:before="60" w:after="100"/>
        <w:jc w:val="both"/>
      </w:pPr>
      <w:r>
        <w:rPr>
          <w:color w:val="000000"/>
          <w:sz w:val="22"/>
          <w:szCs w:val="22"/>
        </w:rPr>
        <w:t>The SMAPlot shows the characteristic three-level step function of a Hohmann transfer:</w:t>
      </w:r>
    </w:p>
    <w:p w14:paraId="77B20CD0">
      <w:pPr>
        <w:spacing w:before="60" w:after="100"/>
        <w:ind w:left="400"/>
        <w:jc w:val="both"/>
      </w:pPr>
      <w:r>
        <w:rPr>
          <w:b/>
          <w:bCs/>
          <w:color w:val="000000"/>
          <w:sz w:val="22"/>
          <w:szCs w:val="22"/>
        </w:rPr>
        <w:t xml:space="preserve">Level 1 (0 to ~8925 s): </w:t>
      </w:r>
      <w:r>
        <w:rPr>
          <w:color w:val="000000"/>
          <w:sz w:val="22"/>
          <w:szCs w:val="22"/>
        </w:rPr>
        <w:t>SMA ~6758 km (degraded orbit coast)</w:t>
      </w:r>
    </w:p>
    <w:p w14:paraId="2877A0C7">
      <w:pPr>
        <w:spacing w:before="60" w:after="100"/>
        <w:ind w:left="400"/>
        <w:jc w:val="both"/>
      </w:pPr>
      <w:r>
        <w:rPr>
          <w:b/>
          <w:bCs/>
          <w:color w:val="000000"/>
          <w:sz w:val="22"/>
          <w:szCs w:val="22"/>
        </w:rPr>
        <w:t xml:space="preserve">Step 1 (at ~8925 s): </w:t>
      </w:r>
      <w:r>
        <w:rPr>
          <w:color w:val="000000"/>
          <w:sz w:val="22"/>
          <w:szCs w:val="22"/>
        </w:rPr>
        <w:t>SMA rises to ~6768 km (Burn 1 raises apogee)</w:t>
      </w:r>
    </w:p>
    <w:p w14:paraId="487CAFE4">
      <w:pPr>
        <w:spacing w:before="60" w:after="100"/>
        <w:ind w:left="400"/>
        <w:jc w:val="both"/>
      </w:pPr>
      <w:r>
        <w:rPr>
          <w:b/>
          <w:bCs/>
          <w:color w:val="000000"/>
          <w:sz w:val="22"/>
          <w:szCs w:val="22"/>
        </w:rPr>
        <w:t xml:space="preserve">Level 2 (~8925 to ~11668 s): </w:t>
      </w:r>
      <w:r>
        <w:rPr>
          <w:color w:val="000000"/>
          <w:sz w:val="22"/>
          <w:szCs w:val="22"/>
        </w:rPr>
        <w:t>SMA ~6768 km (transfer ellipse coast)</w:t>
      </w:r>
    </w:p>
    <w:p w14:paraId="72F1863D">
      <w:pPr>
        <w:spacing w:before="60" w:after="100"/>
        <w:ind w:left="400"/>
        <w:jc w:val="both"/>
      </w:pPr>
      <w:r>
        <w:rPr>
          <w:b/>
          <w:bCs/>
          <w:color w:val="000000"/>
          <w:sz w:val="22"/>
          <w:szCs w:val="22"/>
        </w:rPr>
        <w:t xml:space="preserve">Step 2 (at ~11668 s): </w:t>
      </w:r>
      <w:r>
        <w:rPr>
          <w:color w:val="000000"/>
          <w:sz w:val="22"/>
          <w:szCs w:val="22"/>
        </w:rPr>
        <w:t>SMA rises to ~6778 km (Burn 2 circularises at r2)</w:t>
      </w:r>
    </w:p>
    <w:p w14:paraId="65933AF1">
      <w:pPr>
        <w:spacing w:before="60" w:after="100"/>
        <w:ind w:left="400"/>
        <w:jc w:val="both"/>
      </w:pPr>
      <w:r>
        <w:rPr>
          <w:b/>
          <w:bCs/>
          <w:color w:val="000000"/>
          <w:sz w:val="22"/>
          <w:szCs w:val="22"/>
        </w:rPr>
        <w:t xml:space="preserve">Level 3 (~11668 s onward): </w:t>
      </w:r>
      <w:r>
        <w:rPr>
          <w:color w:val="000000"/>
          <w:sz w:val="22"/>
          <w:szCs w:val="22"/>
        </w:rPr>
        <w:t>SMA ~6778 km (restored orbit coast — flat, confirming circularity)</w:t>
      </w:r>
    </w:p>
    <w:p w14:paraId="4240AA3A">
      <w:pPr>
        <w:spacing w:before="60" w:after="100"/>
        <w:jc w:val="both"/>
      </w:pPr>
      <w:r>
        <w:rPr>
          <w:color w:val="000000"/>
          <w:sz w:val="22"/>
          <w:szCs w:val="22"/>
        </w:rPr>
        <w:t>The clear two-step SMA profile is the definitive visual confirmation that both burns fired at the correct orbital geometry and achieved the target altitude.</w:t>
      </w:r>
    </w:p>
    <w:p w14:paraId="6CB1A187">
      <w:pPr>
        <w:pStyle w:val="3"/>
        <w:spacing w:before="280" w:after="80"/>
        <w:rPr>
          <w:b/>
          <w:bCs/>
          <w:color w:val="2E74B5"/>
          <w:sz w:val="26"/>
          <w:szCs w:val="26"/>
        </w:rPr>
      </w:pPr>
      <w:r>
        <w:t>6.4  ECCPlot (XYPlot: ECC vs Elapsed Seconds)</w:t>
      </w:r>
    </w:p>
    <w:p w14:paraId="43FB38B6">
      <w:pPr>
        <w:spacing w:before="60" w:after="100"/>
        <w:jc w:val="both"/>
      </w:pPr>
      <w:r>
        <w:rPr>
          <w:color w:val="000000"/>
          <w:sz w:val="22"/>
          <w:szCs w:val="22"/>
        </w:rPr>
        <w:t>The ECCPlot shows the eccentricity evolution:</w:t>
      </w:r>
    </w:p>
    <w:p w14:paraId="14E906B7">
      <w:pPr>
        <w:spacing w:before="60" w:after="100"/>
        <w:ind w:left="400"/>
        <w:jc w:val="both"/>
      </w:pPr>
      <w:r>
        <w:rPr>
          <w:b/>
          <w:bCs/>
          <w:color w:val="000000"/>
          <w:sz w:val="22"/>
          <w:szCs w:val="22"/>
        </w:rPr>
        <w:t xml:space="preserve">~0.0001 initially </w:t>
      </w:r>
      <w:r>
        <w:rPr>
          <w:color w:val="000000"/>
          <w:sz w:val="22"/>
          <w:szCs w:val="22"/>
        </w:rPr>
        <w:t>(small initial eccentricity; orbit is near-circular)</w:t>
      </w:r>
    </w:p>
    <w:p w14:paraId="52BF4D5C">
      <w:pPr>
        <w:spacing w:before="60" w:after="100"/>
        <w:ind w:left="400"/>
        <w:jc w:val="both"/>
      </w:pPr>
      <w:r>
        <w:rPr>
          <w:b/>
          <w:bCs/>
          <w:color w:val="000000"/>
          <w:sz w:val="22"/>
          <w:szCs w:val="22"/>
        </w:rPr>
        <w:t xml:space="preserve">Spike to ~0.003 </w:t>
      </w:r>
      <w:r>
        <w:rPr>
          <w:color w:val="000000"/>
          <w:sz w:val="22"/>
          <w:szCs w:val="22"/>
        </w:rPr>
        <w:t>after Burn 1 (transfer ellipse has perigee at r1, apogee at r2)</w:t>
      </w:r>
    </w:p>
    <w:p w14:paraId="4302779F">
      <w:pPr>
        <w:spacing w:before="60" w:after="100"/>
        <w:ind w:left="400"/>
        <w:jc w:val="both"/>
      </w:pPr>
      <w:r>
        <w:rPr>
          <w:b/>
          <w:bCs/>
          <w:color w:val="000000"/>
          <w:sz w:val="22"/>
          <w:szCs w:val="22"/>
        </w:rPr>
        <w:t xml:space="preserve">Drops to ~0.000077 </w:t>
      </w:r>
      <w:r>
        <w:rPr>
          <w:color w:val="000000"/>
          <w:sz w:val="22"/>
          <w:szCs w:val="22"/>
        </w:rPr>
        <w:t>after Burn 2 (circularisation essentially complete)</w:t>
      </w:r>
    </w:p>
    <w:p w14:paraId="47E24D4D">
      <w:pPr>
        <w:spacing w:before="60" w:after="100"/>
        <w:ind w:left="400"/>
        <w:jc w:val="both"/>
      </w:pPr>
      <w:r>
        <w:rPr>
          <w:b/>
          <w:bCs/>
          <w:color w:val="000000"/>
          <w:sz w:val="22"/>
          <w:szCs w:val="22"/>
        </w:rPr>
        <w:t xml:space="preserve">Oscillates ~0.0002 </w:t>
      </w:r>
      <w:r>
        <w:rPr>
          <w:color w:val="000000"/>
          <w:sz w:val="22"/>
          <w:szCs w:val="22"/>
        </w:rPr>
        <w:t>in restored orbit (J2 perturbation; operationally negligible)</w:t>
      </w:r>
    </w:p>
    <w:p w14:paraId="2435C7CE">
      <w:pPr>
        <w:spacing w:before="60" w:after="100"/>
        <w:jc w:val="both"/>
      </w:pPr>
      <w:r>
        <w:rPr>
          <w:color w:val="000000"/>
          <w:sz w:val="22"/>
          <w:szCs w:val="22"/>
        </w:rPr>
        <w:t>The spike-and-recover patter</w:t>
      </w:r>
      <w:bookmarkStart w:id="0" w:name="_GoBack"/>
      <w:bookmarkEnd w:id="0"/>
      <w:r>
        <w:rPr>
          <w:color w:val="000000"/>
          <w:sz w:val="22"/>
          <w:szCs w:val="22"/>
        </w:rPr>
        <w:t>n in ECC is the textbook signature of a successful two-impulse Hohmann transfer. Its near-complete suppression after Burn 2 confirms that the impulsive model achieves near-perfect circularisation.</w:t>
      </w:r>
    </w:p>
    <w:p w14:paraId="1663768C">
      <w:r>
        <w:br w:type="page"/>
      </w:r>
    </w:p>
    <w:p w14:paraId="0B2F1099">
      <w:pPr>
        <w:pStyle w:val="2"/>
        <w:spacing w:before="360" w:after="120"/>
        <w:rPr>
          <w:b/>
          <w:bCs/>
          <w:color w:val="1F3864"/>
          <w:sz w:val="32"/>
          <w:szCs w:val="32"/>
        </w:rPr>
      </w:pPr>
      <w:r>
        <w:t>7. Script Development — Errors Encountered and Corrections Applied</w:t>
      </w:r>
    </w:p>
    <w:p w14:paraId="4968BB4B">
      <w:pPr>
        <w:spacing w:before="60" w:after="100"/>
        <w:jc w:val="both"/>
      </w:pPr>
      <w:r>
        <w:rPr>
          <w:color w:val="000000"/>
          <w:sz w:val="22"/>
          <w:szCs w:val="22"/>
        </w:rPr>
        <w:t>Four errors were encountered during script development. Each was diagnosed and corrected before the successful run. These are documented here because they represent common GMAT R2022a pitfalls for engineers transitioning from finite-burn scripting to impulsive-burn scenarios.</w:t>
      </w:r>
    </w:p>
    <w:p w14:paraId="61D34E87">
      <w:pPr>
        <w:spacing w:before="0" w:after="80"/>
      </w:pPr>
    </w:p>
    <w:tbl>
      <w:tblPr>
        <w:tblStyle w:val="9"/>
        <w:tblW w:w="93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1"/>
        <w:gridCol w:w="3370"/>
        <w:gridCol w:w="3370"/>
      </w:tblGrid>
      <w:tr w14:paraId="26F9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21" w:type="dxa"/>
            <w:shd w:val="clear" w:color="auto" w:fill="1F3864"/>
          </w:tcPr>
          <w:p w14:paraId="58D089CE">
            <w:pPr>
              <w:spacing w:before="40" w:after="40"/>
              <w:jc w:val="center"/>
            </w:pPr>
            <w:r>
              <w:rPr>
                <w:b/>
                <w:bCs/>
                <w:color w:val="FFFFFF"/>
                <w:sz w:val="20"/>
                <w:szCs w:val="20"/>
              </w:rPr>
              <w:t>Error</w:t>
            </w:r>
          </w:p>
        </w:tc>
        <w:tc>
          <w:tcPr>
            <w:tcW w:w="3370" w:type="dxa"/>
            <w:shd w:val="clear" w:color="auto" w:fill="1F3864"/>
          </w:tcPr>
          <w:p w14:paraId="293E281F">
            <w:pPr>
              <w:spacing w:before="40" w:after="40"/>
              <w:jc w:val="center"/>
            </w:pPr>
            <w:r>
              <w:rPr>
                <w:b/>
                <w:bCs/>
                <w:color w:val="FFFFFF"/>
                <w:sz w:val="20"/>
                <w:szCs w:val="20"/>
              </w:rPr>
              <w:t>Cause</w:t>
            </w:r>
          </w:p>
        </w:tc>
        <w:tc>
          <w:tcPr>
            <w:tcW w:w="3370" w:type="dxa"/>
            <w:shd w:val="clear" w:color="auto" w:fill="1F3864"/>
          </w:tcPr>
          <w:p w14:paraId="2AFF8CCE">
            <w:pPr>
              <w:spacing w:before="40" w:after="40"/>
              <w:jc w:val="center"/>
            </w:pPr>
            <w:r>
              <w:rPr>
                <w:b/>
                <w:bCs/>
                <w:color w:val="FFFFFF"/>
                <w:sz w:val="20"/>
                <w:szCs w:val="20"/>
              </w:rPr>
              <w:t>Fix</w:t>
            </w:r>
          </w:p>
        </w:tc>
      </w:tr>
      <w:tr w14:paraId="3CFC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1" w:type="dxa"/>
            <w:shd w:val="clear" w:color="auto" w:fill="FFFFFF"/>
          </w:tcPr>
          <w:p w14:paraId="024BF10D">
            <w:pPr>
              <w:spacing w:before="40" w:after="40"/>
              <w:jc w:val="left"/>
            </w:pPr>
            <w:r>
              <w:rPr>
                <w:b/>
                <w:bCs/>
                <w:color w:val="000000"/>
                <w:sz w:val="20"/>
                <w:szCs w:val="20"/>
              </w:rPr>
              <w:t>Nonexistent Hardware "{}" in Spacecraft "LEOSat"</w:t>
            </w:r>
          </w:p>
        </w:tc>
        <w:tc>
          <w:tcPr>
            <w:tcW w:w="3370" w:type="dxa"/>
            <w:shd w:val="clear" w:color="auto" w:fill="FFFFFF"/>
          </w:tcPr>
          <w:p w14:paraId="20F6A642">
            <w:pPr>
              <w:spacing w:before="40" w:after="40"/>
              <w:jc w:val="center"/>
            </w:pPr>
            <w:r>
              <w:rPr>
                <w:b w:val="0"/>
                <w:bCs w:val="0"/>
                <w:color w:val="000000"/>
                <w:sz w:val="20"/>
                <w:szCs w:val="20"/>
              </w:rPr>
              <w:t>Empty hardware braces {} left in spacecraft definition (copied from a finite-burn template that requires Tank/Thruster objects)</w:t>
            </w:r>
          </w:p>
        </w:tc>
        <w:tc>
          <w:tcPr>
            <w:tcW w:w="3370" w:type="dxa"/>
            <w:shd w:val="clear" w:color="auto" w:fill="FFFFFF"/>
          </w:tcPr>
          <w:p w14:paraId="6D1A3E8E">
            <w:pPr>
              <w:spacing w:before="40" w:after="40"/>
              <w:jc w:val="center"/>
            </w:pPr>
            <w:r>
              <w:rPr>
                <w:b w:val="0"/>
                <w:bCs w:val="0"/>
                <w:color w:val="000000"/>
                <w:sz w:val="20"/>
                <w:szCs w:val="20"/>
              </w:rPr>
              <w:t>Remove hardware braces entirely. ImpulsiveBurn does not need a Tank or Thruster object — no hardware declaration needed.</w:t>
            </w:r>
          </w:p>
        </w:tc>
      </w:tr>
      <w:tr w14:paraId="740FC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1" w:type="dxa"/>
            <w:shd w:val="clear" w:color="auto" w:fill="EBF3FB"/>
          </w:tcPr>
          <w:p w14:paraId="534E9B38">
            <w:pPr>
              <w:spacing w:before="40" w:after="40"/>
              <w:jc w:val="left"/>
            </w:pPr>
            <w:r>
              <w:rPr>
                <w:b/>
                <w:bCs/>
                <w:color w:val="000000"/>
                <w:sz w:val="20"/>
                <w:szCs w:val="20"/>
              </w:rPr>
              <w:t>Nonexistent CoordinateSystem "VNB" in ImpulsiveBurn "Burn1"</w:t>
            </w:r>
          </w:p>
        </w:tc>
        <w:tc>
          <w:tcPr>
            <w:tcW w:w="3370" w:type="dxa"/>
            <w:shd w:val="clear" w:color="auto" w:fill="EBF3FB"/>
          </w:tcPr>
          <w:p w14:paraId="5EAE3F5C">
            <w:pPr>
              <w:spacing w:before="40" w:after="40"/>
              <w:jc w:val="center"/>
            </w:pPr>
            <w:r>
              <w:rPr>
                <w:b w:val="0"/>
                <w:bCs w:val="0"/>
                <w:color w:val="000000"/>
                <w:sz w:val="20"/>
                <w:szCs w:val="20"/>
              </w:rPr>
              <w:t>VNB was written as if it were a named coordinate system ("Create CoordinateSystem VNB"). VNB is not a standalone named CS in GMAT R2022a.</w:t>
            </w:r>
          </w:p>
        </w:tc>
        <w:tc>
          <w:tcPr>
            <w:tcW w:w="3370" w:type="dxa"/>
            <w:shd w:val="clear" w:color="auto" w:fill="EBF3FB"/>
          </w:tcPr>
          <w:p w14:paraId="72835CF6">
            <w:pPr>
              <w:spacing w:before="40" w:after="40"/>
              <w:jc w:val="center"/>
            </w:pPr>
            <w:r>
              <w:rPr>
                <w:b w:val="0"/>
                <w:bCs w:val="0"/>
                <w:color w:val="000000"/>
                <w:sz w:val="20"/>
                <w:szCs w:val="20"/>
              </w:rPr>
              <w:t>Use inline syntax: CoordinateSystem = Local; Origin = Earth; Axes = VNB. No separate Create CoordinateSystem command.</w:t>
            </w:r>
          </w:p>
        </w:tc>
      </w:tr>
      <w:tr w14:paraId="352E7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1" w:type="dxa"/>
            <w:shd w:val="clear" w:color="auto" w:fill="FFFFFF"/>
          </w:tcPr>
          <w:p w14:paraId="1E461795">
            <w:pPr>
              <w:spacing w:before="40" w:after="40"/>
              <w:jc w:val="left"/>
            </w:pPr>
            <w:r>
              <w:rPr>
                <w:b/>
                <w:bCs/>
                <w:color w:val="000000"/>
                <w:sz w:val="20"/>
                <w:szCs w:val="20"/>
              </w:rPr>
              <w:t>Same VNB error for ImpulsiveBurn "Burn2"</w:t>
            </w:r>
          </w:p>
        </w:tc>
        <w:tc>
          <w:tcPr>
            <w:tcW w:w="3370" w:type="dxa"/>
            <w:shd w:val="clear" w:color="auto" w:fill="FFFFFF"/>
          </w:tcPr>
          <w:p w14:paraId="036DAB5A">
            <w:pPr>
              <w:spacing w:before="40" w:after="40"/>
              <w:jc w:val="center"/>
            </w:pPr>
            <w:r>
              <w:rPr>
                <w:b w:val="0"/>
                <w:bCs w:val="0"/>
                <w:color w:val="000000"/>
                <w:sz w:val="20"/>
                <w:szCs w:val="20"/>
              </w:rPr>
              <w:t>Same root cause as above — both burn definitions copied the incorrect CS syntax.</w:t>
            </w:r>
          </w:p>
        </w:tc>
        <w:tc>
          <w:tcPr>
            <w:tcW w:w="3370" w:type="dxa"/>
            <w:shd w:val="clear" w:color="auto" w:fill="FFFFFF"/>
          </w:tcPr>
          <w:p w14:paraId="5CC9C370">
            <w:pPr>
              <w:spacing w:before="40" w:after="40"/>
              <w:jc w:val="center"/>
            </w:pPr>
            <w:r>
              <w:rPr>
                <w:b w:val="0"/>
                <w:bCs w:val="0"/>
                <w:color w:val="000000"/>
                <w:sz w:val="20"/>
                <w:szCs w:val="20"/>
              </w:rPr>
              <w:t>Same fix applied to Burn2.</w:t>
            </w:r>
          </w:p>
        </w:tc>
      </w:tr>
      <w:tr w14:paraId="36C4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1" w:type="dxa"/>
            <w:shd w:val="clear" w:color="auto" w:fill="EBF3FB"/>
          </w:tcPr>
          <w:p w14:paraId="25508A04">
            <w:pPr>
              <w:spacing w:before="40" w:after="40"/>
              <w:jc w:val="left"/>
            </w:pPr>
            <w:r>
              <w:rPr>
                <w:b/>
                <w:bCs/>
                <w:color w:val="000000"/>
                <w:sz w:val="20"/>
                <w:szCs w:val="20"/>
              </w:rPr>
              <w:t>"OrbitColor" field on ManoeuvreView is no longer in use</w:t>
            </w:r>
          </w:p>
        </w:tc>
        <w:tc>
          <w:tcPr>
            <w:tcW w:w="3370" w:type="dxa"/>
            <w:shd w:val="clear" w:color="auto" w:fill="EBF3FB"/>
          </w:tcPr>
          <w:p w14:paraId="153F2E01">
            <w:pPr>
              <w:spacing w:before="40" w:after="40"/>
              <w:jc w:val="center"/>
            </w:pPr>
            <w:r>
              <w:rPr>
                <w:b w:val="0"/>
                <w:bCs w:val="0"/>
                <w:color w:val="000000"/>
                <w:sz w:val="20"/>
                <w:szCs w:val="20"/>
              </w:rPr>
              <w:t>Deprecation warning: OrbitColor field was removed in a GMAT version after the script was written.</w:t>
            </w:r>
          </w:p>
        </w:tc>
        <w:tc>
          <w:tcPr>
            <w:tcW w:w="3370" w:type="dxa"/>
            <w:shd w:val="clear" w:color="auto" w:fill="EBF3FB"/>
          </w:tcPr>
          <w:p w14:paraId="29D6A824">
            <w:pPr>
              <w:spacing w:before="40" w:after="40"/>
              <w:jc w:val="center"/>
            </w:pPr>
            <w:r>
              <w:rPr>
                <w:b w:val="0"/>
                <w:bCs w:val="0"/>
                <w:color w:val="000000"/>
                <w:sz w:val="20"/>
                <w:szCs w:val="20"/>
              </w:rPr>
              <w:t>Warning only — no effect on mission outcome. Remove field to suppress warning in future runs.</w:t>
            </w:r>
          </w:p>
        </w:tc>
      </w:tr>
      <w:tr w14:paraId="435EE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21" w:type="dxa"/>
            <w:shd w:val="clear" w:color="auto" w:fill="FFFFFF"/>
          </w:tcPr>
          <w:p w14:paraId="71707E62">
            <w:pPr>
              <w:spacing w:before="40" w:after="40"/>
              <w:jc w:val="left"/>
            </w:pPr>
            <w:r>
              <w:rPr>
                <w:b/>
                <w:bCs/>
                <w:color w:val="000000"/>
                <w:sz w:val="20"/>
                <w:szCs w:val="20"/>
              </w:rPr>
              <w:t>Non-ASCII character in script comment (GMAT Interpreter Exception)</w:t>
            </w:r>
          </w:p>
        </w:tc>
        <w:tc>
          <w:tcPr>
            <w:tcW w:w="3370" w:type="dxa"/>
            <w:shd w:val="clear" w:color="auto" w:fill="FFFFFF"/>
          </w:tcPr>
          <w:p w14:paraId="659543BB">
            <w:pPr>
              <w:spacing w:before="40" w:after="40"/>
              <w:jc w:val="center"/>
            </w:pPr>
            <w:r>
              <w:rPr>
                <w:b w:val="0"/>
                <w:bCs w:val="0"/>
                <w:color w:val="000000"/>
                <w:sz w:val="20"/>
                <w:szCs w:val="20"/>
              </w:rPr>
              <w:t>An em-dash (0x97 Windows-1252) was introduced into a script comment. GMAT requires strict 7-bit ASCII in all script files.</w:t>
            </w:r>
          </w:p>
        </w:tc>
        <w:tc>
          <w:tcPr>
            <w:tcW w:w="3370" w:type="dxa"/>
            <w:shd w:val="clear" w:color="auto" w:fill="FFFFFF"/>
          </w:tcPr>
          <w:p w14:paraId="52E3E752">
            <w:pPr>
              <w:spacing w:before="40" w:after="40"/>
              <w:jc w:val="center"/>
            </w:pPr>
            <w:r>
              <w:rPr>
                <w:b w:val="0"/>
                <w:bCs w:val="0"/>
                <w:color w:val="000000"/>
                <w:sz w:val="20"/>
                <w:szCs w:val="20"/>
              </w:rPr>
              <w:t>Open file in binary mode, replace 0x97 with ASCII hyphen 0x2D. Establish practice: always write script comments in plain ASCII.</w:t>
            </w:r>
          </w:p>
        </w:tc>
      </w:tr>
    </w:tbl>
    <w:p w14:paraId="35BB914C">
      <w:pPr>
        <w:spacing w:before="0" w:after="160"/>
      </w:pPr>
    </w:p>
    <w:p w14:paraId="0969A7E2">
      <w:pPr>
        <w:spacing w:before="60" w:after="100"/>
        <w:jc w:val="both"/>
      </w:pPr>
      <w:r>
        <w:rPr>
          <w:color w:val="000000"/>
          <w:sz w:val="22"/>
          <w:szCs w:val="22"/>
        </w:rPr>
        <w:t>After correcting errors 1-3, the script interpreted successfully. The non-ASCII character issue (error 5) is a recurring pitfall across all GMAT scenarios in this portfolio (also encountered in Scenarios 08 and 09) — a reminder that any copy-paste from a word processor or rich-text editor into GMAT requires explicit ASCII character verification.</w:t>
      </w:r>
    </w:p>
    <w:p w14:paraId="5A32AB0D">
      <w:r>
        <w:br w:type="page"/>
      </w:r>
    </w:p>
    <w:p w14:paraId="04B20695">
      <w:pPr>
        <w:pStyle w:val="2"/>
        <w:spacing w:before="360" w:after="120"/>
        <w:rPr>
          <w:b/>
          <w:bCs/>
          <w:color w:val="1F3864"/>
          <w:sz w:val="32"/>
          <w:szCs w:val="32"/>
        </w:rPr>
      </w:pPr>
      <w:r>
        <w:t>8. Physics-First Methodology</w:t>
      </w:r>
    </w:p>
    <w:p w14:paraId="23417407">
      <w:pPr>
        <w:pStyle w:val="3"/>
        <w:spacing w:before="280" w:after="80"/>
        <w:rPr>
          <w:b/>
          <w:bCs/>
          <w:color w:val="2E74B5"/>
          <w:sz w:val="26"/>
          <w:szCs w:val="26"/>
        </w:rPr>
      </w:pPr>
      <w:r>
        <w:t>8.1  Pre-Computation Workflow</w:t>
      </w:r>
    </w:p>
    <w:p w14:paraId="470D2D38">
      <w:pPr>
        <w:spacing w:before="60" w:after="100"/>
        <w:jc w:val="both"/>
      </w:pPr>
      <w:r>
        <w:rPr>
          <w:color w:val="000000"/>
          <w:sz w:val="22"/>
          <w:szCs w:val="22"/>
        </w:rPr>
        <w:t>This was the first scenario in the portfolio to apply the agreed physics-first methodology rigorously: derive all burn parameters analytically before opening GMAT. The Python script Hohmann_Transfer_Delta-V_Calculator.py performs the full vis-viva computation and outputs the exact GMAT syntax ready to copy:</w:t>
      </w:r>
    </w:p>
    <w:p w14:paraId="1F8DC1D6">
      <w:pPr>
        <w:spacing w:before="80" w:after="80"/>
        <w:ind w:left="400"/>
      </w:pPr>
      <w:r>
        <w:rPr>
          <w:rFonts w:ascii="Courier New" w:hAnsi="Courier New" w:eastAsia="Courier New" w:cs="Courier New"/>
          <w:color w:val="1F497D"/>
          <w:sz w:val="20"/>
          <w:szCs w:val="20"/>
        </w:rPr>
        <w:t xml:space="preserve">    GMAT Burn1.Element1 = 0.005671;</w:t>
      </w:r>
      <w:r>
        <w:rPr>
          <w:rFonts w:ascii="Courier New" w:hAnsi="Courier New" w:eastAsia="Courier New" w:cs="Courier New"/>
          <w:color w:val="1F497D"/>
          <w:sz w:val="20"/>
          <w:szCs w:val="20"/>
        </w:rPr>
        <w:br w:type="textWrapping"/>
      </w:r>
      <w:r>
        <w:rPr>
          <w:rFonts w:ascii="Courier New" w:hAnsi="Courier New" w:eastAsia="Courier New" w:cs="Courier New"/>
          <w:color w:val="1F497D"/>
          <w:sz w:val="20"/>
          <w:szCs w:val="20"/>
        </w:rPr>
        <w:t>
    GMAT Burn2.Element1 = 0.005667;</w:t>
      </w:r>
    </w:p>
    <w:p w14:paraId="4AD24468">
      <w:pPr>
        <w:spacing w:before="60" w:after="100"/>
        <w:jc w:val="both"/>
      </w:pPr>
      <w:r>
        <w:rPr>
          <w:color w:val="000000"/>
          <w:sz w:val="22"/>
          <w:szCs w:val="22"/>
        </w:rPr>
        <w:t>Values from the Python script are pasted directly into the GMAT ImpulsiveBurn definitions — no manual entry, no rounding, no approximation. The result is that GMAT confirms the numbers on the first run with no differential corrector iteration required.</w:t>
      </w:r>
    </w:p>
    <w:p w14:paraId="6CFB4F81">
      <w:pPr>
        <w:pStyle w:val="3"/>
        <w:spacing w:before="280" w:after="80"/>
        <w:rPr>
          <w:b/>
          <w:bCs/>
          <w:color w:val="2E74B5"/>
          <w:sz w:val="26"/>
          <w:szCs w:val="26"/>
        </w:rPr>
      </w:pPr>
      <w:r>
        <w:t>8.2  Why This Matters Operationally</w:t>
      </w:r>
    </w:p>
    <w:p w14:paraId="3DF3E97A">
      <w:pPr>
        <w:spacing w:before="60" w:after="100"/>
        <w:jc w:val="both"/>
      </w:pPr>
      <w:r>
        <w:rPr>
          <w:color w:val="000000"/>
          <w:sz w:val="22"/>
          <w:szCs w:val="22"/>
        </w:rPr>
        <w:t>In real flight dynamics operations, burn parameters are derived analytically first, then verified numerically. An FD engineer who relies on GMAT's differential corrector as the primary computation tool — rather than as a verification step — risks converging on a wrong local minimum or accepting a numerically acceptable but physically incorrect solution. The impulsive model, when correctly applied, gives the exact answer; the finite-burn DC then confirms it with the realism of thruster physics.</w:t>
      </w:r>
    </w:p>
    <w:p w14:paraId="535041EE">
      <w:pPr>
        <w:spacing w:before="60" w:after="100"/>
        <w:jc w:val="both"/>
      </w:pPr>
      <w:r>
        <w:rPr>
          <w:color w:val="000000"/>
          <w:sz w:val="22"/>
          <w:szCs w:val="22"/>
        </w:rPr>
        <w:t>The 80 m SMA error (target 6778.14 km, achieved 6778.060 km) in this scenario is due entirely to J2 perturbation during the transfer coast — not to any imprecision in the Delta-V derivation. This residual is inherent to the perturbation environment and is operationally acceptable for a single-cycle manoeuvre. In real operations, the next station-keeping cycle would correct for any residual.</w:t>
      </w:r>
    </w:p>
    <w:p w14:paraId="6A11906D">
      <w:pPr>
        <w:pStyle w:val="3"/>
        <w:spacing w:before="280" w:after="80"/>
        <w:rPr>
          <w:b/>
          <w:bCs/>
          <w:color w:val="2E74B5"/>
          <w:sz w:val="26"/>
          <w:szCs w:val="26"/>
        </w:rPr>
      </w:pPr>
      <w:r>
        <w:t>8.3  Connection to the Full Planning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4"/>
        <w:gridCol w:w="2621"/>
        <w:gridCol w:w="2527"/>
        <w:gridCol w:w="2808"/>
      </w:tblGrid>
      <w:tr w14:paraId="7E1C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4" w:type="dxa"/>
            <w:shd w:val="clear" w:color="auto" w:fill="1F3864"/>
          </w:tcPr>
          <w:p w14:paraId="535A44C7">
            <w:pPr>
              <w:spacing w:before="40" w:after="40"/>
              <w:jc w:val="center"/>
            </w:pPr>
            <w:r>
              <w:rPr>
                <w:b/>
                <w:bCs/>
                <w:color w:val="FFFFFF"/>
                <w:sz w:val="20"/>
                <w:szCs w:val="20"/>
              </w:rPr>
              <w:t>Step</w:t>
            </w:r>
          </w:p>
        </w:tc>
        <w:tc>
          <w:tcPr>
            <w:tcW w:w="2621" w:type="dxa"/>
            <w:shd w:val="clear" w:color="auto" w:fill="1F3864"/>
          </w:tcPr>
          <w:p w14:paraId="0E7CE6FF">
            <w:pPr>
              <w:spacing w:before="40" w:after="40"/>
              <w:jc w:val="center"/>
            </w:pPr>
            <w:r>
              <w:rPr>
                <w:b/>
                <w:bCs/>
                <w:color w:val="FFFFFF"/>
                <w:sz w:val="20"/>
                <w:szCs w:val="20"/>
              </w:rPr>
              <w:t>Method</w:t>
            </w:r>
          </w:p>
        </w:tc>
        <w:tc>
          <w:tcPr>
            <w:tcW w:w="2527" w:type="dxa"/>
            <w:shd w:val="clear" w:color="auto" w:fill="1F3864"/>
          </w:tcPr>
          <w:p w14:paraId="20B25E51">
            <w:pPr>
              <w:spacing w:before="40" w:after="40"/>
              <w:jc w:val="center"/>
            </w:pPr>
            <w:r>
              <w:rPr>
                <w:b/>
                <w:bCs/>
                <w:color w:val="FFFFFF"/>
                <w:sz w:val="20"/>
                <w:szCs w:val="20"/>
              </w:rPr>
              <w:t>Scenario</w:t>
            </w:r>
          </w:p>
        </w:tc>
        <w:tc>
          <w:tcPr>
            <w:tcW w:w="2808" w:type="dxa"/>
            <w:shd w:val="clear" w:color="auto" w:fill="1F3864"/>
          </w:tcPr>
          <w:p w14:paraId="1274CD50">
            <w:pPr>
              <w:spacing w:before="40" w:after="40"/>
              <w:jc w:val="center"/>
            </w:pPr>
            <w:r>
              <w:rPr>
                <w:b/>
                <w:bCs/>
                <w:color w:val="FFFFFF"/>
                <w:sz w:val="20"/>
                <w:szCs w:val="20"/>
              </w:rPr>
              <w:t>Purpose</w:t>
            </w:r>
          </w:p>
        </w:tc>
      </w:tr>
      <w:tr w14:paraId="3AB6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shd w:val="clear" w:color="auto" w:fill="FFFFFF"/>
          </w:tcPr>
          <w:p w14:paraId="11963A8D">
            <w:pPr>
              <w:spacing w:before="40" w:after="40"/>
              <w:jc w:val="left"/>
            </w:pPr>
            <w:r>
              <w:rPr>
                <w:b/>
                <w:bCs/>
                <w:color w:val="000000"/>
                <w:sz w:val="20"/>
                <w:szCs w:val="20"/>
              </w:rPr>
              <w:t>1. Derive Delta-V</w:t>
            </w:r>
          </w:p>
        </w:tc>
        <w:tc>
          <w:tcPr>
            <w:tcW w:w="2621" w:type="dxa"/>
            <w:shd w:val="clear" w:color="auto" w:fill="FFFFFF"/>
          </w:tcPr>
          <w:p w14:paraId="09D793FC">
            <w:pPr>
              <w:spacing w:before="40" w:after="40"/>
              <w:jc w:val="center"/>
            </w:pPr>
            <w:r>
              <w:rPr>
                <w:b w:val="0"/>
                <w:bCs w:val="0"/>
                <w:color w:val="000000"/>
                <w:sz w:val="20"/>
                <w:szCs w:val="20"/>
              </w:rPr>
              <w:t>Python vis-viva (analytical)</w:t>
            </w:r>
          </w:p>
        </w:tc>
        <w:tc>
          <w:tcPr>
            <w:tcW w:w="2527" w:type="dxa"/>
            <w:shd w:val="clear" w:color="auto" w:fill="FFFFFF"/>
          </w:tcPr>
          <w:p w14:paraId="04247050">
            <w:pPr>
              <w:spacing w:before="40" w:after="40"/>
              <w:jc w:val="center"/>
            </w:pPr>
            <w:r>
              <w:rPr>
                <w:b w:val="0"/>
                <w:bCs w:val="0"/>
                <w:color w:val="000000"/>
                <w:sz w:val="20"/>
                <w:szCs w:val="20"/>
              </w:rPr>
              <w:t>Scenario 06 pre-computation</w:t>
            </w:r>
          </w:p>
        </w:tc>
        <w:tc>
          <w:tcPr>
            <w:tcW w:w="2808" w:type="dxa"/>
            <w:shd w:val="clear" w:color="auto" w:fill="FFFFFF"/>
          </w:tcPr>
          <w:p w14:paraId="5EADB07C">
            <w:pPr>
              <w:spacing w:before="40" w:after="40"/>
              <w:jc w:val="center"/>
            </w:pPr>
            <w:r>
              <w:rPr>
                <w:b w:val="0"/>
                <w:bCs w:val="0"/>
                <w:color w:val="000000"/>
                <w:sz w:val="20"/>
                <w:szCs w:val="20"/>
              </w:rPr>
              <w:t>Exact closed-form solution; no iteration</w:t>
            </w:r>
          </w:p>
        </w:tc>
      </w:tr>
      <w:tr w14:paraId="2D1AE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shd w:val="clear" w:color="auto" w:fill="EBF3FB"/>
          </w:tcPr>
          <w:p w14:paraId="056B8244">
            <w:pPr>
              <w:spacing w:before="40" w:after="40"/>
              <w:jc w:val="left"/>
            </w:pPr>
            <w:r>
              <w:rPr>
                <w:b/>
                <w:bCs/>
                <w:color w:val="000000"/>
                <w:sz w:val="20"/>
                <w:szCs w:val="20"/>
              </w:rPr>
              <w:t>2. Verify impulsive</w:t>
            </w:r>
          </w:p>
        </w:tc>
        <w:tc>
          <w:tcPr>
            <w:tcW w:w="2621" w:type="dxa"/>
            <w:shd w:val="clear" w:color="auto" w:fill="EBF3FB"/>
          </w:tcPr>
          <w:p w14:paraId="403F35BB">
            <w:pPr>
              <w:spacing w:before="40" w:after="40"/>
              <w:jc w:val="center"/>
            </w:pPr>
            <w:r>
              <w:rPr>
                <w:b w:val="0"/>
                <w:bCs w:val="0"/>
                <w:color w:val="000000"/>
                <w:sz w:val="20"/>
                <w:szCs w:val="20"/>
              </w:rPr>
              <w:t>GMAT ImpulsiveBurn</w:t>
            </w:r>
          </w:p>
        </w:tc>
        <w:tc>
          <w:tcPr>
            <w:tcW w:w="2527" w:type="dxa"/>
            <w:shd w:val="clear" w:color="auto" w:fill="EBF3FB"/>
          </w:tcPr>
          <w:p w14:paraId="19186B5F">
            <w:pPr>
              <w:spacing w:before="40" w:after="40"/>
              <w:jc w:val="center"/>
            </w:pPr>
            <w:r>
              <w:rPr>
                <w:b w:val="0"/>
                <w:bCs w:val="0"/>
                <w:color w:val="000000"/>
                <w:sz w:val="20"/>
                <w:szCs w:val="20"/>
              </w:rPr>
              <w:t>Scenario 06 GMAT run</w:t>
            </w:r>
          </w:p>
        </w:tc>
        <w:tc>
          <w:tcPr>
            <w:tcW w:w="2808" w:type="dxa"/>
            <w:shd w:val="clear" w:color="auto" w:fill="EBF3FB"/>
          </w:tcPr>
          <w:p w14:paraId="17A06CB9">
            <w:pPr>
              <w:spacing w:before="40" w:after="40"/>
              <w:jc w:val="center"/>
            </w:pPr>
            <w:r>
              <w:rPr>
                <w:b w:val="0"/>
                <w:bCs w:val="0"/>
                <w:color w:val="000000"/>
                <w:sz w:val="20"/>
                <w:szCs w:val="20"/>
              </w:rPr>
              <w:t>Confirms physics; validates Python numbers</w:t>
            </w:r>
          </w:p>
        </w:tc>
      </w:tr>
      <w:tr w14:paraId="6DA9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shd w:val="clear" w:color="auto" w:fill="FFFFFF"/>
          </w:tcPr>
          <w:p w14:paraId="24963174">
            <w:pPr>
              <w:spacing w:before="40" w:after="40"/>
              <w:jc w:val="left"/>
            </w:pPr>
            <w:r>
              <w:rPr>
                <w:b/>
                <w:bCs/>
                <w:color w:val="000000"/>
                <w:sz w:val="20"/>
                <w:szCs w:val="20"/>
              </w:rPr>
              <w:t>3. Simulate finite</w:t>
            </w:r>
          </w:p>
        </w:tc>
        <w:tc>
          <w:tcPr>
            <w:tcW w:w="2621" w:type="dxa"/>
            <w:shd w:val="clear" w:color="auto" w:fill="FFFFFF"/>
          </w:tcPr>
          <w:p w14:paraId="4A0F396C">
            <w:pPr>
              <w:spacing w:before="40" w:after="40"/>
              <w:jc w:val="center"/>
            </w:pPr>
            <w:r>
              <w:rPr>
                <w:b w:val="0"/>
                <w:bCs w:val="0"/>
                <w:color w:val="000000"/>
                <w:sz w:val="20"/>
                <w:szCs w:val="20"/>
              </w:rPr>
              <w:t>GMAT FiniteBurn + DifferentialCorrector</w:t>
            </w:r>
          </w:p>
        </w:tc>
        <w:tc>
          <w:tcPr>
            <w:tcW w:w="2527" w:type="dxa"/>
            <w:shd w:val="clear" w:color="auto" w:fill="FFFFFF"/>
          </w:tcPr>
          <w:p w14:paraId="2C6FD0CF">
            <w:pPr>
              <w:spacing w:before="40" w:after="40"/>
              <w:jc w:val="center"/>
            </w:pPr>
            <w:r>
              <w:rPr>
                <w:b w:val="0"/>
                <w:bCs w:val="0"/>
                <w:color w:val="000000"/>
                <w:sz w:val="20"/>
                <w:szCs w:val="20"/>
              </w:rPr>
              <w:t>Scenario 08</w:t>
            </w:r>
          </w:p>
        </w:tc>
        <w:tc>
          <w:tcPr>
            <w:tcW w:w="2808" w:type="dxa"/>
            <w:shd w:val="clear" w:color="auto" w:fill="FFFFFF"/>
          </w:tcPr>
          <w:p w14:paraId="54D46B0D">
            <w:pPr>
              <w:spacing w:before="40" w:after="40"/>
              <w:jc w:val="center"/>
            </w:pPr>
            <w:r>
              <w:rPr>
                <w:b w:val="0"/>
                <w:bCs w:val="0"/>
                <w:color w:val="000000"/>
                <w:sz w:val="20"/>
                <w:szCs w:val="20"/>
              </w:rPr>
              <w:t>Adds thruster realism; finds burn duration</w:t>
            </w:r>
          </w:p>
        </w:tc>
      </w:tr>
      <w:tr w14:paraId="1709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4" w:type="dxa"/>
            <w:shd w:val="clear" w:color="auto" w:fill="EBF3FB"/>
          </w:tcPr>
          <w:p w14:paraId="1CE8EEB2">
            <w:pPr>
              <w:spacing w:before="40" w:after="40"/>
              <w:jc w:val="left"/>
            </w:pPr>
            <w:r>
              <w:rPr>
                <w:b/>
                <w:bCs/>
                <w:color w:val="000000"/>
                <w:sz w:val="20"/>
                <w:szCs w:val="20"/>
              </w:rPr>
              <w:t>4. Upload command</w:t>
            </w:r>
          </w:p>
        </w:tc>
        <w:tc>
          <w:tcPr>
            <w:tcW w:w="2621" w:type="dxa"/>
            <w:shd w:val="clear" w:color="auto" w:fill="EBF3FB"/>
          </w:tcPr>
          <w:p w14:paraId="50CD6D21">
            <w:pPr>
              <w:spacing w:before="40" w:after="40"/>
              <w:jc w:val="center"/>
            </w:pPr>
            <w:r>
              <w:rPr>
                <w:b w:val="0"/>
                <w:bCs w:val="0"/>
                <w:color w:val="000000"/>
                <w:sz w:val="20"/>
                <w:szCs w:val="20"/>
              </w:rPr>
              <w:t>Ground operations (TC upload)</w:t>
            </w:r>
          </w:p>
        </w:tc>
        <w:tc>
          <w:tcPr>
            <w:tcW w:w="2527" w:type="dxa"/>
            <w:shd w:val="clear" w:color="auto" w:fill="EBF3FB"/>
          </w:tcPr>
          <w:p w14:paraId="66D09BDF">
            <w:pPr>
              <w:spacing w:before="40" w:after="40"/>
              <w:jc w:val="center"/>
            </w:pPr>
            <w:r>
              <w:rPr>
                <w:b w:val="0"/>
                <w:bCs w:val="0"/>
                <w:color w:val="000000"/>
                <w:sz w:val="20"/>
                <w:szCs w:val="20"/>
              </w:rPr>
              <w:t>NigComSat real ops</w:t>
            </w:r>
          </w:p>
        </w:tc>
        <w:tc>
          <w:tcPr>
            <w:tcW w:w="2808" w:type="dxa"/>
            <w:shd w:val="clear" w:color="auto" w:fill="EBF3FB"/>
          </w:tcPr>
          <w:p w14:paraId="541480CF">
            <w:pPr>
              <w:spacing w:before="40" w:after="40"/>
              <w:jc w:val="center"/>
            </w:pPr>
            <w:r>
              <w:rPr>
                <w:b w:val="0"/>
                <w:bCs w:val="0"/>
                <w:color w:val="000000"/>
                <w:sz w:val="20"/>
                <w:szCs w:val="20"/>
              </w:rPr>
              <w:t>Burn duration in seconds to satellite computer</w:t>
            </w:r>
          </w:p>
        </w:tc>
      </w:tr>
    </w:tbl>
    <w:p w14:paraId="0193606D">
      <w:pPr>
        <w:spacing w:before="0" w:after="160"/>
      </w:pPr>
    </w:p>
    <w:p w14:paraId="31181EF8">
      <w:r>
        <w:br w:type="page"/>
      </w:r>
    </w:p>
    <w:p w14:paraId="555977F6">
      <w:pPr>
        <w:pStyle w:val="2"/>
        <w:spacing w:before="360" w:after="120"/>
        <w:rPr>
          <w:b/>
          <w:bCs/>
          <w:color w:val="1F3864"/>
          <w:sz w:val="32"/>
          <w:szCs w:val="32"/>
        </w:rPr>
      </w:pPr>
      <w:r>
        <w:t>9. GMAT Lessons Learned</w:t>
      </w:r>
    </w:p>
    <w:p w14:paraId="739DD04A">
      <w:pPr>
        <w:pStyle w:val="3"/>
        <w:spacing w:before="280" w:after="80"/>
        <w:rPr>
          <w:b/>
          <w:bCs/>
          <w:color w:val="2E74B5"/>
          <w:sz w:val="26"/>
          <w:szCs w:val="26"/>
        </w:rPr>
      </w:pPr>
      <w:r>
        <w:t>9.1  ImpulsiveBurn vs. FiniteBurn — Critical Differences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3463"/>
        <w:gridCol w:w="3557"/>
      </w:tblGrid>
      <w:tr w14:paraId="7984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shd w:val="clear" w:color="auto" w:fill="1F3864"/>
          </w:tcPr>
          <w:p w14:paraId="2EA40974">
            <w:pPr>
              <w:spacing w:before="40" w:after="40"/>
              <w:jc w:val="center"/>
            </w:pPr>
            <w:r>
              <w:rPr>
                <w:b/>
                <w:bCs/>
                <w:color w:val="FFFFFF"/>
                <w:sz w:val="20"/>
                <w:szCs w:val="20"/>
              </w:rPr>
              <w:t>Aspect</w:t>
            </w:r>
          </w:p>
        </w:tc>
        <w:tc>
          <w:tcPr>
            <w:tcW w:w="3463" w:type="dxa"/>
            <w:shd w:val="clear" w:color="auto" w:fill="1F3864"/>
          </w:tcPr>
          <w:p w14:paraId="5392A600">
            <w:pPr>
              <w:spacing w:before="40" w:after="40"/>
              <w:jc w:val="center"/>
            </w:pPr>
            <w:r>
              <w:rPr>
                <w:b/>
                <w:bCs/>
                <w:color w:val="FFFFFF"/>
                <w:sz w:val="20"/>
                <w:szCs w:val="20"/>
              </w:rPr>
              <w:t>ImpulsiveBurn</w:t>
            </w:r>
          </w:p>
        </w:tc>
        <w:tc>
          <w:tcPr>
            <w:tcW w:w="3557" w:type="dxa"/>
            <w:shd w:val="clear" w:color="auto" w:fill="1F3864"/>
          </w:tcPr>
          <w:p w14:paraId="71A168DE">
            <w:pPr>
              <w:spacing w:before="40" w:after="40"/>
              <w:jc w:val="center"/>
            </w:pPr>
            <w:r>
              <w:rPr>
                <w:b/>
                <w:bCs/>
                <w:color w:val="FFFFFF"/>
                <w:sz w:val="20"/>
                <w:szCs w:val="20"/>
              </w:rPr>
              <w:t>FiniteBurn</w:t>
            </w:r>
          </w:p>
        </w:tc>
      </w:tr>
      <w:tr w14:paraId="27C19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665111FB">
            <w:pPr>
              <w:spacing w:before="40" w:after="40"/>
              <w:jc w:val="left"/>
            </w:pPr>
            <w:r>
              <w:rPr>
                <w:b/>
                <w:bCs/>
                <w:color w:val="000000"/>
                <w:sz w:val="20"/>
                <w:szCs w:val="20"/>
              </w:rPr>
              <w:t>Hardware required</w:t>
            </w:r>
          </w:p>
        </w:tc>
        <w:tc>
          <w:tcPr>
            <w:tcW w:w="3463" w:type="dxa"/>
            <w:shd w:val="clear" w:color="auto" w:fill="FFFFFF"/>
          </w:tcPr>
          <w:p w14:paraId="42F5C336">
            <w:pPr>
              <w:spacing w:before="40" w:after="40"/>
              <w:jc w:val="center"/>
            </w:pPr>
            <w:r>
              <w:rPr>
                <w:b w:val="0"/>
                <w:bCs w:val="0"/>
                <w:color w:val="000000"/>
                <w:sz w:val="20"/>
                <w:szCs w:val="20"/>
              </w:rPr>
              <w:t>None — remove hardware braces {}</w:t>
            </w:r>
          </w:p>
        </w:tc>
        <w:tc>
          <w:tcPr>
            <w:tcW w:w="3557" w:type="dxa"/>
            <w:shd w:val="clear" w:color="auto" w:fill="FFFFFF"/>
          </w:tcPr>
          <w:p w14:paraId="267A3ACF">
            <w:pPr>
              <w:spacing w:before="40" w:after="40"/>
              <w:jc w:val="center"/>
            </w:pPr>
            <w:r>
              <w:rPr>
                <w:b w:val="0"/>
                <w:bCs w:val="0"/>
                <w:color w:val="000000"/>
                <w:sz w:val="20"/>
                <w:szCs w:val="20"/>
              </w:rPr>
              <w:t>ChemicalTank + ChemicalThruster</w:t>
            </w:r>
          </w:p>
        </w:tc>
      </w:tr>
      <w:tr w14:paraId="343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EBF3FB"/>
          </w:tcPr>
          <w:p w14:paraId="747DBDE0">
            <w:pPr>
              <w:spacing w:before="40" w:after="40"/>
              <w:jc w:val="left"/>
            </w:pPr>
            <w:r>
              <w:rPr>
                <w:b/>
                <w:bCs/>
                <w:color w:val="000000"/>
                <w:sz w:val="20"/>
                <w:szCs w:val="20"/>
              </w:rPr>
              <w:t>Coordinate frame</w:t>
            </w:r>
          </w:p>
        </w:tc>
        <w:tc>
          <w:tcPr>
            <w:tcW w:w="3463" w:type="dxa"/>
            <w:shd w:val="clear" w:color="auto" w:fill="EBF3FB"/>
          </w:tcPr>
          <w:p w14:paraId="5424150B">
            <w:pPr>
              <w:spacing w:before="40" w:after="40"/>
              <w:jc w:val="center"/>
            </w:pPr>
            <w:r>
              <w:rPr>
                <w:b w:val="0"/>
                <w:bCs w:val="0"/>
                <w:color w:val="000000"/>
                <w:sz w:val="20"/>
                <w:szCs w:val="20"/>
              </w:rPr>
              <w:t>Local / Earth / VNB (inline syntax)</w:t>
            </w:r>
          </w:p>
        </w:tc>
        <w:tc>
          <w:tcPr>
            <w:tcW w:w="3557" w:type="dxa"/>
            <w:shd w:val="clear" w:color="auto" w:fill="EBF3FB"/>
          </w:tcPr>
          <w:p w14:paraId="3E6378B8">
            <w:pPr>
              <w:spacing w:before="40" w:after="40"/>
              <w:jc w:val="center"/>
            </w:pPr>
            <w:r>
              <w:rPr>
                <w:b w:val="0"/>
                <w:bCs w:val="0"/>
                <w:color w:val="000000"/>
                <w:sz w:val="20"/>
                <w:szCs w:val="20"/>
              </w:rPr>
              <w:t>Must also specify Axes in FiniteBurn</w:t>
            </w:r>
          </w:p>
        </w:tc>
      </w:tr>
      <w:tr w14:paraId="64372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62EA32E0">
            <w:pPr>
              <w:spacing w:before="40" w:after="40"/>
              <w:jc w:val="left"/>
            </w:pPr>
            <w:r>
              <w:rPr>
                <w:b/>
                <w:bCs/>
                <w:color w:val="000000"/>
                <w:sz w:val="20"/>
                <w:szCs w:val="20"/>
              </w:rPr>
              <w:t>Delta-V input</w:t>
            </w:r>
          </w:p>
        </w:tc>
        <w:tc>
          <w:tcPr>
            <w:tcW w:w="3463" w:type="dxa"/>
            <w:shd w:val="clear" w:color="auto" w:fill="FFFFFF"/>
          </w:tcPr>
          <w:p w14:paraId="3CEDA8F5">
            <w:pPr>
              <w:spacing w:before="40" w:after="40"/>
              <w:jc w:val="center"/>
            </w:pPr>
            <w:r>
              <w:rPr>
                <w:b w:val="0"/>
                <w:bCs w:val="0"/>
                <w:color w:val="000000"/>
                <w:sz w:val="20"/>
                <w:szCs w:val="20"/>
              </w:rPr>
              <w:t>Element1 = Delta-V in km/s directly</w:t>
            </w:r>
          </w:p>
        </w:tc>
        <w:tc>
          <w:tcPr>
            <w:tcW w:w="3557" w:type="dxa"/>
            <w:shd w:val="clear" w:color="auto" w:fill="FFFFFF"/>
          </w:tcPr>
          <w:p w14:paraId="7846E27B">
            <w:pPr>
              <w:spacing w:before="40" w:after="40"/>
              <w:jc w:val="center"/>
            </w:pPr>
            <w:r>
              <w:rPr>
                <w:b w:val="0"/>
                <w:bCs w:val="0"/>
                <w:color w:val="000000"/>
                <w:sz w:val="20"/>
                <w:szCs w:val="20"/>
              </w:rPr>
              <w:t>Burn duration + thrust + Isp</w:t>
            </w:r>
          </w:p>
        </w:tc>
      </w:tr>
      <w:tr w14:paraId="7F03D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EBF3FB"/>
          </w:tcPr>
          <w:p w14:paraId="0CA80A02">
            <w:pPr>
              <w:spacing w:before="40" w:after="40"/>
              <w:jc w:val="left"/>
            </w:pPr>
            <w:r>
              <w:rPr>
                <w:b/>
                <w:bCs/>
                <w:color w:val="000000"/>
                <w:sz w:val="20"/>
                <w:szCs w:val="20"/>
              </w:rPr>
              <w:t>DC needed</w:t>
            </w:r>
          </w:p>
        </w:tc>
        <w:tc>
          <w:tcPr>
            <w:tcW w:w="3463" w:type="dxa"/>
            <w:shd w:val="clear" w:color="auto" w:fill="EBF3FB"/>
          </w:tcPr>
          <w:p w14:paraId="04DE6F04">
            <w:pPr>
              <w:spacing w:before="40" w:after="40"/>
              <w:jc w:val="center"/>
            </w:pPr>
            <w:r>
              <w:rPr>
                <w:b w:val="0"/>
                <w:bCs w:val="0"/>
                <w:color w:val="000000"/>
                <w:sz w:val="20"/>
                <w:szCs w:val="20"/>
              </w:rPr>
              <w:t>No — vis-viva gives exact answer</w:t>
            </w:r>
          </w:p>
        </w:tc>
        <w:tc>
          <w:tcPr>
            <w:tcW w:w="3557" w:type="dxa"/>
            <w:shd w:val="clear" w:color="auto" w:fill="EBF3FB"/>
          </w:tcPr>
          <w:p w14:paraId="2733EA5E">
            <w:pPr>
              <w:spacing w:before="40" w:after="40"/>
              <w:jc w:val="center"/>
            </w:pPr>
            <w:r>
              <w:rPr>
                <w:b w:val="0"/>
                <w:bCs w:val="0"/>
                <w:color w:val="000000"/>
                <w:sz w:val="20"/>
                <w:szCs w:val="20"/>
              </w:rPr>
              <w:t>Yes — no closed-form solution</w:t>
            </w:r>
          </w:p>
        </w:tc>
      </w:tr>
      <w:tr w14:paraId="55D4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FFFFFF"/>
          </w:tcPr>
          <w:p w14:paraId="118A33F9">
            <w:pPr>
              <w:spacing w:before="40" w:after="40"/>
              <w:jc w:val="left"/>
            </w:pPr>
            <w:r>
              <w:rPr>
                <w:b/>
                <w:bCs/>
                <w:color w:val="000000"/>
                <w:sz w:val="20"/>
                <w:szCs w:val="20"/>
              </w:rPr>
              <w:t>Residual ECC</w:t>
            </w:r>
          </w:p>
        </w:tc>
        <w:tc>
          <w:tcPr>
            <w:tcW w:w="3463" w:type="dxa"/>
            <w:shd w:val="clear" w:color="auto" w:fill="FFFFFF"/>
          </w:tcPr>
          <w:p w14:paraId="4D37B4AA">
            <w:pPr>
              <w:spacing w:before="40" w:after="40"/>
              <w:jc w:val="center"/>
            </w:pPr>
            <w:r>
              <w:rPr>
                <w:b w:val="0"/>
                <w:bCs w:val="0"/>
                <w:color w:val="000000"/>
                <w:sz w:val="20"/>
                <w:szCs w:val="20"/>
              </w:rPr>
              <w:t>Near-zero (idealisation)</w:t>
            </w:r>
          </w:p>
        </w:tc>
        <w:tc>
          <w:tcPr>
            <w:tcW w:w="3557" w:type="dxa"/>
            <w:shd w:val="clear" w:color="auto" w:fill="FFFFFF"/>
          </w:tcPr>
          <w:p w14:paraId="1F09ED61">
            <w:pPr>
              <w:spacing w:before="40" w:after="40"/>
              <w:jc w:val="center"/>
            </w:pPr>
            <w:r>
              <w:rPr>
                <w:b w:val="0"/>
                <w:bCs w:val="0"/>
                <w:color w:val="000000"/>
                <w:sz w:val="20"/>
                <w:szCs w:val="20"/>
              </w:rPr>
              <w:t>Non-zero (burn arc effect)</w:t>
            </w:r>
          </w:p>
        </w:tc>
      </w:tr>
      <w:tr w14:paraId="01CBF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shd w:val="clear" w:color="auto" w:fill="EBF3FB"/>
          </w:tcPr>
          <w:p w14:paraId="52A26FB1">
            <w:pPr>
              <w:spacing w:before="40" w:after="40"/>
              <w:jc w:val="left"/>
            </w:pPr>
            <w:r>
              <w:rPr>
                <w:b/>
                <w:bCs/>
                <w:color w:val="000000"/>
                <w:sz w:val="20"/>
                <w:szCs w:val="20"/>
              </w:rPr>
              <w:t>Fuel depletion</w:t>
            </w:r>
          </w:p>
        </w:tc>
        <w:tc>
          <w:tcPr>
            <w:tcW w:w="3463" w:type="dxa"/>
            <w:shd w:val="clear" w:color="auto" w:fill="EBF3FB"/>
          </w:tcPr>
          <w:p w14:paraId="423A70FF">
            <w:pPr>
              <w:spacing w:before="40" w:after="40"/>
              <w:jc w:val="center"/>
            </w:pPr>
            <w:r>
              <w:rPr>
                <w:b w:val="0"/>
                <w:bCs w:val="0"/>
                <w:color w:val="000000"/>
                <w:sz w:val="20"/>
                <w:szCs w:val="20"/>
              </w:rPr>
              <w:t>Not modelled</w:t>
            </w:r>
          </w:p>
        </w:tc>
        <w:tc>
          <w:tcPr>
            <w:tcW w:w="3557" w:type="dxa"/>
            <w:shd w:val="clear" w:color="auto" w:fill="EBF3FB"/>
          </w:tcPr>
          <w:p w14:paraId="440B25B1">
            <w:pPr>
              <w:spacing w:before="40" w:after="40"/>
              <w:jc w:val="center"/>
            </w:pPr>
            <w:r>
              <w:rPr>
                <w:b w:val="0"/>
                <w:bCs w:val="0"/>
                <w:color w:val="000000"/>
                <w:sz w:val="20"/>
                <w:szCs w:val="20"/>
              </w:rPr>
              <w:t>DecFuelMass = true required</w:t>
            </w:r>
          </w:p>
        </w:tc>
      </w:tr>
    </w:tbl>
    <w:p w14:paraId="540B2FB9">
      <w:pPr>
        <w:spacing w:before="0" w:after="160"/>
      </w:pPr>
    </w:p>
    <w:p w14:paraId="41978FDE">
      <w:pPr>
        <w:pStyle w:val="3"/>
        <w:spacing w:before="280" w:after="80"/>
        <w:rPr>
          <w:b/>
          <w:bCs/>
          <w:color w:val="2E74B5"/>
          <w:sz w:val="26"/>
          <w:szCs w:val="26"/>
        </w:rPr>
      </w:pPr>
      <w:r>
        <w:t>9.2  VNB Frame Syntax</w:t>
      </w:r>
    </w:p>
    <w:p w14:paraId="14B1E06F">
      <w:pPr>
        <w:spacing w:before="60" w:after="100"/>
        <w:jc w:val="both"/>
      </w:pPr>
      <w:r>
        <w:rPr>
          <w:b/>
          <w:bCs/>
          <w:color w:val="000000"/>
          <w:sz w:val="22"/>
          <w:szCs w:val="22"/>
        </w:rPr>
        <w:t xml:space="preserve">Correct (R2022a): </w:t>
      </w:r>
      <w:r>
        <w:rPr>
          <w:rFonts w:ascii="Courier New" w:hAnsi="Courier New" w:eastAsia="Courier New" w:cs="Courier New"/>
          <w:color w:val="1F497D"/>
          <w:sz w:val="20"/>
          <w:szCs w:val="20"/>
        </w:rPr>
        <w:t>Create ImpulsiveBurn Burn1;</w:t>
      </w:r>
      <w:r>
        <w:rPr>
          <w:color w:val="000000"/>
          <w:sz w:val="22"/>
          <w:szCs w:val="22"/>
        </w:rPr>
        <w:t xml:space="preserve"> then property lines </w:t>
      </w:r>
      <w:r>
        <w:rPr>
          <w:rFonts w:ascii="Courier New" w:hAnsi="Courier New" w:eastAsia="Courier New" w:cs="Courier New"/>
          <w:color w:val="1F497D"/>
          <w:sz w:val="20"/>
          <w:szCs w:val="20"/>
        </w:rPr>
        <w:t>GMAT Burn1.CoordinateSystem = Local;</w:t>
      </w:r>
      <w:r>
        <w:rPr>
          <w:color w:val="000000"/>
          <w:sz w:val="22"/>
          <w:szCs w:val="22"/>
        </w:rPr>
        <w:t xml:space="preserve"> | </w:t>
      </w:r>
      <w:r>
        <w:rPr>
          <w:rFonts w:ascii="Courier New" w:hAnsi="Courier New" w:eastAsia="Courier New" w:cs="Courier New"/>
          <w:color w:val="1F497D"/>
          <w:sz w:val="20"/>
          <w:szCs w:val="20"/>
        </w:rPr>
        <w:t>GMAT Burn1.Origin = Earth;</w:t>
      </w:r>
      <w:r>
        <w:rPr>
          <w:color w:val="000000"/>
          <w:sz w:val="22"/>
          <w:szCs w:val="22"/>
        </w:rPr>
        <w:t xml:space="preserve"> | </w:t>
      </w:r>
      <w:r>
        <w:rPr>
          <w:rFonts w:ascii="Courier New" w:hAnsi="Courier New" w:eastAsia="Courier New" w:cs="Courier New"/>
          <w:color w:val="1F497D"/>
          <w:sz w:val="20"/>
          <w:szCs w:val="20"/>
        </w:rPr>
        <w:t>GMAT Burn1.Axes = VNB;</w:t>
      </w:r>
    </w:p>
    <w:p w14:paraId="6876F065">
      <w:pPr>
        <w:spacing w:before="60" w:after="100"/>
        <w:jc w:val="both"/>
      </w:pPr>
      <w:r>
        <w:rPr>
          <w:b/>
          <w:bCs/>
          <w:color w:val="000000"/>
          <w:sz w:val="22"/>
          <w:szCs w:val="22"/>
        </w:rPr>
        <w:t xml:space="preserve">Incorrect: </w:t>
      </w:r>
      <w:r>
        <w:rPr>
          <w:rFonts w:ascii="Courier New" w:hAnsi="Courier New" w:eastAsia="Courier New" w:cs="Courier New"/>
          <w:color w:val="1F497D"/>
          <w:sz w:val="20"/>
          <w:szCs w:val="20"/>
        </w:rPr>
        <w:t>Create CoordinateSystem VNB;</w:t>
      </w:r>
      <w:r>
        <w:rPr>
          <w:color w:val="000000"/>
          <w:sz w:val="22"/>
          <w:szCs w:val="22"/>
        </w:rPr>
        <w:t xml:space="preserve"> — VNB is not a named CS; this causes a 'Nonexistent CoordinateSystem' error.</w:t>
      </w:r>
    </w:p>
    <w:p w14:paraId="6BE834F0">
      <w:pPr>
        <w:pStyle w:val="3"/>
        <w:spacing w:before="280" w:after="80"/>
        <w:rPr>
          <w:b/>
          <w:bCs/>
          <w:color w:val="2E74B5"/>
          <w:sz w:val="26"/>
          <w:szCs w:val="26"/>
        </w:rPr>
      </w:pPr>
      <w:r>
        <w:t>9.3  Stopping Conditions for Manoeuvre Timing</w:t>
      </w:r>
    </w:p>
    <w:p w14:paraId="44EB8F3C">
      <w:pPr>
        <w:spacing w:before="60" w:after="100"/>
        <w:jc w:val="both"/>
      </w:pPr>
      <w:r>
        <w:rPr>
          <w:color w:val="000000"/>
          <w:sz w:val="22"/>
          <w:szCs w:val="22"/>
        </w:rPr>
        <w:t>{LEOSat.Periapsis} and {LEOSat.Apoapsis} are the correct GMAT stopping conditions for Hohmann transfer timing. They propagate the spacecraft to the exact orbital geometry rather than using a time-based approximation. This is superior to a fixed elapsed time because J2 perturbation shifts the periapsis passage slightly from the analytically computed time — using the geometry-based condition ensures the burn fires at the exact right orbital position regardless of perturbation-induced timing drift.</w:t>
      </w:r>
    </w:p>
    <w:p w14:paraId="5339F5E4">
      <w:pPr>
        <w:pStyle w:val="3"/>
        <w:spacing w:before="280" w:after="80"/>
        <w:rPr>
          <w:b/>
          <w:bCs/>
          <w:color w:val="2E74B5"/>
          <w:sz w:val="26"/>
          <w:szCs w:val="26"/>
        </w:rPr>
      </w:pPr>
      <w:r>
        <w:t>9.4  ReportFile — Milestone Output Pattern</w:t>
      </w:r>
    </w:p>
    <w:p w14:paraId="61FD8393">
      <w:pPr>
        <w:spacing w:before="60" w:after="100"/>
        <w:jc w:val="both"/>
      </w:pPr>
      <w:r>
        <w:rPr>
          <w:color w:val="000000"/>
          <w:sz w:val="22"/>
          <w:szCs w:val="22"/>
        </w:rPr>
        <w:t>The ManoeuvreReport uses explicit Report commands (not the ReportFile Add={} continuous output pattern) to capture only the six milestone states. This produces a clean, readable output file with one data row per milestone preceded by a header row. Each header-data pair is self-contained, making the file easy to parse programmatically or read manually.</w:t>
      </w:r>
    </w:p>
    <w:p w14:paraId="0B84F37B">
      <w:pPr>
        <w:spacing w:before="60" w:after="100"/>
        <w:jc w:val="both"/>
      </w:pPr>
      <w:r>
        <w:rPr>
          <w:color w:val="000000"/>
          <w:sz w:val="22"/>
          <w:szCs w:val="22"/>
        </w:rPr>
        <w:t>Note: GMAT includes a header line before each Report command output — this is the milestone-based report pattern. The continuous ReportFile Add={} pattern would produce thousands of rows (one per integration step) which would obscure the key state changes at burn events.</w:t>
      </w:r>
    </w:p>
    <w:p w14:paraId="1535D306">
      <w:pPr>
        <w:pStyle w:val="3"/>
        <w:spacing w:before="280" w:after="80"/>
        <w:rPr>
          <w:b/>
          <w:bCs/>
          <w:color w:val="2E74B5"/>
          <w:sz w:val="26"/>
          <w:szCs w:val="26"/>
        </w:rPr>
      </w:pPr>
      <w:r>
        <w:t>9.5  GMAT R2022a: Strict ASCII Requirement</w:t>
      </w:r>
    </w:p>
    <w:p w14:paraId="32A31AB0">
      <w:pPr>
        <w:spacing w:before="60" w:after="100"/>
        <w:jc w:val="both"/>
      </w:pPr>
      <w:r>
        <w:rPr>
          <w:color w:val="000000"/>
          <w:sz w:val="22"/>
          <w:szCs w:val="22"/>
        </w:rPr>
        <w:t>Any non-ASCII byte in a GMAT script file causes an Interpreter Exception before parsing begins. This includes: em-dash (from Word/rich-text), degree symbol (deg), Greek letters (Delta, omega), mathematical operators (x for multiplication, approx), and any Unicode character above 0x7F. All script comments must use plain ASCII equivalents: -- for em-dash, deg for degree symbol, Delta for the Greek letter, etc.</w:t>
      </w:r>
    </w:p>
    <w:p w14:paraId="3B8E8CCF">
      <w:pPr>
        <w:pStyle w:val="3"/>
        <w:spacing w:before="280" w:after="80"/>
        <w:rPr>
          <w:b/>
          <w:bCs/>
          <w:color w:val="2E74B5"/>
          <w:sz w:val="26"/>
          <w:szCs w:val="26"/>
        </w:rPr>
      </w:pPr>
      <w:r>
        <w:t>9.6  GMAT RAAN Prefix Requirement</w:t>
      </w:r>
    </w:p>
    <w:p w14:paraId="3A3254D8">
      <w:pPr>
        <w:spacing w:before="60" w:after="100"/>
        <w:jc w:val="both"/>
      </w:pPr>
      <w:r>
        <w:rPr>
          <w:color w:val="000000"/>
          <w:sz w:val="22"/>
          <w:szCs w:val="22"/>
        </w:rPr>
        <w:t>In GMAT R2022a, every property line in the Resource section requires the GMAT keyword prefix (e.g., GMAT LEOSat.SMA = 6758.14;). Omitting the prefix causes an interpreter error. This is a non-trivial difference from some other simulation tools and from informal script examples found online that pre-date R2022a.</w:t>
      </w:r>
    </w:p>
    <w:p w14:paraId="04FCEC87">
      <w:r>
        <w:br w:type="page"/>
      </w:r>
    </w:p>
    <w:p w14:paraId="0701947D">
      <w:pPr>
        <w:pStyle w:val="2"/>
        <w:spacing w:before="360" w:after="120"/>
        <w:rPr>
          <w:b/>
          <w:bCs/>
          <w:color w:val="1F3864"/>
          <w:sz w:val="32"/>
          <w:szCs w:val="32"/>
        </w:rPr>
      </w:pPr>
      <w:r>
        <w:t>10. Operational Significance</w:t>
      </w:r>
    </w:p>
    <w:p w14:paraId="2BA03B23">
      <w:pPr>
        <w:pStyle w:val="3"/>
        <w:spacing w:before="280" w:after="80"/>
        <w:rPr>
          <w:b/>
          <w:bCs/>
          <w:color w:val="2E74B5"/>
          <w:sz w:val="26"/>
          <w:szCs w:val="26"/>
        </w:rPr>
      </w:pPr>
      <w:r>
        <w:t>10.1  LEO Satellite Operations Context</w:t>
      </w:r>
    </w:p>
    <w:p w14:paraId="2CAAEE4A">
      <w:pPr>
        <w:spacing w:before="60" w:after="100"/>
        <w:jc w:val="both"/>
      </w:pPr>
      <w:r>
        <w:rPr>
          <w:color w:val="000000"/>
          <w:sz w:val="22"/>
          <w:szCs w:val="22"/>
        </w:rPr>
        <w:t>Orbit restoration after drag decay is a routine LEO operations task. The specific scenario modelled here — 20 km SMA correction after a missed station-keeping cycle or anomaly period — directly reflects the responsibilities of an LEO flight dynamics engineer. The key operational skills demonstrated are:</w:t>
      </w:r>
    </w:p>
    <w:p w14:paraId="5107C9CA">
      <w:pPr>
        <w:spacing w:before="60" w:after="100"/>
        <w:ind w:left="400"/>
        <w:jc w:val="both"/>
      </w:pPr>
      <w:r>
        <w:rPr>
          <w:b/>
          <w:bCs/>
          <w:color w:val="000000"/>
          <w:sz w:val="22"/>
          <w:szCs w:val="22"/>
        </w:rPr>
        <w:t xml:space="preserve">Analytical manoeuvre planning: </w:t>
      </w:r>
      <w:r>
        <w:rPr>
          <w:color w:val="000000"/>
          <w:sz w:val="22"/>
          <w:szCs w:val="22"/>
        </w:rPr>
        <w:t>Deriving the correct Delta-V from first principles without relying on trial-and-error DC iteration. This is the expected approach in an FD team environment.</w:t>
      </w:r>
    </w:p>
    <w:p w14:paraId="11F55CA6">
      <w:pPr>
        <w:spacing w:before="60" w:after="100"/>
        <w:ind w:left="400"/>
        <w:jc w:val="both"/>
      </w:pPr>
      <w:r>
        <w:rPr>
          <w:b/>
          <w:bCs/>
          <w:color w:val="000000"/>
          <w:sz w:val="22"/>
          <w:szCs w:val="22"/>
        </w:rPr>
        <w:t xml:space="preserve">GMAT scripting proficiency: </w:t>
      </w:r>
      <w:r>
        <w:rPr>
          <w:color w:val="000000"/>
          <w:sz w:val="22"/>
          <w:szCs w:val="22"/>
        </w:rPr>
        <w:t>Configuring impulsive burns correctly in R2022a, including the VNB frame syntax and periapsis/apoapsis stopping conditions.</w:t>
      </w:r>
    </w:p>
    <w:p w14:paraId="74D6E344">
      <w:pPr>
        <w:spacing w:before="60" w:after="100"/>
        <w:ind w:left="400"/>
        <w:jc w:val="both"/>
      </w:pPr>
      <w:r>
        <w:rPr>
          <w:b/>
          <w:bCs/>
          <w:color w:val="000000"/>
          <w:sz w:val="22"/>
          <w:szCs w:val="22"/>
        </w:rPr>
        <w:t xml:space="preserve">Result verification: </w:t>
      </w:r>
      <w:r>
        <w:rPr>
          <w:color w:val="000000"/>
          <w:sz w:val="22"/>
          <w:szCs w:val="22"/>
        </w:rPr>
        <w:t>Cross-checking GMAT output against the analytical prediction at each milestone, and interpreting physical deviations (J2 effects) correctly vs. scripting errors.</w:t>
      </w:r>
    </w:p>
    <w:p w14:paraId="54517EB3">
      <w:pPr>
        <w:spacing w:before="60" w:after="100"/>
        <w:ind w:left="400"/>
        <w:jc w:val="both"/>
      </w:pPr>
      <w:r>
        <w:rPr>
          <w:b/>
          <w:bCs/>
          <w:color w:val="000000"/>
          <w:sz w:val="22"/>
          <w:szCs w:val="22"/>
        </w:rPr>
        <w:t xml:space="preserve">Error diagnosis: </w:t>
      </w:r>
      <w:r>
        <w:rPr>
          <w:color w:val="000000"/>
          <w:sz w:val="22"/>
          <w:szCs w:val="22"/>
        </w:rPr>
        <w:t>Identifying and correcting GMAT interpreter errors systematically, distinguishing warnings from fatal errors.</w:t>
      </w:r>
    </w:p>
    <w:p w14:paraId="4EE12FF4">
      <w:pPr>
        <w:pStyle w:val="3"/>
        <w:spacing w:before="280" w:after="80"/>
        <w:rPr>
          <w:b/>
          <w:bCs/>
          <w:color w:val="2E74B5"/>
          <w:sz w:val="26"/>
          <w:szCs w:val="26"/>
        </w:rPr>
      </w:pPr>
      <w:r>
        <w:t>10.2  Delta-V Budget Context</w:t>
      </w:r>
    </w:p>
    <w:p w14:paraId="62C917E2">
      <w:pPr>
        <w:spacing w:before="60" w:after="100"/>
        <w:jc w:val="both"/>
      </w:pPr>
      <w:r>
        <w:rPr>
          <w:color w:val="000000"/>
          <w:sz w:val="22"/>
          <w:szCs w:val="22"/>
        </w:rPr>
        <w:t>11.338 m/s for a 20 km SMA correction is an extremely fuel-efficient operation. For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84"/>
        <w:gridCol w:w="3276"/>
      </w:tblGrid>
      <w:tr w14:paraId="7DF3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84" w:type="dxa"/>
            <w:shd w:val="clear" w:color="auto" w:fill="1F3864"/>
          </w:tcPr>
          <w:p w14:paraId="40797958">
            <w:pPr>
              <w:spacing w:before="40" w:after="40"/>
              <w:jc w:val="center"/>
            </w:pPr>
            <w:r>
              <w:rPr>
                <w:b/>
                <w:bCs/>
                <w:color w:val="FFFFFF"/>
                <w:sz w:val="20"/>
                <w:szCs w:val="20"/>
              </w:rPr>
              <w:t>Operation</w:t>
            </w:r>
          </w:p>
        </w:tc>
        <w:tc>
          <w:tcPr>
            <w:tcW w:w="3276" w:type="dxa"/>
            <w:shd w:val="clear" w:color="auto" w:fill="1F3864"/>
          </w:tcPr>
          <w:p w14:paraId="7378896C">
            <w:pPr>
              <w:spacing w:before="40" w:after="40"/>
              <w:jc w:val="center"/>
            </w:pPr>
            <w:r>
              <w:rPr>
                <w:b/>
                <w:bCs/>
                <w:color w:val="FFFFFF"/>
                <w:sz w:val="20"/>
                <w:szCs w:val="20"/>
              </w:rPr>
              <w:t>Typical Delta-V</w:t>
            </w:r>
          </w:p>
        </w:tc>
      </w:tr>
      <w:tr w14:paraId="52AA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84" w:type="dxa"/>
            <w:shd w:val="clear" w:color="auto" w:fill="FFFFFF"/>
          </w:tcPr>
          <w:p w14:paraId="76E35231">
            <w:pPr>
              <w:spacing w:before="40" w:after="40"/>
              <w:jc w:val="left"/>
            </w:pPr>
            <w:r>
              <w:rPr>
                <w:b/>
                <w:bCs/>
                <w:color w:val="000000"/>
                <w:sz w:val="20"/>
                <w:szCs w:val="20"/>
              </w:rPr>
              <w:t>Scenario 06: 20 km LEO orbit restoration (Hohmann)</w:t>
            </w:r>
          </w:p>
        </w:tc>
        <w:tc>
          <w:tcPr>
            <w:tcW w:w="3276" w:type="dxa"/>
            <w:shd w:val="clear" w:color="auto" w:fill="FFFFFF"/>
          </w:tcPr>
          <w:p w14:paraId="2DAFED9B">
            <w:pPr>
              <w:spacing w:before="40" w:after="40"/>
              <w:jc w:val="center"/>
            </w:pPr>
            <w:r>
              <w:rPr>
                <w:b w:val="0"/>
                <w:bCs w:val="0"/>
                <w:color w:val="000000"/>
                <w:sz w:val="20"/>
                <w:szCs w:val="20"/>
              </w:rPr>
              <w:t>11.338 m/s</w:t>
            </w:r>
          </w:p>
        </w:tc>
      </w:tr>
      <w:tr w14:paraId="767D4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84" w:type="dxa"/>
            <w:shd w:val="clear" w:color="auto" w:fill="EBF3FB"/>
          </w:tcPr>
          <w:p w14:paraId="174E8737">
            <w:pPr>
              <w:spacing w:before="40" w:after="40"/>
              <w:jc w:val="left"/>
            </w:pPr>
            <w:r>
              <w:rPr>
                <w:b/>
                <w:bCs/>
                <w:color w:val="000000"/>
                <w:sz w:val="20"/>
                <w:szCs w:val="20"/>
              </w:rPr>
              <w:t>Scenario 08: 200 km Hohmann transfer (400-&gt;600 km), finite burn + DC</w:t>
            </w:r>
          </w:p>
        </w:tc>
        <w:tc>
          <w:tcPr>
            <w:tcW w:w="3276" w:type="dxa"/>
            <w:shd w:val="clear" w:color="auto" w:fill="EBF3FB"/>
          </w:tcPr>
          <w:p w14:paraId="095D5C8D">
            <w:pPr>
              <w:spacing w:before="40" w:after="40"/>
              <w:jc w:val="center"/>
            </w:pPr>
            <w:r>
              <w:rPr>
                <w:b w:val="0"/>
                <w:bCs w:val="0"/>
                <w:color w:val="000000"/>
                <w:sz w:val="20"/>
                <w:szCs w:val="20"/>
              </w:rPr>
              <w:t>~108 m/s (10x larger)</w:t>
            </w:r>
          </w:p>
        </w:tc>
      </w:tr>
      <w:tr w14:paraId="1FC8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84" w:type="dxa"/>
            <w:shd w:val="clear" w:color="auto" w:fill="FFFFFF"/>
          </w:tcPr>
          <w:p w14:paraId="1D949658">
            <w:pPr>
              <w:spacing w:before="40" w:after="40"/>
              <w:jc w:val="left"/>
            </w:pPr>
            <w:r>
              <w:rPr>
                <w:b/>
                <w:bCs/>
                <w:color w:val="000000"/>
                <w:sz w:val="20"/>
                <w:szCs w:val="20"/>
              </w:rPr>
              <w:t>GEO EWSK (one cycle, ~15 days)</w:t>
            </w:r>
          </w:p>
        </w:tc>
        <w:tc>
          <w:tcPr>
            <w:tcW w:w="3276" w:type="dxa"/>
            <w:shd w:val="clear" w:color="auto" w:fill="FFFFFF"/>
          </w:tcPr>
          <w:p w14:paraId="585EBD5C">
            <w:pPr>
              <w:spacing w:before="40" w:after="40"/>
              <w:jc w:val="center"/>
            </w:pPr>
            <w:r>
              <w:rPr>
                <w:b w:val="0"/>
                <w:bCs w:val="0"/>
                <w:color w:val="000000"/>
                <w:sz w:val="20"/>
                <w:szCs w:val="20"/>
              </w:rPr>
              <w:t>~0.165 m/s (Scenario 09b: 11s burn)</w:t>
            </w:r>
          </w:p>
        </w:tc>
      </w:tr>
      <w:tr w14:paraId="4287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84" w:type="dxa"/>
            <w:shd w:val="clear" w:color="auto" w:fill="EBF3FB"/>
          </w:tcPr>
          <w:p w14:paraId="1AC54633">
            <w:pPr>
              <w:spacing w:before="40" w:after="40"/>
              <w:jc w:val="left"/>
            </w:pPr>
            <w:r>
              <w:rPr>
                <w:b/>
                <w:bCs/>
                <w:color w:val="000000"/>
                <w:sz w:val="20"/>
                <w:szCs w:val="20"/>
              </w:rPr>
              <w:t>GEO NSSK (one year, lunisolar compensation)</w:t>
            </w:r>
          </w:p>
        </w:tc>
        <w:tc>
          <w:tcPr>
            <w:tcW w:w="3276" w:type="dxa"/>
            <w:shd w:val="clear" w:color="auto" w:fill="EBF3FB"/>
          </w:tcPr>
          <w:p w14:paraId="4FD649D1">
            <w:pPr>
              <w:spacing w:before="40" w:after="40"/>
              <w:jc w:val="center"/>
            </w:pPr>
            <w:r>
              <w:rPr>
                <w:b w:val="0"/>
                <w:bCs w:val="0"/>
                <w:color w:val="000000"/>
                <w:sz w:val="20"/>
                <w:szCs w:val="20"/>
              </w:rPr>
              <w:t>~50 m/s/year (Scenario 10, planned)</w:t>
            </w:r>
          </w:p>
        </w:tc>
      </w:tr>
      <w:tr w14:paraId="651D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84" w:type="dxa"/>
            <w:shd w:val="clear" w:color="auto" w:fill="FFFFFF"/>
          </w:tcPr>
          <w:p w14:paraId="61410202">
            <w:pPr>
              <w:spacing w:before="40" w:after="40"/>
              <w:jc w:val="left"/>
            </w:pPr>
            <w:r>
              <w:rPr>
                <w:b/>
                <w:bCs/>
                <w:color w:val="000000"/>
                <w:sz w:val="20"/>
                <w:szCs w:val="20"/>
              </w:rPr>
              <w:t>LEO-&gt;GEO transfer (Hohmann)</w:t>
            </w:r>
          </w:p>
        </w:tc>
        <w:tc>
          <w:tcPr>
            <w:tcW w:w="3276" w:type="dxa"/>
            <w:shd w:val="clear" w:color="auto" w:fill="FFFFFF"/>
          </w:tcPr>
          <w:p w14:paraId="69FB14E6">
            <w:pPr>
              <w:spacing w:before="40" w:after="40"/>
              <w:jc w:val="center"/>
            </w:pPr>
            <w:r>
              <w:rPr>
                <w:b w:val="0"/>
                <w:bCs w:val="0"/>
                <w:color w:val="000000"/>
                <w:sz w:val="20"/>
                <w:szCs w:val="20"/>
              </w:rPr>
              <w:t>~3900 m/s (for reference)</w:t>
            </w:r>
          </w:p>
        </w:tc>
      </w:tr>
    </w:tbl>
    <w:p w14:paraId="6AE59667">
      <w:pPr>
        <w:spacing w:before="0" w:after="120"/>
      </w:pPr>
    </w:p>
    <w:p w14:paraId="409916B9">
      <w:pPr>
        <w:spacing w:before="60" w:after="100"/>
        <w:jc w:val="both"/>
      </w:pPr>
      <w:r>
        <w:rPr>
          <w:color w:val="000000"/>
          <w:sz w:val="22"/>
          <w:szCs w:val="22"/>
        </w:rPr>
        <w:t>The low Delta-V cost of LEO altitude restoration underscores the efficiency of the Hohmann transfer for small corrections. In an LEO constellation, regular 10-20 km SMA corrections can be performed with a tiny fraction of the propellant budget, making them feasible on a monthly or even weekly basis if drag decay warrants it.</w:t>
      </w:r>
    </w:p>
    <w:p w14:paraId="295B70D0">
      <w:pPr>
        <w:pStyle w:val="3"/>
        <w:spacing w:before="280" w:after="80"/>
        <w:rPr>
          <w:b/>
          <w:bCs/>
          <w:color w:val="2E74B5"/>
          <w:sz w:val="26"/>
          <w:szCs w:val="26"/>
        </w:rPr>
      </w:pPr>
      <w:r>
        <w:t>10.3  NigComSat-1R Parallel</w:t>
      </w:r>
    </w:p>
    <w:p w14:paraId="3EFC068D">
      <w:pPr>
        <w:spacing w:before="60" w:after="100"/>
        <w:jc w:val="both"/>
      </w:pPr>
      <w:r>
        <w:rPr>
          <w:color w:val="000000"/>
          <w:sz w:val="22"/>
          <w:szCs w:val="22"/>
        </w:rPr>
        <w:t>At GEO, the same two-burn Hohmann principle is used for East-West station-keeping: a prograde burn at perigee raises the apogee (increasing SMA above synchronous, making the period longer than one sidereal day), producing a westward drift arc. A second burn circularises at the new SMA. Scenario 06 (LEO Hohmann restoration) and Scenario 09b (GEO EWSK two-burn cycle) are different operational contexts of the same underlying orbital mechanics — the physics-first methodology applies identically to both.</w:t>
      </w:r>
    </w:p>
    <w:p w14:paraId="75410BE1">
      <w:r>
        <w:br w:type="page"/>
      </w:r>
    </w:p>
    <w:p w14:paraId="744CECA8">
      <w:pPr>
        <w:pStyle w:val="2"/>
        <w:spacing w:before="360" w:after="120"/>
        <w:rPr>
          <w:b/>
          <w:bCs/>
          <w:color w:val="1F3864"/>
          <w:sz w:val="32"/>
          <w:szCs w:val="32"/>
        </w:rPr>
      </w:pPr>
      <w:r>
        <w:t>11. Portfolio Scenario Summary</w:t>
      </w:r>
    </w:p>
    <w:p w14:paraId="6C1661D8">
      <w:pPr>
        <w:spacing w:before="60" w:after="100"/>
        <w:jc w:val="both"/>
      </w:pPr>
      <w:r>
        <w:rPr>
          <w:color w:val="000000"/>
          <w:sz w:val="22"/>
          <w:szCs w:val="22"/>
        </w:rPr>
        <w:t>Scenario 06 forms part of a systematic progression from fundamental LEO propagation through increasingly complex mission operations:</w:t>
      </w:r>
    </w:p>
    <w:p w14:paraId="68C01427">
      <w:pPr>
        <w:spacing w:before="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9"/>
        <w:gridCol w:w="2808"/>
        <w:gridCol w:w="3931"/>
        <w:gridCol w:w="1872"/>
      </w:tblGrid>
      <w:tr w14:paraId="14B4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49" w:type="dxa"/>
            <w:shd w:val="clear" w:color="auto" w:fill="1F3864"/>
          </w:tcPr>
          <w:p w14:paraId="68000425">
            <w:pPr>
              <w:spacing w:before="40" w:after="40"/>
              <w:jc w:val="center"/>
            </w:pPr>
            <w:r>
              <w:rPr>
                <w:b/>
                <w:bCs/>
                <w:color w:val="FFFFFF"/>
                <w:sz w:val="20"/>
                <w:szCs w:val="20"/>
              </w:rPr>
              <w:t>Scenario</w:t>
            </w:r>
          </w:p>
        </w:tc>
        <w:tc>
          <w:tcPr>
            <w:tcW w:w="2808" w:type="dxa"/>
            <w:shd w:val="clear" w:color="auto" w:fill="1F3864"/>
          </w:tcPr>
          <w:p w14:paraId="6C84D3C0">
            <w:pPr>
              <w:spacing w:before="40" w:after="40"/>
              <w:jc w:val="center"/>
            </w:pPr>
            <w:r>
              <w:rPr>
                <w:b/>
                <w:bCs/>
                <w:color w:val="FFFFFF"/>
                <w:sz w:val="20"/>
                <w:szCs w:val="20"/>
              </w:rPr>
              <w:t>Title</w:t>
            </w:r>
          </w:p>
        </w:tc>
        <w:tc>
          <w:tcPr>
            <w:tcW w:w="3931" w:type="dxa"/>
            <w:shd w:val="clear" w:color="auto" w:fill="1F3864"/>
          </w:tcPr>
          <w:p w14:paraId="68C0D093">
            <w:pPr>
              <w:spacing w:before="40" w:after="40"/>
              <w:jc w:val="center"/>
            </w:pPr>
            <w:r>
              <w:rPr>
                <w:b/>
                <w:bCs/>
                <w:color w:val="FFFFFF"/>
                <w:sz w:val="20"/>
                <w:szCs w:val="20"/>
              </w:rPr>
              <w:t>Key Concept</w:t>
            </w:r>
          </w:p>
        </w:tc>
        <w:tc>
          <w:tcPr>
            <w:tcW w:w="1872" w:type="dxa"/>
            <w:shd w:val="clear" w:color="auto" w:fill="1F3864"/>
          </w:tcPr>
          <w:p w14:paraId="193A9CED">
            <w:pPr>
              <w:spacing w:before="40" w:after="40"/>
              <w:jc w:val="center"/>
            </w:pPr>
            <w:r>
              <w:rPr>
                <w:b/>
                <w:bCs/>
                <w:color w:val="FFFFFF"/>
                <w:sz w:val="20"/>
                <w:szCs w:val="20"/>
              </w:rPr>
              <w:t>Status</w:t>
            </w:r>
          </w:p>
        </w:tc>
      </w:tr>
      <w:tr w14:paraId="6658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FFFFFF"/>
          </w:tcPr>
          <w:p w14:paraId="12D53716">
            <w:pPr>
              <w:spacing w:before="40" w:after="40"/>
              <w:jc w:val="left"/>
            </w:pPr>
            <w:r>
              <w:rPr>
                <w:b/>
                <w:bCs/>
                <w:color w:val="000000"/>
                <w:sz w:val="20"/>
                <w:szCs w:val="20"/>
              </w:rPr>
              <w:t>01</w:t>
            </w:r>
          </w:p>
        </w:tc>
        <w:tc>
          <w:tcPr>
            <w:tcW w:w="2808" w:type="dxa"/>
            <w:shd w:val="clear" w:color="auto" w:fill="FFFFFF"/>
          </w:tcPr>
          <w:p w14:paraId="5412E5E3">
            <w:pPr>
              <w:spacing w:before="40" w:after="40"/>
              <w:jc w:val="center"/>
            </w:pPr>
            <w:r>
              <w:rPr>
                <w:b w:val="0"/>
                <w:bCs w:val="0"/>
                <w:color w:val="000000"/>
                <w:sz w:val="20"/>
                <w:szCs w:val="20"/>
              </w:rPr>
              <w:t>LEO Orbit Propagation</w:t>
            </w:r>
          </w:p>
        </w:tc>
        <w:tc>
          <w:tcPr>
            <w:tcW w:w="3931" w:type="dxa"/>
            <w:shd w:val="clear" w:color="auto" w:fill="FFFFFF"/>
          </w:tcPr>
          <w:p w14:paraId="41159384">
            <w:pPr>
              <w:spacing w:before="40" w:after="40"/>
              <w:jc w:val="center"/>
            </w:pPr>
            <w:r>
              <w:rPr>
                <w:b w:val="0"/>
                <w:bCs w:val="0"/>
                <w:color w:val="000000"/>
                <w:sz w:val="20"/>
                <w:szCs w:val="20"/>
              </w:rPr>
              <w:t>Ground track, period, J2 drift</w:t>
            </w:r>
          </w:p>
        </w:tc>
        <w:tc>
          <w:tcPr>
            <w:tcW w:w="1872" w:type="dxa"/>
            <w:shd w:val="clear" w:color="auto" w:fill="FFFFFF"/>
          </w:tcPr>
          <w:p w14:paraId="5E4DCC62">
            <w:pPr>
              <w:spacing w:before="40" w:after="40"/>
              <w:jc w:val="center"/>
            </w:pPr>
            <w:r>
              <w:rPr>
                <w:b w:val="0"/>
                <w:bCs w:val="0"/>
                <w:color w:val="000000"/>
                <w:sz w:val="20"/>
                <w:szCs w:val="20"/>
              </w:rPr>
              <w:t>Complete</w:t>
            </w:r>
          </w:p>
        </w:tc>
      </w:tr>
      <w:tr w14:paraId="724D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EBF3FB"/>
          </w:tcPr>
          <w:p w14:paraId="0DCF2E9F">
            <w:pPr>
              <w:spacing w:before="40" w:after="40"/>
              <w:jc w:val="left"/>
            </w:pPr>
            <w:r>
              <w:rPr>
                <w:b/>
                <w:bCs/>
                <w:color w:val="000000"/>
                <w:sz w:val="20"/>
                <w:szCs w:val="20"/>
              </w:rPr>
              <w:t>02</w:t>
            </w:r>
          </w:p>
        </w:tc>
        <w:tc>
          <w:tcPr>
            <w:tcW w:w="2808" w:type="dxa"/>
            <w:shd w:val="clear" w:color="auto" w:fill="EBF3FB"/>
          </w:tcPr>
          <w:p w14:paraId="23E40012">
            <w:pPr>
              <w:spacing w:before="40" w:after="40"/>
              <w:jc w:val="center"/>
            </w:pPr>
            <w:r>
              <w:rPr>
                <w:b w:val="0"/>
                <w:bCs w:val="0"/>
                <w:color w:val="000000"/>
                <w:sz w:val="20"/>
                <w:szCs w:val="20"/>
              </w:rPr>
              <w:t>Multi-Satellite ISL Geometry</w:t>
            </w:r>
          </w:p>
        </w:tc>
        <w:tc>
          <w:tcPr>
            <w:tcW w:w="3931" w:type="dxa"/>
            <w:shd w:val="clear" w:color="auto" w:fill="EBF3FB"/>
          </w:tcPr>
          <w:p w14:paraId="01D8E170">
            <w:pPr>
              <w:spacing w:before="40" w:after="40"/>
              <w:jc w:val="center"/>
            </w:pPr>
            <w:r>
              <w:rPr>
                <w:b w:val="0"/>
                <w:bCs w:val="0"/>
                <w:color w:val="000000"/>
                <w:sz w:val="20"/>
                <w:szCs w:val="20"/>
              </w:rPr>
              <w:t>3D constellation setup</w:t>
            </w:r>
          </w:p>
        </w:tc>
        <w:tc>
          <w:tcPr>
            <w:tcW w:w="1872" w:type="dxa"/>
            <w:shd w:val="clear" w:color="auto" w:fill="EBF3FB"/>
          </w:tcPr>
          <w:p w14:paraId="12EB95D1">
            <w:pPr>
              <w:spacing w:before="40" w:after="40"/>
              <w:jc w:val="center"/>
            </w:pPr>
            <w:r>
              <w:rPr>
                <w:b w:val="0"/>
                <w:bCs w:val="0"/>
                <w:color w:val="000000"/>
                <w:sz w:val="20"/>
                <w:szCs w:val="20"/>
              </w:rPr>
              <w:t>Complete</w:t>
            </w:r>
          </w:p>
        </w:tc>
      </w:tr>
      <w:tr w14:paraId="0832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FFFFFF"/>
          </w:tcPr>
          <w:p w14:paraId="4B09140F">
            <w:pPr>
              <w:spacing w:before="40" w:after="40"/>
              <w:jc w:val="left"/>
            </w:pPr>
            <w:r>
              <w:rPr>
                <w:b/>
                <w:bCs/>
                <w:color w:val="000000"/>
                <w:sz w:val="20"/>
                <w:szCs w:val="20"/>
              </w:rPr>
              <w:t>03</w:t>
            </w:r>
          </w:p>
        </w:tc>
        <w:tc>
          <w:tcPr>
            <w:tcW w:w="2808" w:type="dxa"/>
            <w:shd w:val="clear" w:color="auto" w:fill="FFFFFF"/>
          </w:tcPr>
          <w:p w14:paraId="15B89A70">
            <w:pPr>
              <w:spacing w:before="40" w:after="40"/>
              <w:jc w:val="center"/>
            </w:pPr>
            <w:r>
              <w:rPr>
                <w:b w:val="0"/>
                <w:bCs w:val="0"/>
                <w:color w:val="000000"/>
                <w:sz w:val="20"/>
                <w:szCs w:val="20"/>
              </w:rPr>
              <w:t>Ground Station Access Windows</w:t>
            </w:r>
          </w:p>
        </w:tc>
        <w:tc>
          <w:tcPr>
            <w:tcW w:w="3931" w:type="dxa"/>
            <w:shd w:val="clear" w:color="auto" w:fill="FFFFFF"/>
          </w:tcPr>
          <w:p w14:paraId="0042BDDB">
            <w:pPr>
              <w:spacing w:before="40" w:after="40"/>
              <w:jc w:val="center"/>
            </w:pPr>
            <w:r>
              <w:rPr>
                <w:b w:val="0"/>
                <w:bCs w:val="0"/>
                <w:color w:val="000000"/>
                <w:sz w:val="20"/>
                <w:szCs w:val="20"/>
              </w:rPr>
              <w:t>ContactLocator, pass prediction</w:t>
            </w:r>
          </w:p>
        </w:tc>
        <w:tc>
          <w:tcPr>
            <w:tcW w:w="1872" w:type="dxa"/>
            <w:shd w:val="clear" w:color="auto" w:fill="FFFFFF"/>
          </w:tcPr>
          <w:p w14:paraId="4A0BB8F5">
            <w:pPr>
              <w:spacing w:before="40" w:after="40"/>
              <w:jc w:val="center"/>
            </w:pPr>
            <w:r>
              <w:rPr>
                <w:b w:val="0"/>
                <w:bCs w:val="0"/>
                <w:color w:val="000000"/>
                <w:sz w:val="20"/>
                <w:szCs w:val="20"/>
              </w:rPr>
              <w:t>Complete</w:t>
            </w:r>
          </w:p>
        </w:tc>
      </w:tr>
      <w:tr w14:paraId="0238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EBF3FB"/>
          </w:tcPr>
          <w:p w14:paraId="270D714B">
            <w:pPr>
              <w:spacing w:before="40" w:after="40"/>
              <w:jc w:val="left"/>
            </w:pPr>
            <w:r>
              <w:rPr>
                <w:b/>
                <w:bCs/>
                <w:color w:val="000000"/>
                <w:sz w:val="20"/>
                <w:szCs w:val="20"/>
              </w:rPr>
              <w:t>04a</w:t>
            </w:r>
          </w:p>
        </w:tc>
        <w:tc>
          <w:tcPr>
            <w:tcW w:w="2808" w:type="dxa"/>
            <w:shd w:val="clear" w:color="auto" w:fill="EBF3FB"/>
          </w:tcPr>
          <w:p w14:paraId="0B08C3F9">
            <w:pPr>
              <w:spacing w:before="40" w:after="40"/>
              <w:jc w:val="center"/>
            </w:pPr>
            <w:r>
              <w:rPr>
                <w:b w:val="0"/>
                <w:bCs w:val="0"/>
                <w:color w:val="000000"/>
                <w:sz w:val="20"/>
                <w:szCs w:val="20"/>
              </w:rPr>
              <w:t>Two Co-Planar ISL Monitoring</w:t>
            </w:r>
          </w:p>
        </w:tc>
        <w:tc>
          <w:tcPr>
            <w:tcW w:w="3931" w:type="dxa"/>
            <w:shd w:val="clear" w:color="auto" w:fill="EBF3FB"/>
          </w:tcPr>
          <w:p w14:paraId="155A279A">
            <w:pPr>
              <w:spacing w:before="40" w:after="40"/>
              <w:jc w:val="center"/>
            </w:pPr>
            <w:r>
              <w:rPr>
                <w:b w:val="0"/>
                <w:bCs w:val="0"/>
                <w:color w:val="000000"/>
                <w:sz w:val="20"/>
                <w:szCs w:val="20"/>
              </w:rPr>
              <w:t>J2 differential TA drift (2 sats)</w:t>
            </w:r>
          </w:p>
        </w:tc>
        <w:tc>
          <w:tcPr>
            <w:tcW w:w="1872" w:type="dxa"/>
            <w:shd w:val="clear" w:color="auto" w:fill="EBF3FB"/>
          </w:tcPr>
          <w:p w14:paraId="1A0F5BBB">
            <w:pPr>
              <w:spacing w:before="40" w:after="40"/>
              <w:jc w:val="center"/>
            </w:pPr>
            <w:r>
              <w:rPr>
                <w:b w:val="0"/>
                <w:bCs w:val="0"/>
                <w:color w:val="000000"/>
                <w:sz w:val="20"/>
                <w:szCs w:val="20"/>
              </w:rPr>
              <w:t>Complete</w:t>
            </w:r>
          </w:p>
        </w:tc>
      </w:tr>
      <w:tr w14:paraId="57BB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FFFFFF"/>
          </w:tcPr>
          <w:p w14:paraId="6904FF71">
            <w:pPr>
              <w:spacing w:before="40" w:after="40"/>
              <w:jc w:val="left"/>
            </w:pPr>
            <w:r>
              <w:rPr>
                <w:b/>
                <w:bCs/>
                <w:color w:val="000000"/>
                <w:sz w:val="20"/>
                <w:szCs w:val="20"/>
              </w:rPr>
              <w:t>04b</w:t>
            </w:r>
          </w:p>
        </w:tc>
        <w:tc>
          <w:tcPr>
            <w:tcW w:w="2808" w:type="dxa"/>
            <w:shd w:val="clear" w:color="auto" w:fill="FFFFFF"/>
          </w:tcPr>
          <w:p w14:paraId="455BC202">
            <w:pPr>
              <w:spacing w:before="40" w:after="40"/>
              <w:jc w:val="center"/>
            </w:pPr>
            <w:r>
              <w:rPr>
                <w:b w:val="0"/>
                <w:bCs w:val="0"/>
                <w:color w:val="000000"/>
                <w:sz w:val="20"/>
                <w:szCs w:val="20"/>
              </w:rPr>
              <w:t>Six Co-Planar ISL Analysis</w:t>
            </w:r>
          </w:p>
        </w:tc>
        <w:tc>
          <w:tcPr>
            <w:tcW w:w="3931" w:type="dxa"/>
            <w:shd w:val="clear" w:color="auto" w:fill="FFFFFF"/>
          </w:tcPr>
          <w:p w14:paraId="6BC45386">
            <w:pPr>
              <w:spacing w:before="40" w:after="40"/>
              <w:jc w:val="center"/>
            </w:pPr>
            <w:r>
              <w:rPr>
                <w:b w:val="0"/>
                <w:bCs w:val="0"/>
                <w:color w:val="000000"/>
                <w:sz w:val="20"/>
                <w:szCs w:val="20"/>
              </w:rPr>
              <w:t>ISL threshold violation, 3 pair classes</w:t>
            </w:r>
          </w:p>
        </w:tc>
        <w:tc>
          <w:tcPr>
            <w:tcW w:w="1872" w:type="dxa"/>
            <w:shd w:val="clear" w:color="auto" w:fill="FFFFFF"/>
          </w:tcPr>
          <w:p w14:paraId="28FF08C9">
            <w:pPr>
              <w:spacing w:before="40" w:after="40"/>
              <w:jc w:val="center"/>
            </w:pPr>
            <w:r>
              <w:rPr>
                <w:b w:val="0"/>
                <w:bCs w:val="0"/>
                <w:color w:val="000000"/>
                <w:sz w:val="20"/>
                <w:szCs w:val="20"/>
              </w:rPr>
              <w:t>Complete</w:t>
            </w:r>
          </w:p>
        </w:tc>
      </w:tr>
      <w:tr w14:paraId="302D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EBF3FB"/>
          </w:tcPr>
          <w:p w14:paraId="00EC8592">
            <w:pPr>
              <w:spacing w:before="40" w:after="40"/>
              <w:jc w:val="left"/>
            </w:pPr>
            <w:r>
              <w:rPr>
                <w:b/>
                <w:bCs/>
                <w:color w:val="000000"/>
                <w:sz w:val="20"/>
                <w:szCs w:val="20"/>
              </w:rPr>
              <w:t>05</w:t>
            </w:r>
          </w:p>
        </w:tc>
        <w:tc>
          <w:tcPr>
            <w:tcW w:w="2808" w:type="dxa"/>
            <w:shd w:val="clear" w:color="auto" w:fill="EBF3FB"/>
          </w:tcPr>
          <w:p w14:paraId="146C7175">
            <w:pPr>
              <w:spacing w:before="40" w:after="40"/>
              <w:jc w:val="center"/>
            </w:pPr>
            <w:r>
              <w:rPr>
                <w:b w:val="0"/>
                <w:bCs w:val="0"/>
                <w:color w:val="000000"/>
                <w:sz w:val="20"/>
                <w:szCs w:val="20"/>
              </w:rPr>
              <w:t>Interplanar ISL Geometry</w:t>
            </w:r>
          </w:p>
        </w:tc>
        <w:tc>
          <w:tcPr>
            <w:tcW w:w="3931" w:type="dxa"/>
            <w:shd w:val="clear" w:color="auto" w:fill="EBF3FB"/>
          </w:tcPr>
          <w:p w14:paraId="506E0DE7">
            <w:pPr>
              <w:spacing w:before="40" w:after="40"/>
              <w:jc w:val="center"/>
            </w:pPr>
            <w:r>
              <w:rPr>
                <w:b w:val="0"/>
                <w:bCs w:val="0"/>
                <w:color w:val="000000"/>
                <w:sz w:val="20"/>
                <w:szCs w:val="20"/>
              </w:rPr>
              <w:t>Cross-plane ISL, 46.5-min TCA period</w:t>
            </w:r>
          </w:p>
        </w:tc>
        <w:tc>
          <w:tcPr>
            <w:tcW w:w="1872" w:type="dxa"/>
            <w:shd w:val="clear" w:color="auto" w:fill="EBF3FB"/>
          </w:tcPr>
          <w:p w14:paraId="7DB5E607">
            <w:pPr>
              <w:spacing w:before="40" w:after="40"/>
              <w:jc w:val="center"/>
            </w:pPr>
            <w:r>
              <w:rPr>
                <w:b w:val="0"/>
                <w:bCs w:val="0"/>
                <w:color w:val="000000"/>
                <w:sz w:val="20"/>
                <w:szCs w:val="20"/>
              </w:rPr>
              <w:t>Complete</w:t>
            </w:r>
          </w:p>
        </w:tc>
      </w:tr>
      <w:tr w14:paraId="2F87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FFFFFF"/>
          </w:tcPr>
          <w:p w14:paraId="76EF20F8">
            <w:pPr>
              <w:spacing w:before="40" w:after="40"/>
              <w:jc w:val="left"/>
            </w:pPr>
            <w:r>
              <w:rPr>
                <w:b/>
                <w:bCs/>
                <w:color w:val="000000"/>
                <w:sz w:val="20"/>
                <w:szCs w:val="20"/>
              </w:rPr>
              <w:t>06</w:t>
            </w:r>
          </w:p>
        </w:tc>
        <w:tc>
          <w:tcPr>
            <w:tcW w:w="2808" w:type="dxa"/>
            <w:shd w:val="clear" w:color="auto" w:fill="FFFFFF"/>
          </w:tcPr>
          <w:p w14:paraId="79C01B9E">
            <w:pPr>
              <w:spacing w:before="40" w:after="40"/>
              <w:jc w:val="center"/>
            </w:pPr>
            <w:r>
              <w:rPr>
                <w:b w:val="0"/>
                <w:bCs w:val="0"/>
                <w:color w:val="000000"/>
                <w:sz w:val="20"/>
                <w:szCs w:val="20"/>
              </w:rPr>
              <w:t>Hohmann Orbit Restoration</w:t>
            </w:r>
          </w:p>
        </w:tc>
        <w:tc>
          <w:tcPr>
            <w:tcW w:w="3931" w:type="dxa"/>
            <w:shd w:val="clear" w:color="auto" w:fill="FFFFFF"/>
          </w:tcPr>
          <w:p w14:paraId="37922EE1">
            <w:pPr>
              <w:spacing w:before="40" w:after="40"/>
              <w:jc w:val="center"/>
            </w:pPr>
            <w:r>
              <w:rPr>
                <w:b w:val="0"/>
                <w:bCs w:val="0"/>
                <w:color w:val="000000"/>
                <w:sz w:val="20"/>
                <w:szCs w:val="20"/>
              </w:rPr>
              <w:t>Two-impulse manoeuvre, vis-viva DV derivation</w:t>
            </w:r>
          </w:p>
        </w:tc>
        <w:tc>
          <w:tcPr>
            <w:tcW w:w="1872" w:type="dxa"/>
            <w:shd w:val="clear" w:color="auto" w:fill="FFFFFF"/>
          </w:tcPr>
          <w:p w14:paraId="20ADB8D0">
            <w:pPr>
              <w:spacing w:before="40" w:after="40"/>
              <w:jc w:val="center"/>
            </w:pPr>
            <w:r>
              <w:rPr>
                <w:b w:val="0"/>
                <w:bCs w:val="0"/>
                <w:color w:val="000000"/>
                <w:sz w:val="20"/>
                <w:szCs w:val="20"/>
              </w:rPr>
              <w:t>Complete (this scenario)</w:t>
            </w:r>
          </w:p>
        </w:tc>
      </w:tr>
      <w:tr w14:paraId="1B737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EBF3FB"/>
          </w:tcPr>
          <w:p w14:paraId="5FB7F6B9">
            <w:pPr>
              <w:spacing w:before="40" w:after="40"/>
              <w:jc w:val="left"/>
            </w:pPr>
            <w:r>
              <w:rPr>
                <w:b/>
                <w:bCs/>
                <w:color w:val="000000"/>
                <w:sz w:val="20"/>
                <w:szCs w:val="20"/>
              </w:rPr>
              <w:t>07</w:t>
            </w:r>
          </w:p>
        </w:tc>
        <w:tc>
          <w:tcPr>
            <w:tcW w:w="2808" w:type="dxa"/>
            <w:shd w:val="clear" w:color="auto" w:fill="EBF3FB"/>
          </w:tcPr>
          <w:p w14:paraId="58144B16">
            <w:pPr>
              <w:spacing w:before="40" w:after="40"/>
              <w:jc w:val="center"/>
            </w:pPr>
            <w:r>
              <w:rPr>
                <w:b w:val="0"/>
                <w:bCs w:val="0"/>
                <w:color w:val="000000"/>
                <w:sz w:val="20"/>
                <w:szCs w:val="20"/>
              </w:rPr>
              <w:t>Walker 24/3/1 Constellation</w:t>
            </w:r>
          </w:p>
        </w:tc>
        <w:tc>
          <w:tcPr>
            <w:tcW w:w="3931" w:type="dxa"/>
            <w:shd w:val="clear" w:color="auto" w:fill="EBF3FB"/>
          </w:tcPr>
          <w:p w14:paraId="3AC7ED85">
            <w:pPr>
              <w:spacing w:before="40" w:after="40"/>
              <w:jc w:val="center"/>
            </w:pPr>
            <w:r>
              <w:rPr>
                <w:b w:val="0"/>
                <w:bCs w:val="0"/>
                <w:color w:val="000000"/>
                <w:sz w:val="20"/>
                <w:szCs w:val="20"/>
              </w:rPr>
              <w:t>24-sat fleet, ContactLocator at 4 stations</w:t>
            </w:r>
          </w:p>
        </w:tc>
        <w:tc>
          <w:tcPr>
            <w:tcW w:w="1872" w:type="dxa"/>
            <w:shd w:val="clear" w:color="auto" w:fill="EBF3FB"/>
          </w:tcPr>
          <w:p w14:paraId="1C2E2C75">
            <w:pPr>
              <w:spacing w:before="40" w:after="40"/>
              <w:jc w:val="center"/>
            </w:pPr>
            <w:r>
              <w:rPr>
                <w:b w:val="0"/>
                <w:bCs w:val="0"/>
                <w:color w:val="000000"/>
                <w:sz w:val="20"/>
                <w:szCs w:val="20"/>
              </w:rPr>
              <w:t>Complete</w:t>
            </w:r>
          </w:p>
        </w:tc>
      </w:tr>
      <w:tr w14:paraId="2C9B4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FFFFFF"/>
          </w:tcPr>
          <w:p w14:paraId="39ACFB3B">
            <w:pPr>
              <w:spacing w:before="40" w:after="40"/>
              <w:jc w:val="left"/>
            </w:pPr>
            <w:r>
              <w:rPr>
                <w:b/>
                <w:bCs/>
                <w:color w:val="000000"/>
                <w:sz w:val="20"/>
                <w:szCs w:val="20"/>
              </w:rPr>
              <w:t>08</w:t>
            </w:r>
          </w:p>
        </w:tc>
        <w:tc>
          <w:tcPr>
            <w:tcW w:w="2808" w:type="dxa"/>
            <w:shd w:val="clear" w:color="auto" w:fill="FFFFFF"/>
          </w:tcPr>
          <w:p w14:paraId="60769854">
            <w:pPr>
              <w:spacing w:before="40" w:after="40"/>
              <w:jc w:val="center"/>
            </w:pPr>
            <w:r>
              <w:rPr>
                <w:b w:val="0"/>
                <w:bCs w:val="0"/>
                <w:color w:val="000000"/>
                <w:sz w:val="20"/>
                <w:szCs w:val="20"/>
              </w:rPr>
              <w:t>Finite Burn + Fuel Budget</w:t>
            </w:r>
          </w:p>
        </w:tc>
        <w:tc>
          <w:tcPr>
            <w:tcW w:w="3931" w:type="dxa"/>
            <w:shd w:val="clear" w:color="auto" w:fill="FFFFFF"/>
          </w:tcPr>
          <w:p w14:paraId="51B2FBFF">
            <w:pPr>
              <w:spacing w:before="40" w:after="40"/>
              <w:jc w:val="center"/>
            </w:pPr>
            <w:r>
              <w:rPr>
                <w:b w:val="0"/>
                <w:bCs w:val="0"/>
                <w:color w:val="000000"/>
                <w:sz w:val="20"/>
                <w:szCs w:val="20"/>
              </w:rPr>
              <w:t>400-&gt;600 km Hohmann, DC, fuel depletion</w:t>
            </w:r>
          </w:p>
        </w:tc>
        <w:tc>
          <w:tcPr>
            <w:tcW w:w="1872" w:type="dxa"/>
            <w:shd w:val="clear" w:color="auto" w:fill="FFFFFF"/>
          </w:tcPr>
          <w:p w14:paraId="4201A04D">
            <w:pPr>
              <w:spacing w:before="40" w:after="40"/>
              <w:jc w:val="center"/>
            </w:pPr>
            <w:r>
              <w:rPr>
                <w:b w:val="0"/>
                <w:bCs w:val="0"/>
                <w:color w:val="000000"/>
                <w:sz w:val="20"/>
                <w:szCs w:val="20"/>
              </w:rPr>
              <w:t>Complete</w:t>
            </w:r>
          </w:p>
        </w:tc>
      </w:tr>
      <w:tr w14:paraId="7D01C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EBF3FB"/>
          </w:tcPr>
          <w:p w14:paraId="545F716F">
            <w:pPr>
              <w:spacing w:before="40" w:after="40"/>
              <w:jc w:val="left"/>
            </w:pPr>
            <w:r>
              <w:rPr>
                <w:b/>
                <w:bCs/>
                <w:color w:val="000000"/>
                <w:sz w:val="20"/>
                <w:szCs w:val="20"/>
              </w:rPr>
              <w:t>09</w:t>
            </w:r>
          </w:p>
        </w:tc>
        <w:tc>
          <w:tcPr>
            <w:tcW w:w="2808" w:type="dxa"/>
            <w:shd w:val="clear" w:color="auto" w:fill="EBF3FB"/>
          </w:tcPr>
          <w:p w14:paraId="4F2149DC">
            <w:pPr>
              <w:spacing w:before="40" w:after="40"/>
              <w:jc w:val="center"/>
            </w:pPr>
            <w:r>
              <w:rPr>
                <w:b w:val="0"/>
                <w:bCs w:val="0"/>
                <w:color w:val="000000"/>
                <w:sz w:val="20"/>
                <w:szCs w:val="20"/>
              </w:rPr>
              <w:t>GEO EWSK (Single Burn)</w:t>
            </w:r>
          </w:p>
        </w:tc>
        <w:tc>
          <w:tcPr>
            <w:tcW w:w="3931" w:type="dxa"/>
            <w:shd w:val="clear" w:color="auto" w:fill="EBF3FB"/>
          </w:tcPr>
          <w:p w14:paraId="1E2A22AD">
            <w:pPr>
              <w:spacing w:before="40" w:after="40"/>
              <w:jc w:val="center"/>
            </w:pPr>
            <w:r>
              <w:rPr>
                <w:b w:val="0"/>
                <w:bCs w:val="0"/>
                <w:color w:val="000000"/>
                <w:sz w:val="20"/>
                <w:szCs w:val="20"/>
              </w:rPr>
              <w:t>Tesseral harmonics, 42.5 deg E slot</w:t>
            </w:r>
          </w:p>
        </w:tc>
        <w:tc>
          <w:tcPr>
            <w:tcW w:w="1872" w:type="dxa"/>
            <w:shd w:val="clear" w:color="auto" w:fill="EBF3FB"/>
          </w:tcPr>
          <w:p w14:paraId="45BF56D0">
            <w:pPr>
              <w:spacing w:before="40" w:after="40"/>
              <w:jc w:val="center"/>
            </w:pPr>
            <w:r>
              <w:rPr>
                <w:b w:val="0"/>
                <w:bCs w:val="0"/>
                <w:color w:val="000000"/>
                <w:sz w:val="20"/>
                <w:szCs w:val="20"/>
              </w:rPr>
              <w:t>Complete</w:t>
            </w:r>
          </w:p>
        </w:tc>
      </w:tr>
      <w:tr w14:paraId="57562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FFFFFF"/>
          </w:tcPr>
          <w:p w14:paraId="0E8ADAB5">
            <w:pPr>
              <w:spacing w:before="40" w:after="40"/>
              <w:jc w:val="left"/>
            </w:pPr>
            <w:r>
              <w:rPr>
                <w:b/>
                <w:bCs/>
                <w:color w:val="000000"/>
                <w:sz w:val="20"/>
                <w:szCs w:val="20"/>
              </w:rPr>
              <w:t>09b</w:t>
            </w:r>
          </w:p>
        </w:tc>
        <w:tc>
          <w:tcPr>
            <w:tcW w:w="2808" w:type="dxa"/>
            <w:shd w:val="clear" w:color="auto" w:fill="FFFFFF"/>
          </w:tcPr>
          <w:p w14:paraId="368BCA94">
            <w:pPr>
              <w:spacing w:before="40" w:after="40"/>
              <w:jc w:val="center"/>
            </w:pPr>
            <w:r>
              <w:rPr>
                <w:b w:val="0"/>
                <w:bCs w:val="0"/>
                <w:color w:val="000000"/>
                <w:sz w:val="20"/>
                <w:szCs w:val="20"/>
              </w:rPr>
              <w:t>GEO EWSK (Full Cycle)</w:t>
            </w:r>
          </w:p>
        </w:tc>
        <w:tc>
          <w:tcPr>
            <w:tcW w:w="3931" w:type="dxa"/>
            <w:shd w:val="clear" w:color="auto" w:fill="FFFFFF"/>
          </w:tcPr>
          <w:p w14:paraId="3A609971">
            <w:pPr>
              <w:spacing w:before="40" w:after="40"/>
              <w:jc w:val="center"/>
            </w:pPr>
            <w:r>
              <w:rPr>
                <w:b w:val="0"/>
                <w:bCs w:val="0"/>
                <w:color w:val="000000"/>
                <w:sz w:val="20"/>
                <w:szCs w:val="20"/>
              </w:rPr>
              <w:t>Two-burn EWSK cycle, SMA-matched Burn 2</w:t>
            </w:r>
          </w:p>
        </w:tc>
        <w:tc>
          <w:tcPr>
            <w:tcW w:w="1872" w:type="dxa"/>
            <w:shd w:val="clear" w:color="auto" w:fill="FFFFFF"/>
          </w:tcPr>
          <w:p w14:paraId="3866C23F">
            <w:pPr>
              <w:spacing w:before="40" w:after="40"/>
              <w:jc w:val="center"/>
            </w:pPr>
            <w:r>
              <w:rPr>
                <w:b w:val="0"/>
                <w:bCs w:val="0"/>
                <w:color w:val="000000"/>
                <w:sz w:val="20"/>
                <w:szCs w:val="20"/>
              </w:rPr>
              <w:t>Complete</w:t>
            </w:r>
          </w:p>
        </w:tc>
      </w:tr>
      <w:tr w14:paraId="2F080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EBF3FB"/>
          </w:tcPr>
          <w:p w14:paraId="4360B60B">
            <w:pPr>
              <w:spacing w:before="40" w:after="40"/>
              <w:jc w:val="left"/>
            </w:pPr>
            <w:r>
              <w:rPr>
                <w:b/>
                <w:bCs/>
                <w:color w:val="000000"/>
                <w:sz w:val="20"/>
                <w:szCs w:val="20"/>
              </w:rPr>
              <w:t>10</w:t>
            </w:r>
          </w:p>
        </w:tc>
        <w:tc>
          <w:tcPr>
            <w:tcW w:w="2808" w:type="dxa"/>
            <w:shd w:val="clear" w:color="auto" w:fill="EBF3FB"/>
          </w:tcPr>
          <w:p w14:paraId="4D03101E">
            <w:pPr>
              <w:spacing w:before="40" w:after="40"/>
              <w:jc w:val="center"/>
            </w:pPr>
            <w:r>
              <w:rPr>
                <w:b w:val="0"/>
                <w:bCs w:val="0"/>
                <w:color w:val="000000"/>
                <w:sz w:val="20"/>
                <w:szCs w:val="20"/>
              </w:rPr>
              <w:t>GEO NSSK (Lunisolar INC)</w:t>
            </w:r>
          </w:p>
        </w:tc>
        <w:tc>
          <w:tcPr>
            <w:tcW w:w="3931" w:type="dxa"/>
            <w:shd w:val="clear" w:color="auto" w:fill="EBF3FB"/>
          </w:tcPr>
          <w:p w14:paraId="7FA69493">
            <w:pPr>
              <w:spacing w:before="40" w:after="40"/>
              <w:jc w:val="center"/>
            </w:pPr>
            <w:r>
              <w:rPr>
                <w:b w:val="0"/>
                <w:bCs w:val="0"/>
                <w:color w:val="000000"/>
                <w:sz w:val="20"/>
                <w:szCs w:val="20"/>
              </w:rPr>
              <w:t>Out-of-plane normal burn, 0.75 deg/yr INC growth</w:t>
            </w:r>
          </w:p>
        </w:tc>
        <w:tc>
          <w:tcPr>
            <w:tcW w:w="1872" w:type="dxa"/>
            <w:shd w:val="clear" w:color="auto" w:fill="EBF3FB"/>
          </w:tcPr>
          <w:p w14:paraId="3E2CCC1D">
            <w:pPr>
              <w:spacing w:before="40" w:after="40"/>
              <w:jc w:val="center"/>
            </w:pPr>
            <w:r>
              <w:rPr>
                <w:b w:val="0"/>
                <w:bCs w:val="0"/>
                <w:color w:val="000000"/>
                <w:sz w:val="20"/>
                <w:szCs w:val="20"/>
              </w:rPr>
              <w:t>Planned</w:t>
            </w:r>
          </w:p>
        </w:tc>
      </w:tr>
      <w:tr w14:paraId="56B41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FFFFFF"/>
          </w:tcPr>
          <w:p w14:paraId="1ED69AA9">
            <w:pPr>
              <w:spacing w:before="40" w:after="40"/>
              <w:jc w:val="left"/>
            </w:pPr>
            <w:r>
              <w:rPr>
                <w:b/>
                <w:bCs/>
                <w:color w:val="000000"/>
                <w:sz w:val="20"/>
                <w:szCs w:val="20"/>
              </w:rPr>
              <w:t>11</w:t>
            </w:r>
          </w:p>
        </w:tc>
        <w:tc>
          <w:tcPr>
            <w:tcW w:w="2808" w:type="dxa"/>
            <w:shd w:val="clear" w:color="auto" w:fill="FFFFFF"/>
          </w:tcPr>
          <w:p w14:paraId="11A605E1">
            <w:pPr>
              <w:spacing w:before="40" w:after="40"/>
              <w:jc w:val="center"/>
            </w:pPr>
            <w:r>
              <w:rPr>
                <w:b w:val="0"/>
                <w:bCs w:val="0"/>
                <w:color w:val="000000"/>
                <w:sz w:val="20"/>
                <w:szCs w:val="20"/>
              </w:rPr>
              <w:t>Conjunction Analysis</w:t>
            </w:r>
          </w:p>
        </w:tc>
        <w:tc>
          <w:tcPr>
            <w:tcW w:w="3931" w:type="dxa"/>
            <w:shd w:val="clear" w:color="auto" w:fill="FFFFFF"/>
          </w:tcPr>
          <w:p w14:paraId="48B64971">
            <w:pPr>
              <w:spacing w:before="40" w:after="40"/>
              <w:jc w:val="center"/>
            </w:pPr>
            <w:r>
              <w:rPr>
                <w:b w:val="0"/>
                <w:bCs w:val="0"/>
                <w:color w:val="000000"/>
                <w:sz w:val="20"/>
                <w:szCs w:val="20"/>
              </w:rPr>
              <w:t>TCA, miss distance, Pc threshold</w:t>
            </w:r>
          </w:p>
        </w:tc>
        <w:tc>
          <w:tcPr>
            <w:tcW w:w="1872" w:type="dxa"/>
            <w:shd w:val="clear" w:color="auto" w:fill="FFFFFF"/>
          </w:tcPr>
          <w:p w14:paraId="2512248B">
            <w:pPr>
              <w:spacing w:before="40" w:after="40"/>
              <w:jc w:val="center"/>
            </w:pPr>
            <w:r>
              <w:rPr>
                <w:b w:val="0"/>
                <w:bCs w:val="0"/>
                <w:color w:val="000000"/>
                <w:sz w:val="20"/>
                <w:szCs w:val="20"/>
              </w:rPr>
              <w:t>Planned</w:t>
            </w:r>
          </w:p>
        </w:tc>
      </w:tr>
      <w:tr w14:paraId="5DC5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9" w:type="dxa"/>
            <w:shd w:val="clear" w:color="auto" w:fill="EBF3FB"/>
          </w:tcPr>
          <w:p w14:paraId="79BB5A3C">
            <w:pPr>
              <w:spacing w:before="40" w:after="40"/>
              <w:jc w:val="left"/>
            </w:pPr>
            <w:r>
              <w:rPr>
                <w:b/>
                <w:bCs/>
                <w:color w:val="000000"/>
                <w:sz w:val="20"/>
                <w:szCs w:val="20"/>
              </w:rPr>
              <w:t>12</w:t>
            </w:r>
          </w:p>
        </w:tc>
        <w:tc>
          <w:tcPr>
            <w:tcW w:w="2808" w:type="dxa"/>
            <w:shd w:val="clear" w:color="auto" w:fill="EBF3FB"/>
          </w:tcPr>
          <w:p w14:paraId="3CF44F05">
            <w:pPr>
              <w:spacing w:before="40" w:after="40"/>
              <w:jc w:val="center"/>
            </w:pPr>
            <w:r>
              <w:rPr>
                <w:b w:val="0"/>
                <w:bCs w:val="0"/>
                <w:color w:val="000000"/>
                <w:sz w:val="20"/>
                <w:szCs w:val="20"/>
              </w:rPr>
              <w:t>Contact Scheduling + ILMOP</w:t>
            </w:r>
          </w:p>
        </w:tc>
        <w:tc>
          <w:tcPr>
            <w:tcW w:w="3931" w:type="dxa"/>
            <w:shd w:val="clear" w:color="auto" w:fill="EBF3FB"/>
          </w:tcPr>
          <w:p w14:paraId="46481263">
            <w:pPr>
              <w:spacing w:before="40" w:after="40"/>
              <w:jc w:val="center"/>
            </w:pPr>
            <w:r>
              <w:rPr>
                <w:b w:val="0"/>
                <w:bCs w:val="0"/>
                <w:color w:val="000000"/>
                <w:sz w:val="20"/>
                <w:szCs w:val="20"/>
              </w:rPr>
              <w:t>GMAT vs SGP4, ILP scheduler validation</w:t>
            </w:r>
          </w:p>
        </w:tc>
        <w:tc>
          <w:tcPr>
            <w:tcW w:w="1872" w:type="dxa"/>
            <w:shd w:val="clear" w:color="auto" w:fill="EBF3FB"/>
          </w:tcPr>
          <w:p w14:paraId="756DCFA0">
            <w:pPr>
              <w:spacing w:before="40" w:after="40"/>
              <w:jc w:val="center"/>
            </w:pPr>
            <w:r>
              <w:rPr>
                <w:b w:val="0"/>
                <w:bCs w:val="0"/>
                <w:color w:val="000000"/>
                <w:sz w:val="20"/>
                <w:szCs w:val="20"/>
              </w:rPr>
              <w:t>Planned</w:t>
            </w:r>
          </w:p>
        </w:tc>
      </w:tr>
    </w:tbl>
    <w:p w14:paraId="543AF936">
      <w:pPr>
        <w:spacing w:before="0" w:after="160"/>
      </w:pPr>
    </w:p>
    <w:p w14:paraId="4A6334E6">
      <w:r>
        <w:br w:type="page"/>
      </w:r>
    </w:p>
    <w:p w14:paraId="27CB7692">
      <w:pPr>
        <w:pStyle w:val="2"/>
        <w:spacing w:before="360" w:after="120"/>
        <w:rPr>
          <w:b/>
          <w:bCs/>
          <w:color w:val="1F3864"/>
          <w:sz w:val="32"/>
          <w:szCs w:val="32"/>
        </w:rPr>
      </w:pPr>
      <w:r>
        <w:t>Appendix: File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81"/>
        <w:gridCol w:w="3467"/>
        <w:gridCol w:w="1312"/>
      </w:tblGrid>
      <w:tr w14:paraId="05528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57" w:type="dxa"/>
            <w:shd w:val="clear" w:color="auto" w:fill="1F3864"/>
          </w:tcPr>
          <w:p w14:paraId="553BDA89">
            <w:pPr>
              <w:spacing w:before="40" w:after="40"/>
              <w:jc w:val="center"/>
            </w:pPr>
            <w:r>
              <w:rPr>
                <w:b/>
                <w:bCs/>
                <w:color w:val="FFFFFF"/>
                <w:sz w:val="20"/>
                <w:szCs w:val="20"/>
              </w:rPr>
              <w:t>File</w:t>
            </w:r>
          </w:p>
        </w:tc>
        <w:tc>
          <w:tcPr>
            <w:tcW w:w="3276" w:type="dxa"/>
            <w:shd w:val="clear" w:color="auto" w:fill="1F3864"/>
          </w:tcPr>
          <w:p w14:paraId="0DCF5970">
            <w:pPr>
              <w:spacing w:before="40" w:after="40"/>
              <w:jc w:val="center"/>
            </w:pPr>
            <w:r>
              <w:rPr>
                <w:b/>
                <w:bCs/>
                <w:color w:val="FFFFFF"/>
                <w:sz w:val="20"/>
                <w:szCs w:val="20"/>
              </w:rPr>
              <w:t>Location</w:t>
            </w:r>
          </w:p>
        </w:tc>
        <w:tc>
          <w:tcPr>
            <w:tcW w:w="2527" w:type="dxa"/>
            <w:shd w:val="clear" w:color="auto" w:fill="1F3864"/>
          </w:tcPr>
          <w:p w14:paraId="69CCE8B8">
            <w:pPr>
              <w:spacing w:before="40" w:after="40"/>
              <w:jc w:val="center"/>
            </w:pPr>
            <w:r>
              <w:rPr>
                <w:b/>
                <w:bCs/>
                <w:color w:val="FFFFFF"/>
                <w:sz w:val="20"/>
                <w:szCs w:val="20"/>
              </w:rPr>
              <w:t>Purpose</w:t>
            </w:r>
          </w:p>
        </w:tc>
      </w:tr>
      <w:tr w14:paraId="3FF7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FFFFFF"/>
          </w:tcPr>
          <w:p w14:paraId="09CBB2E7">
            <w:pPr>
              <w:spacing w:before="40" w:after="40"/>
              <w:jc w:val="left"/>
            </w:pPr>
            <w:r>
              <w:rPr>
                <w:b/>
                <w:bCs/>
                <w:color w:val="000000"/>
                <w:sz w:val="20"/>
                <w:szCs w:val="20"/>
              </w:rPr>
              <w:t>06_hohmann_transfer_orbit_correction.script</w:t>
            </w:r>
          </w:p>
        </w:tc>
        <w:tc>
          <w:tcPr>
            <w:tcW w:w="3276" w:type="dxa"/>
            <w:shd w:val="clear" w:color="auto" w:fill="FFFFFF"/>
          </w:tcPr>
          <w:p w14:paraId="614B91EB">
            <w:pPr>
              <w:spacing w:before="40" w:after="40"/>
              <w:jc w:val="center"/>
            </w:pPr>
            <w:r>
              <w:rPr>
                <w:b w:val="0"/>
                <w:bCs w:val="0"/>
                <w:color w:val="000000"/>
                <w:sz w:val="20"/>
                <w:szCs w:val="20"/>
              </w:rPr>
              <w:t>scenario_06_hohmann_orbit_restoration\</w:t>
            </w:r>
          </w:p>
        </w:tc>
        <w:tc>
          <w:tcPr>
            <w:tcW w:w="2527" w:type="dxa"/>
            <w:shd w:val="clear" w:color="auto" w:fill="FFFFFF"/>
          </w:tcPr>
          <w:p w14:paraId="3A00FF4E">
            <w:pPr>
              <w:spacing w:before="40" w:after="40"/>
              <w:jc w:val="center"/>
            </w:pPr>
            <w:r>
              <w:rPr>
                <w:b w:val="0"/>
                <w:bCs w:val="0"/>
                <w:color w:val="000000"/>
                <w:sz w:val="20"/>
                <w:szCs w:val="20"/>
              </w:rPr>
              <w:t>GMAT simulation script (R2022a)</w:t>
            </w:r>
          </w:p>
        </w:tc>
      </w:tr>
      <w:tr w14:paraId="1761B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EBF3FB"/>
          </w:tcPr>
          <w:p w14:paraId="7C9CC257">
            <w:pPr>
              <w:spacing w:before="40" w:after="40"/>
              <w:jc w:val="left"/>
            </w:pPr>
            <w:r>
              <w:rPr>
                <w:b/>
                <w:bCs/>
                <w:color w:val="000000"/>
                <w:sz w:val="20"/>
                <w:szCs w:val="20"/>
              </w:rPr>
              <w:t>Hohmann_Transfer_Delta-V_Calculator.py</w:t>
            </w:r>
          </w:p>
        </w:tc>
        <w:tc>
          <w:tcPr>
            <w:tcW w:w="3276" w:type="dxa"/>
            <w:shd w:val="clear" w:color="auto" w:fill="EBF3FB"/>
          </w:tcPr>
          <w:p w14:paraId="06E053E5">
            <w:pPr>
              <w:spacing w:before="40" w:after="40"/>
              <w:jc w:val="center"/>
            </w:pPr>
            <w:r>
              <w:rPr>
                <w:b w:val="0"/>
                <w:bCs w:val="0"/>
                <w:color w:val="000000"/>
                <w:sz w:val="20"/>
                <w:szCs w:val="20"/>
              </w:rPr>
              <w:t>scenario_06_hohmann_orbit_restoration\</w:t>
            </w:r>
          </w:p>
        </w:tc>
        <w:tc>
          <w:tcPr>
            <w:tcW w:w="2527" w:type="dxa"/>
            <w:shd w:val="clear" w:color="auto" w:fill="EBF3FB"/>
          </w:tcPr>
          <w:p w14:paraId="37038A50">
            <w:pPr>
              <w:spacing w:before="40" w:after="40"/>
              <w:jc w:val="center"/>
            </w:pPr>
            <w:r>
              <w:rPr>
                <w:b w:val="0"/>
                <w:bCs w:val="0"/>
                <w:color w:val="000000"/>
                <w:sz w:val="20"/>
                <w:szCs w:val="20"/>
              </w:rPr>
              <w:t>Python vis-viva pre-computation script</w:t>
            </w:r>
          </w:p>
        </w:tc>
      </w:tr>
      <w:tr w14:paraId="2088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FFFFFF"/>
          </w:tcPr>
          <w:p w14:paraId="41191860">
            <w:pPr>
              <w:spacing w:before="40" w:after="40"/>
              <w:jc w:val="left"/>
            </w:pPr>
            <w:r>
              <w:rPr>
                <w:b/>
                <w:bCs/>
                <w:color w:val="000000"/>
                <w:sz w:val="20"/>
                <w:szCs w:val="20"/>
              </w:rPr>
              <w:t>DeltaV_Derivation_Scenario06.docx</w:t>
            </w:r>
          </w:p>
        </w:tc>
        <w:tc>
          <w:tcPr>
            <w:tcW w:w="3276" w:type="dxa"/>
            <w:shd w:val="clear" w:color="auto" w:fill="FFFFFF"/>
          </w:tcPr>
          <w:p w14:paraId="7C5C4623">
            <w:pPr>
              <w:spacing w:before="40" w:after="40"/>
              <w:jc w:val="center"/>
            </w:pPr>
            <w:r>
              <w:rPr>
                <w:b w:val="0"/>
                <w:bCs w:val="0"/>
                <w:color w:val="000000"/>
                <w:sz w:val="20"/>
                <w:szCs w:val="20"/>
              </w:rPr>
              <w:t>scenario_06_hohmann_orbit_restoration\</w:t>
            </w:r>
          </w:p>
        </w:tc>
        <w:tc>
          <w:tcPr>
            <w:tcW w:w="2527" w:type="dxa"/>
            <w:shd w:val="clear" w:color="auto" w:fill="FFFFFF"/>
          </w:tcPr>
          <w:p w14:paraId="005070ED">
            <w:pPr>
              <w:spacing w:before="40" w:after="40"/>
              <w:jc w:val="center"/>
            </w:pPr>
            <w:r>
              <w:rPr>
                <w:b w:val="0"/>
                <w:bCs w:val="0"/>
                <w:color w:val="000000"/>
                <w:sz w:val="20"/>
                <w:szCs w:val="20"/>
              </w:rPr>
              <w:t>Full analytical derivation with equations</w:t>
            </w:r>
          </w:p>
        </w:tc>
      </w:tr>
      <w:tr w14:paraId="6AFE7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EBF3FB"/>
          </w:tcPr>
          <w:p w14:paraId="6D185123">
            <w:pPr>
              <w:spacing w:before="40" w:after="40"/>
              <w:jc w:val="left"/>
            </w:pPr>
            <w:r>
              <w:rPr>
                <w:b/>
                <w:bCs/>
                <w:color w:val="000000"/>
                <w:sz w:val="20"/>
                <w:szCs w:val="20"/>
              </w:rPr>
              <w:t>output\ManoeuvreReport.txt</w:t>
            </w:r>
          </w:p>
        </w:tc>
        <w:tc>
          <w:tcPr>
            <w:tcW w:w="3276" w:type="dxa"/>
            <w:shd w:val="clear" w:color="auto" w:fill="EBF3FB"/>
          </w:tcPr>
          <w:p w14:paraId="578DB42E">
            <w:pPr>
              <w:spacing w:before="40" w:after="40"/>
              <w:jc w:val="center"/>
            </w:pPr>
            <w:r>
              <w:rPr>
                <w:b w:val="0"/>
                <w:bCs w:val="0"/>
                <w:color w:val="000000"/>
                <w:sz w:val="20"/>
                <w:szCs w:val="20"/>
              </w:rPr>
              <w:t>GMAT_portfolio\</w:t>
            </w:r>
          </w:p>
        </w:tc>
        <w:tc>
          <w:tcPr>
            <w:tcW w:w="2527" w:type="dxa"/>
            <w:shd w:val="clear" w:color="auto" w:fill="EBF3FB"/>
          </w:tcPr>
          <w:p w14:paraId="263F2E19">
            <w:pPr>
              <w:spacing w:before="40" w:after="40"/>
              <w:jc w:val="center"/>
            </w:pPr>
            <w:r>
              <w:rPr>
                <w:b w:val="0"/>
                <w:bCs w:val="0"/>
                <w:color w:val="000000"/>
                <w:sz w:val="20"/>
                <w:szCs w:val="20"/>
              </w:rPr>
              <w:t>GMAT milestone report (6 events x 5 columns)</w:t>
            </w:r>
          </w:p>
        </w:tc>
      </w:tr>
      <w:tr w14:paraId="5ECC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57" w:type="dxa"/>
            <w:shd w:val="clear" w:color="auto" w:fill="FFFFFF"/>
          </w:tcPr>
          <w:p w14:paraId="50D0B8D8">
            <w:pPr>
              <w:spacing w:before="40" w:after="40"/>
              <w:jc w:val="left"/>
            </w:pPr>
            <w:r>
              <w:rPr>
                <w:b/>
                <w:bCs/>
                <w:color w:val="000000"/>
                <w:sz w:val="20"/>
                <w:szCs w:val="20"/>
              </w:rPr>
              <w:t>Scenario_06_HohmannOrbitRestoration_Analysis.docx</w:t>
            </w:r>
          </w:p>
        </w:tc>
        <w:tc>
          <w:tcPr>
            <w:tcW w:w="3276" w:type="dxa"/>
            <w:shd w:val="clear" w:color="auto" w:fill="FFFFFF"/>
          </w:tcPr>
          <w:p w14:paraId="6EFCAD56">
            <w:pPr>
              <w:spacing w:before="40" w:after="40"/>
              <w:jc w:val="center"/>
            </w:pPr>
            <w:r>
              <w:rPr>
                <w:b w:val="0"/>
                <w:bCs w:val="0"/>
                <w:color w:val="000000"/>
                <w:sz w:val="20"/>
                <w:szCs w:val="20"/>
              </w:rPr>
              <w:t>scenario_06_hohmann_orbit_restoration\</w:t>
            </w:r>
          </w:p>
        </w:tc>
        <w:tc>
          <w:tcPr>
            <w:tcW w:w="2527" w:type="dxa"/>
            <w:shd w:val="clear" w:color="auto" w:fill="FFFFFF"/>
          </w:tcPr>
          <w:p w14:paraId="5133B7F8">
            <w:pPr>
              <w:spacing w:before="40" w:after="40"/>
              <w:jc w:val="center"/>
            </w:pPr>
            <w:r>
              <w:rPr>
                <w:b w:val="0"/>
                <w:bCs w:val="0"/>
                <w:color w:val="000000"/>
                <w:sz w:val="20"/>
                <w:szCs w:val="20"/>
              </w:rPr>
              <w:t>This report document</w:t>
            </w:r>
          </w:p>
        </w:tc>
      </w:tr>
    </w:tbl>
    <w:p w14:paraId="17F1A2C3">
      <w:pPr>
        <w:spacing w:before="0" w:after="160"/>
      </w:pPr>
    </w:p>
    <w:p w14:paraId="34B30B49">
      <w:pPr>
        <w:pBdr>
          <w:bottom w:val="single" w:color="2E74B5" w:sz="6" w:space="0"/>
        </w:pBdr>
        <w:spacing w:before="80" w:after="80"/>
      </w:pPr>
    </w:p>
    <w:p w14:paraId="6385E8D9">
      <w:pPr>
        <w:spacing w:before="160" w:after="80"/>
        <w:jc w:val="center"/>
      </w:pPr>
      <w:r>
        <w:rPr>
          <w:i/>
          <w:iCs/>
          <w:color w:val="404040"/>
          <w:sz w:val="20"/>
          <w:szCs w:val="20"/>
        </w:rPr>
        <w:t>End of Scenario 06 Analysis Report</w:t>
      </w:r>
    </w:p>
    <w:p w14:paraId="4845D73A">
      <w:pPr>
        <w:spacing w:before="0" w:after="80"/>
        <w:jc w:val="center"/>
      </w:pPr>
      <w:r>
        <w:rPr>
          <w:color w:val="404040"/>
          <w:sz w:val="18"/>
          <w:szCs w:val="18"/>
        </w:rPr>
        <w:t>Stephen Ogodo | GMAT Astrodynamics Portfolio | October 2026</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displayBackgroundShape w:val="1"/>
  <w:documentProtection w:enforcement="0"/>
  <w:compat>
    <w:compatSetting w:name="compatibilityMode" w:uri="http://schemas.microsoft.com/office/word" w:val="15"/>
  </w:compat>
  <w:rsids>
    <w:rsidRoot w:val="00000000"/>
    <w:rsid w:val="3FB571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2"/>
      <w:szCs w:val="22"/>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470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2026-10-26T08:31:00Z</dcterms:created>
  <dc:creator>Stephen Ogodo</dc:creator>
  <dc:description>GMAT Astrodynamics Portfolio — Two-Impulse Manoeuvre Analysis</dc:description>
  <cp:lastModifiedBy>stephen Ogodo</cp:lastModifiedBy>
  <dcterms:modified xsi:type="dcterms:W3CDTF">2026-10-26T16:44:34Z</dcterms:modified>
  <dc:title>Scenario 06 — Hohmann Transfer Orbit Restoration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695054BECD914874BDE491F2B2225303_12</vt:lpwstr>
  </property>
</Properties>
</file>