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8531F">
      <w:pPr>
        <w:spacing w:before="0" w:after="1440"/>
      </w:pPr>
    </w:p>
    <w:p w14:paraId="2EA07111">
      <w:pPr>
        <w:jc w:val="center"/>
      </w:pPr>
      <w:r>
        <w:rPr>
          <w:b/>
          <w:bCs/>
          <w:color w:val="1F3864"/>
          <w:sz w:val="48"/>
          <w:szCs w:val="48"/>
        </w:rPr>
        <w:t>SCENARIO 11</w:t>
      </w:r>
    </w:p>
    <w:p w14:paraId="60C39B8C">
      <w:pPr>
        <w:spacing w:before="120" w:after="240"/>
        <w:jc w:val="center"/>
      </w:pPr>
      <w:r>
        <w:rPr>
          <w:b/>
          <w:bCs/>
          <w:color w:val="2E5598"/>
          <w:sz w:val="36"/>
          <w:szCs w:val="36"/>
        </w:rPr>
        <w:t>Contact Scheduling with Integer Linear Programming</w:t>
      </w:r>
    </w:p>
    <w:p w14:paraId="09B49A3D">
      <w:pPr>
        <w:spacing w:after="60"/>
        <w:jc w:val="center"/>
      </w:pPr>
      <w:r>
        <w:rPr>
          <w:color w:val="555555"/>
          <w:sz w:val="22"/>
          <w:szCs w:val="22"/>
        </w:rPr>
        <w:t>Walker 24/3/1 Constellation  ·  Multi-Objective ILP Optimisation  ·  HiGHS Solver</w:t>
      </w:r>
    </w:p>
    <w:p w14:paraId="36036815">
      <w:pPr>
        <w:spacing w:after="480"/>
        <w:jc w:val="center"/>
      </w:pPr>
      <w:r>
        <w:rPr>
          <w:color w:val="555555"/>
          <w:sz w:val="22"/>
          <w:szCs w:val="22"/>
        </w:rPr>
        <w:t>GMAT Astrodynamics Portfolio</w:t>
      </w:r>
    </w:p>
    <w:p w14:paraId="1034ABFD">
      <w:pPr>
        <w:pBdr>
          <w:bottom w:val="single" w:color="2E5598" w:sz="12" w:space="0"/>
        </w:pBdr>
        <w:spacing w:after="240"/>
      </w:pPr>
    </w:p>
    <w:p w14:paraId="59A61713">
      <w:pPr>
        <w:spacing w:after="60"/>
        <w:jc w:val="center"/>
      </w:pPr>
      <w:r>
        <w:rPr>
          <w:b/>
          <w:bCs/>
          <w:sz w:val="22"/>
          <w:szCs w:val="22"/>
        </w:rPr>
        <w:t>Author: Stephen O. Ogodo</w:t>
      </w:r>
    </w:p>
    <w:p w14:paraId="4433F8ED">
      <w:pPr>
        <w:spacing w:after="60"/>
        <w:jc w:val="center"/>
      </w:pPr>
      <w:r>
        <w:rPr>
          <w:color w:val="444444"/>
          <w:sz w:val="20"/>
          <w:szCs w:val="20"/>
        </w:rPr>
        <w:t>LinkedIn: linkedin.com/in/stephenogodo  ·  GitHub: github.com/stephenogodo</w:t>
      </w:r>
    </w:p>
    <w:p w14:paraId="0D2F5435">
      <w:pPr>
        <w:jc w:val="center"/>
      </w:pPr>
      <w:r>
        <w:rPr>
          <w:color w:val="444444"/>
          <w:sz w:val="20"/>
          <w:szCs w:val="20"/>
        </w:rPr>
        <w:t>Date: 01 January 2024 (Simulation Epoch)</w:t>
      </w:r>
    </w:p>
    <w:p w14:paraId="56225E1B">
      <w:r>
        <w:br w:type="page"/>
      </w:r>
    </w:p>
    <w:p w14:paraId="6268B510">
      <w:pPr>
        <w:pStyle w:val="2"/>
        <w:spacing w:before="320" w:after="120"/>
      </w:pPr>
      <w:r>
        <w:t>1. Executive Summary</w:t>
      </w:r>
    </w:p>
    <w:p w14:paraId="0EF5F2B3">
      <w:pPr>
        <w:spacing w:before="60" w:after="120"/>
        <w:jc w:val="both"/>
      </w:pPr>
      <w:r>
        <w:rPr>
          <w:sz w:val="22"/>
          <w:szCs w:val="22"/>
        </w:rPr>
        <w:t>This report documents Scenario 11 of the GMAT Astrodynamics Portfolio: the optimal scheduling of ground contact windows for a Walker 24/3/1 LEO constellation using Integer Linear Programming (ILP). The contact data generated by GMAT in Scenario 11 (via 11_ilp_contact_data.script) — 284 candidate contact windows across 24 satellites and three active ground stations — are generated by Scenario 11’s own GMAT script and ingested into a Python-based binary ILP model. The model simultaneously maximises total scheduled contact time and minimises the worst-case revisit gap (the longest interval between successive contacts for any satellite). HiGHS, a state-of-the-art open-source MILP solver, finds the provably optimal solution in milliseconds.</w:t>
      </w:r>
    </w:p>
    <w:p w14:paraId="5EA41853">
      <w:pPr>
        <w:spacing w:before="60" w:after="120"/>
        <w:jc w:val="both"/>
      </w:pPr>
      <w:r>
        <w:rPr>
          <w:sz w:val="22"/>
          <w:szCs w:val="22"/>
        </w:rPr>
        <w:t>The ILP achieves an Optimal status, scheduling 259 of 284 candidate windows for a total fleet contact of 106,463.8 s (29.57 h) and a worst-case revisit gap of 5,956.4 s (1.65 h). Of the 284 available windows, 259 were scheduled (91.2%). The remaining 25 unscheduled windows break down as follows: 5 are station-conflict casualties — one window from each of the five overlapping London pairs was displaced by a higher-value competing assignment at the same antenna — and the other 20 are deliberate solver trade-offs. These 20 non-conflicting windows were withheld by the ILP solver in pursuit of the minimax-gap objective: scheduling them would have created a long idle period for another satellite elsewhere in the fleet, increasing G_max. This confirms that the solver operates as intended — balancing contact coverage against worst-case revisit fairness rather than maximising windows alone.</w:t>
      </w:r>
    </w:p>
    <w:p w14:paraId="10F30AAF">
      <w:pPr>
        <w:spacing w:before="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00"/>
        <w:gridCol w:w="4500"/>
      </w:tblGrid>
      <w:tr w14:paraId="4C4A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1F3864"/>
            <w:tcMar>
              <w:top w:w="60" w:type="dxa"/>
              <w:left w:w="80" w:type="dxa"/>
              <w:bottom w:w="60" w:type="dxa"/>
              <w:right w:w="80" w:type="dxa"/>
            </w:tcMar>
          </w:tcPr>
          <w:p w14:paraId="0A17954F">
            <w:pPr>
              <w:spacing w:before="60" w:after="60"/>
              <w:jc w:val="center"/>
            </w:pPr>
            <w:r>
              <w:rPr>
                <w:b/>
                <w:bCs/>
                <w:color w:val="FFFFFF"/>
                <w:sz w:val="20"/>
                <w:szCs w:val="20"/>
              </w:rPr>
              <w:t>Metric</w:t>
            </w:r>
          </w:p>
        </w:tc>
        <w:tc>
          <w:tcPr>
            <w:tcW w:w="4500" w:type="dxa"/>
            <w:shd w:val="clear" w:color="auto" w:fill="1F3864"/>
            <w:tcMar>
              <w:top w:w="60" w:type="dxa"/>
              <w:left w:w="80" w:type="dxa"/>
              <w:bottom w:w="60" w:type="dxa"/>
              <w:right w:w="80" w:type="dxa"/>
            </w:tcMar>
          </w:tcPr>
          <w:p w14:paraId="31738775">
            <w:pPr>
              <w:spacing w:before="60" w:after="60"/>
              <w:jc w:val="center"/>
            </w:pPr>
            <w:r>
              <w:rPr>
                <w:b/>
                <w:bCs/>
                <w:color w:val="FFFFFF"/>
                <w:sz w:val="20"/>
                <w:szCs w:val="20"/>
              </w:rPr>
              <w:t>Value</w:t>
            </w:r>
          </w:p>
        </w:tc>
      </w:tr>
      <w:tr w14:paraId="08406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80" w:type="dxa"/>
              <w:bottom w:w="60" w:type="dxa"/>
              <w:right w:w="80" w:type="dxa"/>
            </w:tcMar>
          </w:tcPr>
          <w:p w14:paraId="61812875">
            <w:pPr>
              <w:spacing w:before="40" w:after="40"/>
              <w:jc w:val="left"/>
            </w:pPr>
            <w:r>
              <w:rPr>
                <w:sz w:val="20"/>
                <w:szCs w:val="20"/>
              </w:rPr>
              <w:t>Solver</w:t>
            </w:r>
          </w:p>
        </w:tc>
        <w:tc>
          <w:tcPr>
            <w:tcW w:w="4500" w:type="dxa"/>
            <w:tcMar>
              <w:top w:w="60" w:type="dxa"/>
              <w:left w:w="80" w:type="dxa"/>
              <w:bottom w:w="60" w:type="dxa"/>
              <w:right w:w="80" w:type="dxa"/>
            </w:tcMar>
          </w:tcPr>
          <w:p w14:paraId="2AF6BCC7">
            <w:pPr>
              <w:spacing w:before="40" w:after="40"/>
              <w:jc w:val="left"/>
            </w:pPr>
            <w:r>
              <w:rPr>
                <w:sz w:val="20"/>
                <w:szCs w:val="20"/>
              </w:rPr>
              <w:t>HiGHS via PuLP 4.x</w:t>
            </w:r>
          </w:p>
        </w:tc>
      </w:tr>
      <w:tr w14:paraId="352FE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5FA"/>
            <w:tcMar>
              <w:top w:w="60" w:type="dxa"/>
              <w:left w:w="80" w:type="dxa"/>
              <w:bottom w:w="60" w:type="dxa"/>
              <w:right w:w="80" w:type="dxa"/>
            </w:tcMar>
          </w:tcPr>
          <w:p w14:paraId="0061638E">
            <w:pPr>
              <w:spacing w:before="40" w:after="40"/>
              <w:jc w:val="left"/>
            </w:pPr>
            <w:r>
              <w:rPr>
                <w:sz w:val="20"/>
                <w:szCs w:val="20"/>
              </w:rPr>
              <w:t>Solver status</w:t>
            </w:r>
          </w:p>
        </w:tc>
        <w:tc>
          <w:tcPr>
            <w:tcW w:w="4500" w:type="dxa"/>
            <w:shd w:val="clear" w:color="auto" w:fill="F2F5FA"/>
            <w:tcMar>
              <w:top w:w="60" w:type="dxa"/>
              <w:left w:w="80" w:type="dxa"/>
              <w:bottom w:w="60" w:type="dxa"/>
              <w:right w:w="80" w:type="dxa"/>
            </w:tcMar>
          </w:tcPr>
          <w:p w14:paraId="5B6133BE">
            <w:pPr>
              <w:spacing w:before="40" w:after="40"/>
              <w:jc w:val="left"/>
            </w:pPr>
            <w:r>
              <w:rPr>
                <w:sz w:val="20"/>
                <w:szCs w:val="20"/>
              </w:rPr>
              <w:t>Optimal</w:t>
            </w:r>
          </w:p>
        </w:tc>
      </w:tr>
      <w:tr w14:paraId="19AE7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80" w:type="dxa"/>
              <w:bottom w:w="60" w:type="dxa"/>
              <w:right w:w="80" w:type="dxa"/>
            </w:tcMar>
          </w:tcPr>
          <w:p w14:paraId="40E1E189">
            <w:pPr>
              <w:spacing w:before="40" w:after="40"/>
              <w:jc w:val="left"/>
            </w:pPr>
            <w:r>
              <w:rPr>
                <w:sz w:val="20"/>
                <w:szCs w:val="20"/>
              </w:rPr>
              <w:t>Windows scheduled</w:t>
            </w:r>
          </w:p>
        </w:tc>
        <w:tc>
          <w:tcPr>
            <w:tcW w:w="4500" w:type="dxa"/>
            <w:tcMar>
              <w:top w:w="60" w:type="dxa"/>
              <w:left w:w="80" w:type="dxa"/>
              <w:bottom w:w="60" w:type="dxa"/>
              <w:right w:w="80" w:type="dxa"/>
            </w:tcMar>
          </w:tcPr>
          <w:p w14:paraId="14197EC8">
            <w:pPr>
              <w:spacing w:before="40" w:after="40"/>
              <w:jc w:val="left"/>
            </w:pPr>
            <w:r>
              <w:rPr>
                <w:sz w:val="20"/>
                <w:szCs w:val="20"/>
              </w:rPr>
              <w:t>259 / 284</w:t>
            </w:r>
          </w:p>
        </w:tc>
      </w:tr>
      <w:tr w14:paraId="24A0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5FA"/>
            <w:tcMar>
              <w:top w:w="60" w:type="dxa"/>
              <w:left w:w="80" w:type="dxa"/>
              <w:bottom w:w="60" w:type="dxa"/>
              <w:right w:w="80" w:type="dxa"/>
            </w:tcMar>
          </w:tcPr>
          <w:p w14:paraId="143DEDC6">
            <w:pPr>
              <w:spacing w:before="40" w:after="40"/>
              <w:jc w:val="left"/>
            </w:pPr>
            <w:r>
              <w:rPr>
                <w:sz w:val="20"/>
                <w:szCs w:val="20"/>
              </w:rPr>
              <w:t>Total contact time</w:t>
            </w:r>
          </w:p>
        </w:tc>
        <w:tc>
          <w:tcPr>
            <w:tcW w:w="4500" w:type="dxa"/>
            <w:shd w:val="clear" w:color="auto" w:fill="F2F5FA"/>
            <w:tcMar>
              <w:top w:w="60" w:type="dxa"/>
              <w:left w:w="80" w:type="dxa"/>
              <w:bottom w:w="60" w:type="dxa"/>
              <w:right w:w="80" w:type="dxa"/>
            </w:tcMar>
          </w:tcPr>
          <w:p w14:paraId="0558C725">
            <w:pPr>
              <w:spacing w:before="40" w:after="40"/>
              <w:jc w:val="left"/>
            </w:pPr>
            <w:r>
              <w:rPr>
                <w:sz w:val="20"/>
                <w:szCs w:val="20"/>
              </w:rPr>
              <w:t>106,463.8 s  (29.57 h)</w:t>
            </w:r>
          </w:p>
        </w:tc>
      </w:tr>
      <w:tr w14:paraId="0683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80" w:type="dxa"/>
              <w:bottom w:w="60" w:type="dxa"/>
              <w:right w:w="80" w:type="dxa"/>
            </w:tcMar>
          </w:tcPr>
          <w:p w14:paraId="35B5378B">
            <w:pPr>
              <w:spacing w:before="40" w:after="40"/>
              <w:jc w:val="left"/>
            </w:pPr>
            <w:r>
              <w:rPr>
                <w:sz w:val="20"/>
                <w:szCs w:val="20"/>
              </w:rPr>
              <w:t>Worst-case revisit gap</w:t>
            </w:r>
          </w:p>
        </w:tc>
        <w:tc>
          <w:tcPr>
            <w:tcW w:w="4500" w:type="dxa"/>
            <w:tcMar>
              <w:top w:w="60" w:type="dxa"/>
              <w:left w:w="80" w:type="dxa"/>
              <w:bottom w:w="60" w:type="dxa"/>
              <w:right w:w="80" w:type="dxa"/>
            </w:tcMar>
          </w:tcPr>
          <w:p w14:paraId="554DED11">
            <w:pPr>
              <w:spacing w:before="40" w:after="40"/>
              <w:jc w:val="left"/>
            </w:pPr>
            <w:r>
              <w:rPr>
                <w:sz w:val="20"/>
                <w:szCs w:val="20"/>
              </w:rPr>
              <w:t>5,956.4 s  (1.65 h)</w:t>
            </w:r>
          </w:p>
        </w:tc>
      </w:tr>
      <w:tr w14:paraId="1F10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5FA"/>
            <w:tcMar>
              <w:top w:w="60" w:type="dxa"/>
              <w:left w:w="80" w:type="dxa"/>
              <w:bottom w:w="60" w:type="dxa"/>
              <w:right w:w="80" w:type="dxa"/>
            </w:tcMar>
          </w:tcPr>
          <w:p w14:paraId="2C0F3969">
            <w:pPr>
              <w:spacing w:before="40" w:after="40"/>
              <w:jc w:val="left"/>
            </w:pPr>
            <w:r>
              <w:rPr>
                <w:sz w:val="20"/>
                <w:szCs w:val="20"/>
              </w:rPr>
              <w:t>Mean contact / satellite</w:t>
            </w:r>
          </w:p>
        </w:tc>
        <w:tc>
          <w:tcPr>
            <w:tcW w:w="4500" w:type="dxa"/>
            <w:shd w:val="clear" w:color="auto" w:fill="F2F5FA"/>
            <w:tcMar>
              <w:top w:w="60" w:type="dxa"/>
              <w:left w:w="80" w:type="dxa"/>
              <w:bottom w:w="60" w:type="dxa"/>
              <w:right w:w="80" w:type="dxa"/>
            </w:tcMar>
          </w:tcPr>
          <w:p w14:paraId="438DAEFB">
            <w:pPr>
              <w:spacing w:before="40" w:after="40"/>
              <w:jc w:val="left"/>
            </w:pPr>
            <w:r>
              <w:rPr>
                <w:sz w:val="20"/>
                <w:szCs w:val="20"/>
              </w:rPr>
              <w:t>4,436 s</w:t>
            </w:r>
          </w:p>
        </w:tc>
      </w:tr>
      <w:tr w14:paraId="27A9A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80" w:type="dxa"/>
              <w:bottom w:w="60" w:type="dxa"/>
              <w:right w:w="80" w:type="dxa"/>
            </w:tcMar>
          </w:tcPr>
          <w:p w14:paraId="7BEFC407">
            <w:pPr>
              <w:spacing w:before="40" w:after="40"/>
              <w:jc w:val="left"/>
            </w:pPr>
            <w:r>
              <w:rPr>
                <w:sz w:val="20"/>
                <w:szCs w:val="20"/>
              </w:rPr>
              <w:t>Min contact / satellite</w:t>
            </w:r>
          </w:p>
        </w:tc>
        <w:tc>
          <w:tcPr>
            <w:tcW w:w="4500" w:type="dxa"/>
            <w:tcMar>
              <w:top w:w="60" w:type="dxa"/>
              <w:left w:w="80" w:type="dxa"/>
              <w:bottom w:w="60" w:type="dxa"/>
              <w:right w:w="80" w:type="dxa"/>
            </w:tcMar>
          </w:tcPr>
          <w:p w14:paraId="4349499E">
            <w:pPr>
              <w:spacing w:before="40" w:after="40"/>
              <w:jc w:val="left"/>
            </w:pPr>
            <w:r>
              <w:rPr>
                <w:sz w:val="20"/>
                <w:szCs w:val="20"/>
              </w:rPr>
              <w:t>3,791 s</w:t>
            </w:r>
          </w:p>
        </w:tc>
      </w:tr>
      <w:tr w14:paraId="0BCB1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shd w:val="clear" w:color="auto" w:fill="F2F5FA"/>
            <w:tcMar>
              <w:top w:w="60" w:type="dxa"/>
              <w:left w:w="80" w:type="dxa"/>
              <w:bottom w:w="60" w:type="dxa"/>
              <w:right w:w="80" w:type="dxa"/>
            </w:tcMar>
          </w:tcPr>
          <w:p w14:paraId="675CBE71">
            <w:pPr>
              <w:spacing w:before="40" w:after="40"/>
              <w:jc w:val="left"/>
            </w:pPr>
            <w:r>
              <w:rPr>
                <w:sz w:val="20"/>
                <w:szCs w:val="20"/>
              </w:rPr>
              <w:t>Objective weights</w:t>
            </w:r>
          </w:p>
        </w:tc>
        <w:tc>
          <w:tcPr>
            <w:tcW w:w="4500" w:type="dxa"/>
            <w:shd w:val="clear" w:color="auto" w:fill="F2F5FA"/>
            <w:tcMar>
              <w:top w:w="60" w:type="dxa"/>
              <w:left w:w="80" w:type="dxa"/>
              <w:bottom w:w="60" w:type="dxa"/>
              <w:right w:w="80" w:type="dxa"/>
            </w:tcMar>
          </w:tcPr>
          <w:p w14:paraId="65C7EDDB">
            <w:pPr>
              <w:spacing w:before="40" w:after="40"/>
              <w:jc w:val="left"/>
            </w:pPr>
            <w:r>
              <w:rPr>
                <w:sz w:val="20"/>
                <w:szCs w:val="20"/>
              </w:rPr>
              <w:t>α = 1.0 (contact),  β = 2.0 (gap)</w:t>
            </w:r>
          </w:p>
        </w:tc>
      </w:tr>
    </w:tbl>
    <w:p w14:paraId="2FC334AA">
      <w:pPr>
        <w:spacing w:before="0" w:after="120"/>
      </w:pPr>
    </w:p>
    <w:p w14:paraId="09D06B1F">
      <w:r>
        <w:br w:type="page"/>
      </w:r>
    </w:p>
    <w:p w14:paraId="7140FE10">
      <w:pPr>
        <w:pStyle w:val="2"/>
        <w:spacing w:before="320" w:after="120"/>
      </w:pPr>
      <w:r>
        <w:t>2. Background and Motivation</w:t>
      </w:r>
    </w:p>
    <w:p w14:paraId="3B349831">
      <w:pPr>
        <w:pStyle w:val="3"/>
        <w:spacing w:before="240" w:after="80"/>
      </w:pPr>
      <w:r>
        <w:t>2.1  The Ground Contact Scheduling Problem</w:t>
      </w:r>
    </w:p>
    <w:p w14:paraId="57BFCCBE">
      <w:pPr>
        <w:spacing w:before="60" w:after="120"/>
        <w:jc w:val="both"/>
      </w:pPr>
      <w:r>
        <w:rPr>
          <w:sz w:val="22"/>
          <w:szCs w:val="22"/>
        </w:rPr>
        <w:t>Every LEO satellite network faces a fundamental resource constraint: a small number of ground antennas must serve a large fleet of satellites whose contact windows are short, frequent, and often overlapping. Naively assigning every available contact window is infeasible — two satellites may both be visible from the same station at the same time, but the station has only one antenna and can only uplink or downlink with one satellite at a time. The problem of choosing which windows to schedule, and when, is the Ground Contact Scheduling Problem (GCSP).</w:t>
      </w:r>
    </w:p>
    <w:p w14:paraId="30178F70">
      <w:pPr>
        <w:spacing w:before="60" w:after="120"/>
        <w:jc w:val="both"/>
      </w:pPr>
      <w:r>
        <w:rPr>
          <w:sz w:val="22"/>
          <w:szCs w:val="22"/>
        </w:rPr>
        <w:t>The GCSP is NP-hard in the general case: with N binary decision variables (one per candidate window), the search space is 2^N. For N = 284 (the size of this scenario's problem), brute-force enumeration is computationally impossible. However, because the station-conflict structure is sparse — only 5 of the 284 windows conflict with another window — the LP relaxation is very tight and HiGHS solves the problem to optimality essentially instantly.</w:t>
      </w:r>
    </w:p>
    <w:p w14:paraId="07BFE92F">
      <w:pPr>
        <w:spacing w:before="60" w:after="120"/>
        <w:jc w:val="both"/>
      </w:pPr>
      <w:r>
        <w:rPr>
          <w:sz w:val="22"/>
          <w:szCs w:val="22"/>
        </w:rPr>
        <w:t>This scenario adds a second objective beyond simple contact maximisation: minimising the worst-case revisit gap. A satellite that goes uncontacted for many hours is operationally vulnerable — telemetry anomalies go undetected, command uplinking is delayed, and state vector updates are deferred. Minimising the maximum gap across the fleet is therefore a direct proxy for operational resilience.</w:t>
      </w:r>
    </w:p>
    <w:p w14:paraId="392DDE16">
      <w:pPr>
        <w:pStyle w:val="3"/>
        <w:spacing w:before="240" w:after="80"/>
      </w:pPr>
      <w:r>
        <w:t>2.2  Relationship to Scenario 06</w:t>
      </w:r>
    </w:p>
    <w:p w14:paraId="7A743871">
      <w:pPr>
        <w:spacing w:before="60" w:after="120"/>
        <w:jc w:val="both"/>
      </w:pPr>
      <w:r>
        <w:rPr>
          <w:sz w:val="22"/>
          <w:szCs w:val="22"/>
        </w:rPr>
        <w:t>Scenario 06 designed the Walker 24/3/1 constellation and ran GMAT's ContactLocator across all 24 satellites and four ground stations (Tromso, London, Nairobi, Lagos) for a 24-hour window starting 01 Jan 2024. The output was 24 per-satellite contact report files.</w:t>
      </w:r>
    </w:p>
    <w:p w14:paraId="52F671EA">
      <w:pPr>
        <w:spacing w:before="60" w:after="120"/>
        <w:jc w:val="both"/>
      </w:pPr>
      <w:r>
        <w:rPr>
          <w:sz w:val="22"/>
          <w:szCs w:val="22"/>
        </w:rPr>
        <w:t>A key finding of Scenario 06 was that Tromso (69.7°N) receives zero passes from the 51.6°-inclination constellation — the satellite ground track never reaches that latitude, producing a permanent inclination blackout. Scenario 11 therefore works with the three active stations: London (51.5°N), Nairobi (1.3°S), and Lagos (6.5°N).</w:t>
      </w:r>
    </w:p>
    <w:p w14:paraId="2265FB05">
      <w:pPr>
        <w:spacing w:before="60" w:after="120"/>
        <w:jc w:val="both"/>
      </w:pPr>
      <w:r>
        <w:rPr>
          <w:sz w:val="22"/>
          <w:szCs w:val="22"/>
        </w:rPr>
        <w:t>Scenario 11 is self-contained: it includes its own GMAT script (11_ilp_contact_data.script) that regenerates all 24 contact window files into output_sc11\ before the ILP is solved. Scenario 06 provides design inheritance — the Walker 24/3/1 constellation parameters and ground-station selection — but is no longer a data dependency. The ILP scheduler reads directly from output_sc11\, treating those freshly generated contact windows as its inputs.</w:t>
      </w:r>
    </w:p>
    <w:p w14:paraId="013FECB9">
      <w:r>
        <w:br w:type="page"/>
      </w:r>
    </w:p>
    <w:p w14:paraId="3B83151F">
      <w:pPr>
        <w:pStyle w:val="2"/>
        <w:spacing w:before="320" w:after="120"/>
      </w:pPr>
      <w:r>
        <w:t>3. ILP Formulation</w:t>
      </w:r>
    </w:p>
    <w:p w14:paraId="0632CCBE">
      <w:pPr>
        <w:pStyle w:val="3"/>
        <w:spacing w:before="240" w:after="80"/>
      </w:pPr>
      <w:r>
        <w:t>3.1  Decision Variables</w:t>
      </w:r>
    </w:p>
    <w:p w14:paraId="43C743A9">
      <w:pPr>
        <w:spacing w:before="60" w:after="120"/>
        <w:jc w:val="both"/>
      </w:pPr>
      <w:r>
        <w:rPr>
          <w:sz w:val="22"/>
          <w:szCs w:val="22"/>
        </w:rPr>
        <w:t>The fundamental decision for each candidate contact window i is binary: either the window is scheduled (x_i = 1) or it is not (x_i = 0). This gives N = 284 binary decision variables, one per candidate window parsed from the GMAT contact reports.</w:t>
      </w:r>
    </w:p>
    <w:p w14:paraId="5FADFE78">
      <w:pPr>
        <w:spacing w:before="60" w:after="120"/>
        <w:jc w:val="both"/>
      </w:pPr>
      <w:r>
        <w:rPr>
          <w:sz w:val="22"/>
          <w:szCs w:val="22"/>
        </w:rPr>
        <w:t>Two auxiliary continuous variables support the gap-minimisation objective:</w:t>
      </w:r>
    </w:p>
    <w:p w14:paraId="0A57E4E4">
      <w:pPr>
        <w:pStyle w:val="16"/>
        <w:numPr>
          <w:ilvl w:val="0"/>
          <w:numId w:val="1"/>
        </w:numPr>
        <w:spacing w:before="40" w:after="40"/>
      </w:pPr>
      <w:r>
        <w:rPr>
          <w:sz w:val="22"/>
          <w:szCs w:val="22"/>
        </w:rPr>
        <w:t>g_k ≥ 0  —  the active gap associated with consecutive satellite pair k. This variable equals the inter-contact gap for pair k if both windows are scheduled, and zero otherwise. There are 260 such variables (one for each consecutive pair of windows for each satellite).</w:t>
      </w:r>
    </w:p>
    <w:p w14:paraId="05E63597">
      <w:pPr>
        <w:pStyle w:val="16"/>
        <w:numPr>
          <w:ilvl w:val="0"/>
          <w:numId w:val="1"/>
        </w:numPr>
        <w:spacing w:before="40" w:after="40"/>
      </w:pPr>
      <w:r>
        <w:rPr>
          <w:sz w:val="22"/>
          <w:szCs w:val="22"/>
        </w:rPr>
        <w:t>G_max ≥ 0  —  the fleet-wide worst-case gap. This scalar is driven upward by the largest active g_k across all pairs. Minimising G_max in the objective minimises the worst gap across the entire constellation.</w:t>
      </w:r>
    </w:p>
    <w:p w14:paraId="58859309">
      <w:pPr>
        <w:spacing w:before="0" w:after="60"/>
      </w:pPr>
    </w:p>
    <w:p w14:paraId="7242ADE4">
      <w:pPr>
        <w:spacing w:before="60" w:after="120"/>
        <w:jc w:val="both"/>
      </w:pPr>
      <w:r>
        <w:rPr>
          <w:sz w:val="22"/>
          <w:szCs w:val="22"/>
        </w:rPr>
        <w:t>Total variables: 284 binary + 260 continuous gap + 1 continuous G_max = 545 variables.</w:t>
      </w:r>
    </w:p>
    <w:p w14:paraId="41BF3564">
      <w:pPr>
        <w:pStyle w:val="3"/>
        <w:spacing w:before="240" w:after="80"/>
      </w:pPr>
      <w:r>
        <w:t>3.2  Objective Function</w:t>
      </w:r>
    </w:p>
    <w:p w14:paraId="3FE3FB6D">
      <w:pPr>
        <w:spacing w:before="60" w:after="120"/>
        <w:jc w:val="both"/>
      </w:pPr>
      <w:r>
        <w:rPr>
          <w:sz w:val="22"/>
          <w:szCs w:val="22"/>
        </w:rPr>
        <w:t>The multi-objective problem is converted to a single scalar via weighted sum:</w:t>
      </w:r>
    </w:p>
    <w:p w14:paraId="4AA42E69">
      <w:pPr>
        <w:spacing w:before="0" w:after="40"/>
      </w:pPr>
    </w:p>
    <w:p w14:paraId="0035221B">
      <w:pPr>
        <w:spacing w:before="60" w:after="60"/>
      </w:pPr>
      <w:r>
        <w:rPr>
          <w:b/>
          <w:bCs/>
          <w:sz w:val="22"/>
          <w:szCs w:val="22"/>
        </w:rPr>
        <w:t xml:space="preserve">  Maximise:  </w:t>
      </w:r>
      <w:r>
        <w:rPr>
          <w:i/>
          <w:iCs/>
          <w:sz w:val="22"/>
          <w:szCs w:val="22"/>
        </w:rPr>
        <w:t>α × Σ(duration_i × x_i) / 100  −  β × G_max / 100</w:t>
      </w:r>
    </w:p>
    <w:p w14:paraId="2669B1A7">
      <w:pPr>
        <w:spacing w:before="0" w:after="40"/>
      </w:pPr>
    </w:p>
    <w:p w14:paraId="5E4D1AAF">
      <w:pPr>
        <w:spacing w:before="60" w:after="120"/>
        <w:jc w:val="both"/>
      </w:pPr>
      <w:r>
        <w:rPr>
          <w:sz w:val="22"/>
          <w:szCs w:val="22"/>
        </w:rPr>
        <w:t>The /100 scaling keeps the two terms numerically comparable (durations are in the 100–500 s range; G_max is in the 10,000–86,400 s range). The weights α = 1.0 and β = 2.0 encode the operator's priorities: gap minimisation is weighted twice as heavily as contact maximisation, reflecting the operational importance of maintaining regular contact across the fleet.</w:t>
      </w:r>
    </w:p>
    <w:p w14:paraId="59F1066C">
      <w:pPr>
        <w:spacing w:before="60" w:after="120"/>
        <w:jc w:val="both"/>
      </w:pPr>
      <w:r>
        <w:rPr>
          <w:sz w:val="22"/>
          <w:szCs w:val="22"/>
        </w:rPr>
        <w:t>The sign convention — positive contact term, negative gap penalty — means the objective is maximised by scheduling more contact time and minimising the worst-case gap simultaneously. These two objectives are not always aligned: scheduling an additional short contact window for one satellite may force the station to miss a longer window for another, potentially widening that other satellite's revisit gap. The weighted-sum formulation makes this trade-off explicit and resolves it in a principled way.</w:t>
      </w:r>
    </w:p>
    <w:p w14:paraId="2B9CD2EA">
      <w:pPr>
        <w:pStyle w:val="3"/>
        <w:spacing w:before="240" w:after="80"/>
      </w:pPr>
      <w:r>
        <w:t>3.3  Constraints</w:t>
      </w:r>
    </w:p>
    <w:p w14:paraId="10575932">
      <w:pPr>
        <w:pStyle w:val="4"/>
        <w:spacing w:before="200" w:after="60"/>
      </w:pPr>
      <w:r>
        <w:t>3.3.1  Station Exclusivity</w:t>
      </w:r>
    </w:p>
    <w:p w14:paraId="04A9C11A">
      <w:pPr>
        <w:spacing w:before="60" w:after="120"/>
        <w:jc w:val="both"/>
      </w:pPr>
      <w:r>
        <w:rPr>
          <w:sz w:val="22"/>
          <w:szCs w:val="22"/>
        </w:rPr>
        <w:t>Each ground station has a single antenna. If two candidate windows overlap in time and use the same station, at most one may be scheduled:</w:t>
      </w:r>
    </w:p>
    <w:p w14:paraId="6C430416">
      <w:pPr>
        <w:spacing w:before="0" w:after="40"/>
      </w:pPr>
    </w:p>
    <w:p w14:paraId="70576112">
      <w:pPr>
        <w:spacing w:before="60" w:after="60"/>
      </w:pPr>
      <w:r>
        <w:rPr>
          <w:i/>
          <w:iCs/>
          <w:sz w:val="22"/>
          <w:szCs w:val="22"/>
        </w:rPr>
        <w:t xml:space="preserve">  x_i + x_j  ≤  1     for each conflict pair (i, j)</w:t>
      </w:r>
    </w:p>
    <w:p w14:paraId="090291F0">
      <w:pPr>
        <w:spacing w:before="0" w:after="40"/>
      </w:pPr>
    </w:p>
    <w:p w14:paraId="638E2A64">
      <w:pPr>
        <w:spacing w:before="60" w:after="120"/>
        <w:jc w:val="both"/>
      </w:pPr>
      <w:r>
        <w:rPr>
          <w:sz w:val="22"/>
          <w:szCs w:val="22"/>
        </w:rPr>
        <w:t>A conflict pair is defined as two candidate windows at the same station whose time intervals overlap. For this scenario, only 5 such pairs exist across the 284 windows — the three active stations are geographically separated enough that simultaneous visibility events are rare.</w:t>
      </w:r>
    </w:p>
    <w:p w14:paraId="657CB069">
      <w:pPr>
        <w:pStyle w:val="4"/>
        <w:spacing w:before="200" w:after="60"/>
      </w:pPr>
      <w:r>
        <w:t>3.3.2  Gap Linearisation (Big-M Method)</w:t>
      </w:r>
    </w:p>
    <w:p w14:paraId="51805493">
      <w:pPr>
        <w:spacing w:before="60" w:after="120"/>
        <w:jc w:val="both"/>
      </w:pPr>
      <w:r>
        <w:rPr>
          <w:sz w:val="22"/>
          <w:szCs w:val="22"/>
        </w:rPr>
        <w:t>Encoding 'g_k equals the gap between windows i and j if both are scheduled, and zero otherwise' requires linearising a product of binary and continuous variables. The big-M method achieves this with three linear inequalities per consecutive pair (i, j) with inter-window gap gap_k:</w:t>
      </w:r>
    </w:p>
    <w:p w14:paraId="4D4F7C48">
      <w:pPr>
        <w:spacing w:before="0" w:after="40"/>
      </w:pPr>
    </w:p>
    <w:p w14:paraId="3D2573DE">
      <w:pPr>
        <w:spacing w:before="40" w:after="20"/>
      </w:pPr>
      <w:r>
        <w:rPr>
          <w:i/>
          <w:iCs/>
          <w:sz w:val="22"/>
          <w:szCs w:val="22"/>
        </w:rPr>
        <w:t xml:space="preserve">  g_k  ≥  gap_k × (x_i + x_j − 1)   [active only if both selected]</w:t>
      </w:r>
    </w:p>
    <w:p w14:paraId="3387613C">
      <w:pPr>
        <w:spacing w:before="20" w:after="20"/>
      </w:pPr>
      <w:r>
        <w:rPr>
          <w:i/>
          <w:iCs/>
          <w:sz w:val="22"/>
          <w:szCs w:val="22"/>
        </w:rPr>
        <w:t xml:space="preserve">  g_k  ≤  gap_k × x_i</w:t>
      </w:r>
    </w:p>
    <w:p w14:paraId="69315558">
      <w:pPr>
        <w:spacing w:before="20" w:after="60"/>
      </w:pPr>
      <w:r>
        <w:rPr>
          <w:i/>
          <w:iCs/>
          <w:sz w:val="22"/>
          <w:szCs w:val="22"/>
        </w:rPr>
        <w:t xml:space="preserve">  g_k  ≤  gap_k × x_j</w:t>
      </w:r>
    </w:p>
    <w:p w14:paraId="4E59CE03">
      <w:pPr>
        <w:spacing w:before="0" w:after="40"/>
      </w:pPr>
    </w:p>
    <w:p w14:paraId="58254F82">
      <w:pPr>
        <w:spacing w:before="60" w:after="120"/>
        <w:jc w:val="both"/>
      </w:pPr>
      <w:r>
        <w:rPr>
          <w:sz w:val="22"/>
          <w:szCs w:val="22"/>
        </w:rPr>
        <w:t>The first constraint activates g_k (forces it to equal gap_k) only when both flanking windows are selected (x_i = 1 and x_j = 1). The second and third constraints zero out g_k if either flanking window is not selected, since in that case there is no 'gap between two scheduled contacts' — the satellite simply has a longer uncontacted period accounted for by the next consecutive pair. The big-M constant of 86,400 s (one day) bounds all gaps from above.</w:t>
      </w:r>
    </w:p>
    <w:p w14:paraId="1765A7AC">
      <w:pPr>
        <w:pStyle w:val="4"/>
        <w:spacing w:before="200" w:after="60"/>
      </w:pPr>
      <w:r>
        <w:t>3.3.3  G_max Tracking</w:t>
      </w:r>
    </w:p>
    <w:p w14:paraId="7E418C76">
      <w:pPr>
        <w:spacing w:before="60" w:after="120"/>
        <w:jc w:val="both"/>
      </w:pPr>
      <w:r>
        <w:rPr>
          <w:sz w:val="22"/>
          <w:szCs w:val="22"/>
        </w:rPr>
        <w:t>The fleet-wide worst-case gap is tracked by a simple set of inequality constraints, one per consecutive pair:</w:t>
      </w:r>
    </w:p>
    <w:p w14:paraId="102CDE27">
      <w:pPr>
        <w:spacing w:before="0" w:after="40"/>
      </w:pPr>
    </w:p>
    <w:p w14:paraId="39388024">
      <w:pPr>
        <w:spacing w:before="60" w:after="60"/>
      </w:pPr>
      <w:r>
        <w:rPr>
          <w:i/>
          <w:iCs/>
          <w:sz w:val="22"/>
          <w:szCs w:val="22"/>
        </w:rPr>
        <w:t xml:space="preserve">  G_max  ≥  g_k     for all k = 1 … 260</w:t>
      </w:r>
    </w:p>
    <w:p w14:paraId="1D708666">
      <w:pPr>
        <w:spacing w:before="0" w:after="40"/>
      </w:pPr>
    </w:p>
    <w:p w14:paraId="5EBB08C5">
      <w:pPr>
        <w:spacing w:before="60" w:after="120"/>
        <w:jc w:val="both"/>
      </w:pPr>
      <w:r>
        <w:rPr>
          <w:sz w:val="22"/>
          <w:szCs w:val="22"/>
        </w:rPr>
        <w:t>Combined with the − β × G_max term in the objective, these constraints force the solver to minimise the largest active gap across the fleet. G_max can only be minimised by selecting windows that reduce the worst gap, which in turn requires considering all 24 satellites' contact sequences simultaneously.</w:t>
      </w:r>
    </w:p>
    <w:p w14:paraId="3FA41152">
      <w:r>
        <w:br w:type="page"/>
      </w:r>
    </w:p>
    <w:p w14:paraId="4792CA6F">
      <w:pPr>
        <w:pStyle w:val="2"/>
        <w:spacing w:before="320" w:after="120"/>
      </w:pPr>
      <w:r>
        <w:t>4. Implementation</w:t>
      </w:r>
    </w:p>
    <w:p w14:paraId="46F866FB">
      <w:pPr>
        <w:pStyle w:val="3"/>
        <w:spacing w:before="240" w:after="80"/>
      </w:pPr>
      <w:r>
        <w:t>4.1  Software Stack</w:t>
      </w:r>
    </w:p>
    <w:p w14:paraId="550661EC">
      <w:pPr>
        <w:spacing w:before="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2400"/>
        <w:gridCol w:w="3800"/>
      </w:tblGrid>
      <w:tr w14:paraId="58AA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60" w:type="dxa"/>
              <w:left w:w="80" w:type="dxa"/>
              <w:bottom w:w="60" w:type="dxa"/>
              <w:right w:w="80" w:type="dxa"/>
            </w:tcMar>
          </w:tcPr>
          <w:p w14:paraId="3D298686">
            <w:pPr>
              <w:spacing w:before="60" w:after="60"/>
              <w:jc w:val="center"/>
            </w:pPr>
            <w:r>
              <w:rPr>
                <w:b/>
                <w:bCs/>
                <w:color w:val="FFFFFF"/>
                <w:sz w:val="20"/>
                <w:szCs w:val="20"/>
              </w:rPr>
              <w:t>Component</w:t>
            </w:r>
          </w:p>
        </w:tc>
        <w:tc>
          <w:tcPr>
            <w:tcW w:w="2400" w:type="dxa"/>
            <w:shd w:val="clear" w:color="auto" w:fill="1F3864"/>
            <w:tcMar>
              <w:top w:w="60" w:type="dxa"/>
              <w:left w:w="80" w:type="dxa"/>
              <w:bottom w:w="60" w:type="dxa"/>
              <w:right w:w="80" w:type="dxa"/>
            </w:tcMar>
          </w:tcPr>
          <w:p w14:paraId="67DC7510">
            <w:pPr>
              <w:spacing w:before="60" w:after="60"/>
              <w:jc w:val="center"/>
            </w:pPr>
            <w:r>
              <w:rPr>
                <w:b/>
                <w:bCs/>
                <w:color w:val="FFFFFF"/>
                <w:sz w:val="20"/>
                <w:szCs w:val="20"/>
              </w:rPr>
              <w:t>Version / Detail</w:t>
            </w:r>
          </w:p>
        </w:tc>
        <w:tc>
          <w:tcPr>
            <w:tcW w:w="3800" w:type="dxa"/>
            <w:shd w:val="clear" w:color="auto" w:fill="1F3864"/>
            <w:tcMar>
              <w:top w:w="60" w:type="dxa"/>
              <w:left w:w="80" w:type="dxa"/>
              <w:bottom w:w="60" w:type="dxa"/>
              <w:right w:w="80" w:type="dxa"/>
            </w:tcMar>
          </w:tcPr>
          <w:p w14:paraId="65D72A7E">
            <w:pPr>
              <w:spacing w:before="60" w:after="60"/>
              <w:jc w:val="center"/>
            </w:pPr>
            <w:r>
              <w:rPr>
                <w:b/>
                <w:bCs/>
                <w:color w:val="FFFFFF"/>
                <w:sz w:val="20"/>
                <w:szCs w:val="20"/>
              </w:rPr>
              <w:t>Role</w:t>
            </w:r>
          </w:p>
        </w:tc>
      </w:tr>
      <w:tr w14:paraId="37D4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80" w:type="dxa"/>
              <w:bottom w:w="60" w:type="dxa"/>
              <w:right w:w="80" w:type="dxa"/>
            </w:tcMar>
          </w:tcPr>
          <w:p w14:paraId="5638A7D4">
            <w:pPr>
              <w:spacing w:before="40" w:after="40"/>
              <w:jc w:val="left"/>
            </w:pPr>
            <w:r>
              <w:rPr>
                <w:sz w:val="20"/>
                <w:szCs w:val="20"/>
              </w:rPr>
              <w:t>Python 3</w:t>
            </w:r>
          </w:p>
        </w:tc>
        <w:tc>
          <w:tcPr>
            <w:tcW w:w="2400" w:type="dxa"/>
            <w:tcMar>
              <w:top w:w="60" w:type="dxa"/>
              <w:left w:w="80" w:type="dxa"/>
              <w:bottom w:w="60" w:type="dxa"/>
              <w:right w:w="80" w:type="dxa"/>
            </w:tcMar>
          </w:tcPr>
          <w:p w14:paraId="13834A50">
            <w:pPr>
              <w:spacing w:before="40" w:after="40"/>
              <w:jc w:val="left"/>
            </w:pPr>
            <w:r>
              <w:rPr>
                <w:sz w:val="20"/>
                <w:szCs w:val="20"/>
              </w:rPr>
              <w:t>3.11+</w:t>
            </w:r>
          </w:p>
        </w:tc>
        <w:tc>
          <w:tcPr>
            <w:tcW w:w="3800" w:type="dxa"/>
            <w:tcMar>
              <w:top w:w="60" w:type="dxa"/>
              <w:left w:w="80" w:type="dxa"/>
              <w:bottom w:w="60" w:type="dxa"/>
              <w:right w:w="80" w:type="dxa"/>
            </w:tcMar>
          </w:tcPr>
          <w:p w14:paraId="4F23B49E">
            <w:pPr>
              <w:spacing w:before="40" w:after="40"/>
              <w:jc w:val="left"/>
            </w:pPr>
            <w:r>
              <w:rPr>
                <w:sz w:val="20"/>
                <w:szCs w:val="20"/>
              </w:rPr>
              <w:t>Scripting language</w:t>
            </w:r>
          </w:p>
        </w:tc>
      </w:tr>
      <w:tr w14:paraId="222E9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5FA"/>
            <w:tcMar>
              <w:top w:w="60" w:type="dxa"/>
              <w:left w:w="80" w:type="dxa"/>
              <w:bottom w:w="60" w:type="dxa"/>
              <w:right w:w="80" w:type="dxa"/>
            </w:tcMar>
          </w:tcPr>
          <w:p w14:paraId="07C27702">
            <w:pPr>
              <w:spacing w:before="40" w:after="40"/>
              <w:jc w:val="left"/>
            </w:pPr>
            <w:r>
              <w:rPr>
                <w:sz w:val="20"/>
                <w:szCs w:val="20"/>
              </w:rPr>
              <w:t>PuLP</w:t>
            </w:r>
          </w:p>
        </w:tc>
        <w:tc>
          <w:tcPr>
            <w:tcW w:w="2400" w:type="dxa"/>
            <w:shd w:val="clear" w:color="auto" w:fill="F2F5FA"/>
            <w:tcMar>
              <w:top w:w="60" w:type="dxa"/>
              <w:left w:w="80" w:type="dxa"/>
              <w:bottom w:w="60" w:type="dxa"/>
              <w:right w:w="80" w:type="dxa"/>
            </w:tcMar>
          </w:tcPr>
          <w:p w14:paraId="2AA69409">
            <w:pPr>
              <w:spacing w:before="40" w:after="40"/>
              <w:jc w:val="left"/>
            </w:pPr>
            <w:r>
              <w:rPr>
                <w:sz w:val="20"/>
                <w:szCs w:val="20"/>
              </w:rPr>
              <w:t>4.x (breaking API vs. 3.x)</w:t>
            </w:r>
          </w:p>
        </w:tc>
        <w:tc>
          <w:tcPr>
            <w:tcW w:w="3800" w:type="dxa"/>
            <w:shd w:val="clear" w:color="auto" w:fill="F2F5FA"/>
            <w:tcMar>
              <w:top w:w="60" w:type="dxa"/>
              <w:left w:w="80" w:type="dxa"/>
              <w:bottom w:w="60" w:type="dxa"/>
              <w:right w:w="80" w:type="dxa"/>
            </w:tcMar>
          </w:tcPr>
          <w:p w14:paraId="16FCD948">
            <w:pPr>
              <w:spacing w:before="40" w:after="40"/>
              <w:jc w:val="left"/>
            </w:pPr>
            <w:r>
              <w:rPr>
                <w:sz w:val="20"/>
                <w:szCs w:val="20"/>
              </w:rPr>
              <w:t>ILP modelling layer</w:t>
            </w:r>
          </w:p>
        </w:tc>
      </w:tr>
      <w:tr w14:paraId="6E4C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80" w:type="dxa"/>
              <w:bottom w:w="60" w:type="dxa"/>
              <w:right w:w="80" w:type="dxa"/>
            </w:tcMar>
          </w:tcPr>
          <w:p w14:paraId="73F43AC8">
            <w:pPr>
              <w:spacing w:before="40" w:after="40"/>
              <w:jc w:val="left"/>
            </w:pPr>
            <w:r>
              <w:rPr>
                <w:sz w:val="20"/>
                <w:szCs w:val="20"/>
              </w:rPr>
              <w:t>HiGHS</w:t>
            </w:r>
          </w:p>
        </w:tc>
        <w:tc>
          <w:tcPr>
            <w:tcW w:w="2400" w:type="dxa"/>
            <w:tcMar>
              <w:top w:w="60" w:type="dxa"/>
              <w:left w:w="80" w:type="dxa"/>
              <w:bottom w:w="60" w:type="dxa"/>
              <w:right w:w="80" w:type="dxa"/>
            </w:tcMar>
          </w:tcPr>
          <w:p w14:paraId="3EA27AEC">
            <w:pPr>
              <w:spacing w:before="40" w:after="40"/>
              <w:jc w:val="left"/>
            </w:pPr>
            <w:r>
              <w:rPr>
                <w:sz w:val="20"/>
                <w:szCs w:val="20"/>
              </w:rPr>
              <w:t>via pulp.HiGHS()</w:t>
            </w:r>
          </w:p>
        </w:tc>
        <w:tc>
          <w:tcPr>
            <w:tcW w:w="3800" w:type="dxa"/>
            <w:tcMar>
              <w:top w:w="60" w:type="dxa"/>
              <w:left w:w="80" w:type="dxa"/>
              <w:bottom w:w="60" w:type="dxa"/>
              <w:right w:w="80" w:type="dxa"/>
            </w:tcMar>
          </w:tcPr>
          <w:p w14:paraId="04C700FC">
            <w:pPr>
              <w:spacing w:before="40" w:after="40"/>
              <w:jc w:val="left"/>
            </w:pPr>
            <w:r>
              <w:rPr>
                <w:sz w:val="20"/>
                <w:szCs w:val="20"/>
              </w:rPr>
              <w:t>MILP solver (open-source, state-of-the-art)</w:t>
            </w:r>
          </w:p>
        </w:tc>
      </w:tr>
      <w:tr w14:paraId="3214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5FA"/>
            <w:tcMar>
              <w:top w:w="60" w:type="dxa"/>
              <w:left w:w="80" w:type="dxa"/>
              <w:bottom w:w="60" w:type="dxa"/>
              <w:right w:w="80" w:type="dxa"/>
            </w:tcMar>
          </w:tcPr>
          <w:p w14:paraId="528D969D">
            <w:pPr>
              <w:spacing w:before="40" w:after="40"/>
              <w:jc w:val="left"/>
            </w:pPr>
            <w:r>
              <w:rPr>
                <w:sz w:val="20"/>
                <w:szCs w:val="20"/>
              </w:rPr>
              <w:t>NumPy</w:t>
            </w:r>
          </w:p>
        </w:tc>
        <w:tc>
          <w:tcPr>
            <w:tcW w:w="2400" w:type="dxa"/>
            <w:shd w:val="clear" w:color="auto" w:fill="F2F5FA"/>
            <w:tcMar>
              <w:top w:w="60" w:type="dxa"/>
              <w:left w:w="80" w:type="dxa"/>
              <w:bottom w:w="60" w:type="dxa"/>
              <w:right w:w="80" w:type="dxa"/>
            </w:tcMar>
          </w:tcPr>
          <w:p w14:paraId="6EB43C2B">
            <w:pPr>
              <w:spacing w:before="40" w:after="40"/>
              <w:jc w:val="left"/>
            </w:pPr>
            <w:r>
              <w:rPr>
                <w:sz w:val="20"/>
                <w:szCs w:val="20"/>
              </w:rPr>
              <w:t>1.26+</w:t>
            </w:r>
          </w:p>
        </w:tc>
        <w:tc>
          <w:tcPr>
            <w:tcW w:w="3800" w:type="dxa"/>
            <w:shd w:val="clear" w:color="auto" w:fill="F2F5FA"/>
            <w:tcMar>
              <w:top w:w="60" w:type="dxa"/>
              <w:left w:w="80" w:type="dxa"/>
              <w:bottom w:w="60" w:type="dxa"/>
              <w:right w:w="80" w:type="dxa"/>
            </w:tcMar>
          </w:tcPr>
          <w:p w14:paraId="3D1973A3">
            <w:pPr>
              <w:spacing w:before="40" w:after="40"/>
              <w:jc w:val="left"/>
            </w:pPr>
            <w:r>
              <w:rPr>
                <w:sz w:val="20"/>
                <w:szCs w:val="20"/>
              </w:rPr>
              <w:t>Statistics (mean, min, max of results)</w:t>
            </w:r>
          </w:p>
        </w:tc>
      </w:tr>
      <w:tr w14:paraId="5B90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60" w:type="dxa"/>
              <w:left w:w="80" w:type="dxa"/>
              <w:bottom w:w="60" w:type="dxa"/>
              <w:right w:w="80" w:type="dxa"/>
            </w:tcMar>
          </w:tcPr>
          <w:p w14:paraId="5E136042">
            <w:pPr>
              <w:spacing w:before="40" w:after="40"/>
              <w:jc w:val="left"/>
            </w:pPr>
            <w:r>
              <w:rPr>
                <w:sz w:val="20"/>
                <w:szCs w:val="20"/>
              </w:rPr>
              <w:t>Matplotlib</w:t>
            </w:r>
          </w:p>
        </w:tc>
        <w:tc>
          <w:tcPr>
            <w:tcW w:w="2400" w:type="dxa"/>
            <w:tcMar>
              <w:top w:w="60" w:type="dxa"/>
              <w:left w:w="80" w:type="dxa"/>
              <w:bottom w:w="60" w:type="dxa"/>
              <w:right w:w="80" w:type="dxa"/>
            </w:tcMar>
          </w:tcPr>
          <w:p w14:paraId="07BE3CD9">
            <w:pPr>
              <w:spacing w:before="40" w:after="40"/>
              <w:jc w:val="left"/>
            </w:pPr>
            <w:r>
              <w:rPr>
                <w:sz w:val="20"/>
                <w:szCs w:val="20"/>
              </w:rPr>
              <w:t>3.8+</w:t>
            </w:r>
          </w:p>
        </w:tc>
        <w:tc>
          <w:tcPr>
            <w:tcW w:w="3800" w:type="dxa"/>
            <w:tcMar>
              <w:top w:w="60" w:type="dxa"/>
              <w:left w:w="80" w:type="dxa"/>
              <w:bottom w:w="60" w:type="dxa"/>
              <w:right w:w="80" w:type="dxa"/>
            </w:tcMar>
          </w:tcPr>
          <w:p w14:paraId="24D2FE4A">
            <w:pPr>
              <w:spacing w:before="40" w:after="40"/>
              <w:jc w:val="left"/>
            </w:pPr>
            <w:r>
              <w:rPr>
                <w:sz w:val="20"/>
                <w:szCs w:val="20"/>
              </w:rPr>
              <w:t>Gantt chart generation</w:t>
            </w:r>
          </w:p>
        </w:tc>
      </w:tr>
      <w:tr w14:paraId="0BCF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2F5FA"/>
            <w:tcMar>
              <w:top w:w="60" w:type="dxa"/>
              <w:left w:w="80" w:type="dxa"/>
              <w:bottom w:w="60" w:type="dxa"/>
              <w:right w:w="80" w:type="dxa"/>
            </w:tcMar>
          </w:tcPr>
          <w:p w14:paraId="3AD52C86">
            <w:pPr>
              <w:spacing w:before="40" w:after="40"/>
              <w:jc w:val="left"/>
            </w:pPr>
            <w:r>
              <w:rPr>
                <w:sz w:val="20"/>
                <w:szCs w:val="20"/>
              </w:rPr>
              <w:t>GMAT R2022a</w:t>
            </w:r>
          </w:p>
        </w:tc>
        <w:tc>
          <w:tcPr>
            <w:tcW w:w="2400" w:type="dxa"/>
            <w:shd w:val="clear" w:color="auto" w:fill="F2F5FA"/>
            <w:tcMar>
              <w:top w:w="60" w:type="dxa"/>
              <w:left w:w="80" w:type="dxa"/>
              <w:bottom w:w="60" w:type="dxa"/>
              <w:right w:w="80" w:type="dxa"/>
            </w:tcMar>
          </w:tcPr>
          <w:p w14:paraId="136F1E3B">
            <w:pPr>
              <w:spacing w:before="40" w:after="40"/>
              <w:jc w:val="left"/>
            </w:pPr>
            <w:r>
              <w:rPr>
                <w:sz w:val="20"/>
                <w:szCs w:val="20"/>
              </w:rPr>
              <w:t>—</w:t>
            </w:r>
          </w:p>
        </w:tc>
        <w:tc>
          <w:tcPr>
            <w:tcW w:w="3800" w:type="dxa"/>
            <w:shd w:val="clear" w:color="auto" w:fill="F2F5FA"/>
            <w:tcMar>
              <w:top w:w="60" w:type="dxa"/>
              <w:left w:w="80" w:type="dxa"/>
              <w:bottom w:w="60" w:type="dxa"/>
              <w:right w:w="80" w:type="dxa"/>
            </w:tcMar>
          </w:tcPr>
          <w:p w14:paraId="6E007D34">
            <w:pPr>
              <w:spacing w:before="40" w:after="40"/>
              <w:jc w:val="left"/>
            </w:pPr>
            <w:r>
              <w:rPr>
                <w:sz w:val="20"/>
                <w:szCs w:val="20"/>
              </w:rPr>
              <w:t>Source of contact window data (this scenario — 11_ilp_contact_data.script generates output_sc11\)</w:t>
            </w:r>
          </w:p>
        </w:tc>
      </w:tr>
    </w:tbl>
    <w:p w14:paraId="18555D88">
      <w:pPr>
        <w:spacing w:before="0" w:after="120"/>
      </w:pPr>
    </w:p>
    <w:p w14:paraId="5A5F3BAB">
      <w:pPr>
        <w:pStyle w:val="3"/>
        <w:spacing w:before="240" w:after="80"/>
      </w:pPr>
      <w:r>
        <w:t>4.2  PuLP 4.x API Migration</w:t>
      </w:r>
    </w:p>
    <w:p w14:paraId="731C9D8D">
      <w:pPr>
        <w:spacing w:before="60" w:after="120"/>
        <w:jc w:val="both"/>
      </w:pPr>
      <w:r>
        <w:rPr>
          <w:sz w:val="22"/>
          <w:szCs w:val="22"/>
        </w:rPr>
        <w:t>PuLP 4.x introduced a breaking API redesign relative to PuLP 3.x. The key changes affecting this implementation are:</w:t>
      </w:r>
    </w:p>
    <w:p w14:paraId="762B3DBD">
      <w:pPr>
        <w:pStyle w:val="16"/>
        <w:numPr>
          <w:ilvl w:val="0"/>
          <w:numId w:val="1"/>
        </w:numPr>
        <w:spacing w:before="40" w:after="40"/>
      </w:pPr>
      <w:r>
        <w:rPr>
          <w:sz w:val="22"/>
          <w:szCs w:val="22"/>
        </w:rPr>
        <w:t>Variables must be created via prob.add_variable(name, cat='Binary') — the standalone LpVariable(name, cat=LpBinary) constructor no longer accepts a cat keyword argument.</w:t>
      </w:r>
    </w:p>
    <w:p w14:paraId="11DDEFAE">
      <w:pPr>
        <w:pStyle w:val="16"/>
        <w:numPr>
          <w:ilvl w:val="0"/>
          <w:numId w:val="1"/>
        </w:numPr>
        <w:spacing w:before="40" w:after="40"/>
      </w:pPr>
      <w:r>
        <w:rPr>
          <w:sz w:val="22"/>
          <w:szCs w:val="22"/>
        </w:rPr>
        <w:t>The LpStatus enum was removed. Solver status is accessed via the LpSolveStats object returned by prob.solve(): result = prob.solve(solver); status = result.status_str.</w:t>
      </w:r>
    </w:p>
    <w:p w14:paraId="339CB981">
      <w:pPr>
        <w:pStyle w:val="16"/>
        <w:numPr>
          <w:ilvl w:val="0"/>
          <w:numId w:val="1"/>
        </w:numPr>
        <w:spacing w:before="40" w:after="40"/>
      </w:pPr>
      <w:r>
        <w:rPr>
          <w:sz w:val="22"/>
          <w:szCs w:val="22"/>
        </w:rPr>
        <w:t>PULP_CBC_CMD was removed. The only available solver is HiGHS: solver = pulp.HiGHS(msg=False, timeLimit=120).</w:t>
      </w:r>
    </w:p>
    <w:p w14:paraId="4BB3F687">
      <w:pPr>
        <w:pStyle w:val="16"/>
        <w:numPr>
          <w:ilvl w:val="0"/>
          <w:numId w:val="1"/>
        </w:numPr>
        <w:spacing w:before="40" w:after="40"/>
      </w:pPr>
      <w:r>
        <w:rPr>
          <w:sz w:val="22"/>
          <w:szCs w:val="22"/>
        </w:rPr>
        <w:t>prob.status no longer exists as an attribute. All status information is on the result object.</w:t>
      </w:r>
    </w:p>
    <w:p w14:paraId="77D80806">
      <w:pPr>
        <w:spacing w:before="60" w:after="120"/>
        <w:jc w:val="both"/>
      </w:pPr>
      <w:r>
        <w:rPr>
          <w:sz w:val="22"/>
          <w:szCs w:val="22"/>
        </w:rPr>
        <w:t>These changes were diagnosed iteratively by running minimal test scripts against PuLP 4.x and observing the resulting AttributeError and TypeError messages. The final implementation uses exclusively PuLP 4.x idioms.</w:t>
      </w:r>
    </w:p>
    <w:p w14:paraId="596D0231">
      <w:pPr>
        <w:pStyle w:val="3"/>
        <w:spacing w:before="240" w:after="80"/>
      </w:pPr>
      <w:r>
        <w:t>4.3  Contact File Parsing</w:t>
      </w:r>
    </w:p>
    <w:p w14:paraId="753356E1">
      <w:pPr>
        <w:spacing w:before="60" w:after="120"/>
        <w:jc w:val="both"/>
      </w:pPr>
      <w:r>
        <w:rPr>
          <w:sz w:val="22"/>
          <w:szCs w:val="22"/>
        </w:rPr>
        <w:t>The 24 GMAT contact report files (Contact_A1.txt through Contact_C8.txt) use a structured text format: a Target: line names the satellite, an Observer: line names the station, and data rows each contain a start datetime, stop datetime, and duration in seconds. The parser filters to the three active stations (London, Nairobi, Lagos), skipping Tromso entries, and returns a flat list of window dictionaries sorted by start time.</w:t>
      </w:r>
    </w:p>
    <w:p w14:paraId="3E57D05E">
      <w:pPr>
        <w:pStyle w:val="3"/>
        <w:spacing w:before="240" w:after="80"/>
      </w:pPr>
      <w:r>
        <w:t>4.4  Conflict Detection</w:t>
      </w:r>
    </w:p>
    <w:p w14:paraId="0A96ED48">
      <w:pPr>
        <w:spacing w:before="60" w:after="120"/>
        <w:jc w:val="both"/>
      </w:pPr>
      <w:r>
        <w:rPr>
          <w:sz w:val="22"/>
          <w:szCs w:val="22"/>
        </w:rPr>
        <w:t>Conflicts are detected by grouping windows by station and checking all pairs within each station group for time-interval overlap. Two windows [s1, e1) and [s2, e2) overlap if and only if s1 &lt; e2 and s2 &lt; e1. For this scenario, 5 conflict pairs were found — a very low number, reflecting the good separation between satellites' visible periods from the three geographically-distinct stations.</w:t>
      </w:r>
    </w:p>
    <w:p w14:paraId="0707C55D">
      <w:pPr>
        <w:pStyle w:val="3"/>
        <w:spacing w:before="240" w:after="80"/>
      </w:pPr>
    </w:p>
    <w:p w14:paraId="61EAF6C5">
      <w:pPr>
        <w:pStyle w:val="3"/>
        <w:spacing w:before="240" w:after="80"/>
      </w:pPr>
      <w:r>
        <w:t>4.5  Gap Structure Construction</w:t>
      </w:r>
    </w:p>
    <w:p w14:paraId="647C0ED0">
      <w:pPr>
        <w:spacing w:before="60" w:after="120"/>
        <w:jc w:val="both"/>
      </w:pPr>
      <w:r>
        <w:rPr>
          <w:sz w:val="22"/>
          <w:szCs w:val="22"/>
        </w:rPr>
        <w:t>For each satellite, its windows are sorted by start time and consecutive pairs (i, j) are identified. The gap between window i (stop time t_i_stop) and window j (start time t_j_start) is gap_k = t_j_start − t_i_stop in seconds. If this value is negative (overlapping windows for the same satellite — theoretically impossible but guarded against), it is clamped to zero. Across 24 satellites with varying numbers of passes, 260 consecutive pairs were identified.</w:t>
      </w:r>
    </w:p>
    <w:p w14:paraId="0ABC6EBA">
      <w:pPr>
        <w:pStyle w:val="2"/>
        <w:spacing w:before="320" w:after="120"/>
      </w:pPr>
      <w:r>
        <w:t>5. Results</w:t>
      </w:r>
    </w:p>
    <w:p w14:paraId="1B6EC980">
      <w:pPr>
        <w:pStyle w:val="3"/>
        <w:spacing w:before="240" w:after="80"/>
      </w:pPr>
      <w:r>
        <w:t>5.1  Solver Performance</w:t>
      </w:r>
    </w:p>
    <w:p w14:paraId="6DC33321">
      <w:pPr>
        <w:spacing w:before="60" w:after="120"/>
        <w:jc w:val="both"/>
      </w:pPr>
      <w:r>
        <w:rPr>
          <w:sz w:val="22"/>
          <w:szCs w:val="22"/>
        </w:rPr>
        <w:t>HiGHS solved the 545-variable mixed-integer program to proven optimality. The solver reported status Optimal — meaning no feasible solution exists with a higher objective value than the one found. The solve completes in under one second, well within the 120-second time limit. The objective value at optimality is 945.51 (in the scaled units of the objective function).</w:t>
      </w:r>
    </w:p>
    <w:p w14:paraId="5F680279">
      <w:pPr>
        <w:spacing w:before="60" w:after="120"/>
        <w:jc w:val="both"/>
      </w:pPr>
      <w:r>
        <w:rPr>
          <w:sz w:val="22"/>
          <w:szCs w:val="22"/>
        </w:rPr>
        <w:t>The fast convergence reflects the problem's structure: the LP relaxation (all binary variables replaced by continuous variables in [0,1]) is very tight, because the station-conflict graph is sparse. With only 5 conflict pairs among 284 windows, most binary variables can take their natural LP values of 0 or 1 without fractional relaxation, and only a tiny branch-and-bound tree is needed to certify integrality.</w:t>
      </w:r>
    </w:p>
    <w:p w14:paraId="6F20C270">
      <w:pPr>
        <w:pStyle w:val="3"/>
        <w:spacing w:before="240" w:after="80"/>
      </w:pPr>
      <w:bookmarkStart w:id="0" w:name="_GoBack"/>
      <w:r>
        <w:t>5.2  Scheduled Contact Windows</w:t>
      </w:r>
    </w:p>
    <w:p w14:paraId="41C9D3EA">
      <w:pPr>
        <w:spacing w:before="60" w:after="120"/>
        <w:jc w:val="both"/>
      </w:pPr>
      <w:r>
        <w:rPr>
          <w:sz w:val="22"/>
          <w:szCs w:val="22"/>
        </w:rPr>
        <w:t>The ILP scheduled 259 of the 284 candidate windows (91.2%). Of the 25 unscheduled windows, 5 are station-conflict casualties: in each of the 5 overlapping London pairs, the ILP selected the window with the higher contribution to the objective and excluded the other. The remaining 20 unscheduled windows involve no conflict — they were withheld by the solver as deliberate trade-offs to minimise G_max. Scheduling those windows would have extended the idle period for at least one other satellite in the fleet, worsening the worst-case revisit gap. The solver correctly balanced contact coverage against revisit fairness rather than maximising scheduled windows alone.</w:t>
      </w:r>
    </w:p>
    <w:p w14:paraId="5D983B61">
      <w:pPr>
        <w:spacing w:before="60" w:after="120"/>
        <w:jc w:val="both"/>
      </w:pPr>
      <w:r>
        <w:rPr>
          <w:sz w:val="22"/>
          <w:szCs w:val="22"/>
        </w:rPr>
        <w:t>The chronological schedule shows dense, interleaved usage of all three stations throughout the 24-hour simulation window, with Plane A satellites primarily served by London, Plane B satellites primarily served by Lagos, and Plane C satellites distributed across all three stations.</w:t>
      </w:r>
    </w:p>
    <w:bookmarkEnd w:id="0"/>
    <w:p w14:paraId="32BE0BC4">
      <w:pPr>
        <w:pStyle w:val="3"/>
        <w:spacing w:before="240" w:after="80"/>
      </w:pPr>
      <w:r>
        <w:t>5.3  Fleet-Level Contact Statistics</w:t>
      </w:r>
    </w:p>
    <w:p w14:paraId="4E708C04">
      <w:pPr>
        <w:spacing w:before="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0"/>
        <w:gridCol w:w="4000"/>
      </w:tblGrid>
      <w:tr w14:paraId="1F4A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Mar>
              <w:top w:w="60" w:type="dxa"/>
              <w:left w:w="80" w:type="dxa"/>
              <w:bottom w:w="60" w:type="dxa"/>
              <w:right w:w="80" w:type="dxa"/>
            </w:tcMar>
          </w:tcPr>
          <w:p w14:paraId="4AA35D09">
            <w:pPr>
              <w:spacing w:before="60" w:after="60"/>
              <w:jc w:val="center"/>
            </w:pPr>
            <w:r>
              <w:rPr>
                <w:b/>
                <w:bCs/>
                <w:color w:val="FFFFFF"/>
                <w:sz w:val="20"/>
                <w:szCs w:val="20"/>
              </w:rPr>
              <w:t>Statistic</w:t>
            </w:r>
          </w:p>
        </w:tc>
        <w:tc>
          <w:tcPr>
            <w:tcW w:w="4000" w:type="dxa"/>
            <w:shd w:val="clear" w:color="auto" w:fill="1F3864"/>
            <w:tcMar>
              <w:top w:w="60" w:type="dxa"/>
              <w:left w:w="80" w:type="dxa"/>
              <w:bottom w:w="60" w:type="dxa"/>
              <w:right w:w="80" w:type="dxa"/>
            </w:tcMar>
          </w:tcPr>
          <w:p w14:paraId="5C8B4484">
            <w:pPr>
              <w:spacing w:before="60" w:after="60"/>
              <w:jc w:val="center"/>
            </w:pPr>
            <w:r>
              <w:rPr>
                <w:b/>
                <w:bCs/>
                <w:color w:val="FFFFFF"/>
                <w:sz w:val="20"/>
                <w:szCs w:val="20"/>
              </w:rPr>
              <w:t>Value</w:t>
            </w:r>
          </w:p>
        </w:tc>
      </w:tr>
      <w:tr w14:paraId="2367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60" w:type="dxa"/>
              <w:left w:w="80" w:type="dxa"/>
              <w:bottom w:w="60" w:type="dxa"/>
              <w:right w:w="80" w:type="dxa"/>
            </w:tcMar>
          </w:tcPr>
          <w:p w14:paraId="47AF465F">
            <w:pPr>
              <w:spacing w:before="40" w:after="40"/>
              <w:jc w:val="left"/>
            </w:pPr>
            <w:r>
              <w:rPr>
                <w:sz w:val="20"/>
                <w:szCs w:val="20"/>
              </w:rPr>
              <w:t>Total scheduled contact time</w:t>
            </w:r>
          </w:p>
        </w:tc>
        <w:tc>
          <w:tcPr>
            <w:tcW w:w="4000" w:type="dxa"/>
            <w:tcMar>
              <w:top w:w="60" w:type="dxa"/>
              <w:left w:w="80" w:type="dxa"/>
              <w:bottom w:w="60" w:type="dxa"/>
              <w:right w:w="80" w:type="dxa"/>
            </w:tcMar>
          </w:tcPr>
          <w:p w14:paraId="5ED26A01">
            <w:pPr>
              <w:spacing w:before="40" w:after="40"/>
              <w:jc w:val="left"/>
            </w:pPr>
            <w:r>
              <w:rPr>
                <w:sz w:val="20"/>
                <w:szCs w:val="20"/>
              </w:rPr>
              <w:t>106,463.8 s  (29.57 h)</w:t>
            </w:r>
          </w:p>
        </w:tc>
      </w:tr>
      <w:tr w14:paraId="37C14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5FA"/>
            <w:tcMar>
              <w:top w:w="60" w:type="dxa"/>
              <w:left w:w="80" w:type="dxa"/>
              <w:bottom w:w="60" w:type="dxa"/>
              <w:right w:w="80" w:type="dxa"/>
            </w:tcMar>
          </w:tcPr>
          <w:p w14:paraId="5D0DE1AB">
            <w:pPr>
              <w:spacing w:before="40" w:after="40"/>
              <w:jc w:val="left"/>
            </w:pPr>
            <w:r>
              <w:rPr>
                <w:sz w:val="20"/>
                <w:szCs w:val="20"/>
              </w:rPr>
              <w:t>Worst-case revisit gap (fleet)</w:t>
            </w:r>
          </w:p>
        </w:tc>
        <w:tc>
          <w:tcPr>
            <w:tcW w:w="4000" w:type="dxa"/>
            <w:shd w:val="clear" w:color="auto" w:fill="F2F5FA"/>
            <w:tcMar>
              <w:top w:w="60" w:type="dxa"/>
              <w:left w:w="80" w:type="dxa"/>
              <w:bottom w:w="60" w:type="dxa"/>
              <w:right w:w="80" w:type="dxa"/>
            </w:tcMar>
          </w:tcPr>
          <w:p w14:paraId="3C7B7FA8">
            <w:pPr>
              <w:spacing w:before="40" w:after="40"/>
              <w:jc w:val="left"/>
            </w:pPr>
            <w:r>
              <w:rPr>
                <w:sz w:val="20"/>
                <w:szCs w:val="20"/>
              </w:rPr>
              <w:t>5,956.4 s  (1.65 h)</w:t>
            </w:r>
          </w:p>
        </w:tc>
      </w:tr>
      <w:tr w14:paraId="38F0C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60" w:type="dxa"/>
              <w:left w:w="80" w:type="dxa"/>
              <w:bottom w:w="60" w:type="dxa"/>
              <w:right w:w="80" w:type="dxa"/>
            </w:tcMar>
          </w:tcPr>
          <w:p w14:paraId="0EF4EF2F">
            <w:pPr>
              <w:spacing w:before="40" w:after="40"/>
              <w:jc w:val="left"/>
            </w:pPr>
            <w:r>
              <w:rPr>
                <w:sz w:val="20"/>
                <w:szCs w:val="20"/>
              </w:rPr>
              <w:t>Mean contact per satellite</w:t>
            </w:r>
          </w:p>
        </w:tc>
        <w:tc>
          <w:tcPr>
            <w:tcW w:w="4000" w:type="dxa"/>
            <w:tcMar>
              <w:top w:w="60" w:type="dxa"/>
              <w:left w:w="80" w:type="dxa"/>
              <w:bottom w:w="60" w:type="dxa"/>
              <w:right w:w="80" w:type="dxa"/>
            </w:tcMar>
          </w:tcPr>
          <w:p w14:paraId="4706E88F">
            <w:pPr>
              <w:spacing w:before="40" w:after="40"/>
              <w:jc w:val="left"/>
            </w:pPr>
            <w:r>
              <w:rPr>
                <w:sz w:val="20"/>
                <w:szCs w:val="20"/>
              </w:rPr>
              <w:t>4,436.0 s</w:t>
            </w:r>
          </w:p>
        </w:tc>
      </w:tr>
      <w:tr w14:paraId="332A6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5FA"/>
            <w:tcMar>
              <w:top w:w="60" w:type="dxa"/>
              <w:left w:w="80" w:type="dxa"/>
              <w:bottom w:w="60" w:type="dxa"/>
              <w:right w:w="80" w:type="dxa"/>
            </w:tcMar>
          </w:tcPr>
          <w:p w14:paraId="68AF80A0">
            <w:pPr>
              <w:spacing w:before="40" w:after="40"/>
              <w:jc w:val="left"/>
            </w:pPr>
            <w:r>
              <w:rPr>
                <w:sz w:val="20"/>
                <w:szCs w:val="20"/>
              </w:rPr>
              <w:t>Min contact per satellite</w:t>
            </w:r>
          </w:p>
        </w:tc>
        <w:tc>
          <w:tcPr>
            <w:tcW w:w="4000" w:type="dxa"/>
            <w:shd w:val="clear" w:color="auto" w:fill="F2F5FA"/>
            <w:tcMar>
              <w:top w:w="60" w:type="dxa"/>
              <w:left w:w="80" w:type="dxa"/>
              <w:bottom w:w="60" w:type="dxa"/>
              <w:right w:w="80" w:type="dxa"/>
            </w:tcMar>
          </w:tcPr>
          <w:p w14:paraId="573FF429">
            <w:pPr>
              <w:spacing w:before="40" w:after="40"/>
              <w:jc w:val="left"/>
            </w:pPr>
            <w:r>
              <w:rPr>
                <w:sz w:val="20"/>
                <w:szCs w:val="20"/>
              </w:rPr>
              <w:t>3,791.0 s</w:t>
            </w:r>
          </w:p>
        </w:tc>
      </w:tr>
      <w:tr w14:paraId="53E6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60" w:type="dxa"/>
              <w:left w:w="80" w:type="dxa"/>
              <w:bottom w:w="60" w:type="dxa"/>
              <w:right w:w="80" w:type="dxa"/>
            </w:tcMar>
          </w:tcPr>
          <w:p w14:paraId="037E18DF">
            <w:pPr>
              <w:spacing w:before="40" w:after="40"/>
              <w:jc w:val="left"/>
            </w:pPr>
            <w:r>
              <w:rPr>
                <w:sz w:val="20"/>
                <w:szCs w:val="20"/>
              </w:rPr>
              <w:t>Max contact per satellite</w:t>
            </w:r>
          </w:p>
        </w:tc>
        <w:tc>
          <w:tcPr>
            <w:tcW w:w="4000" w:type="dxa"/>
            <w:tcMar>
              <w:top w:w="60" w:type="dxa"/>
              <w:left w:w="80" w:type="dxa"/>
              <w:bottom w:w="60" w:type="dxa"/>
              <w:right w:w="80" w:type="dxa"/>
            </w:tcMar>
          </w:tcPr>
          <w:p w14:paraId="3488A0DF">
            <w:pPr>
              <w:spacing w:before="40" w:after="40"/>
              <w:jc w:val="left"/>
            </w:pPr>
            <w:r>
              <w:rPr>
                <w:sz w:val="20"/>
                <w:szCs w:val="20"/>
              </w:rPr>
              <w:t>5,029.6 s</w:t>
            </w:r>
          </w:p>
        </w:tc>
      </w:tr>
      <w:tr w14:paraId="43ECB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5FA"/>
            <w:tcMar>
              <w:top w:w="60" w:type="dxa"/>
              <w:left w:w="80" w:type="dxa"/>
              <w:bottom w:w="60" w:type="dxa"/>
              <w:right w:w="80" w:type="dxa"/>
            </w:tcMar>
          </w:tcPr>
          <w:p w14:paraId="79982416">
            <w:pPr>
              <w:spacing w:before="40" w:after="40"/>
              <w:jc w:val="left"/>
            </w:pPr>
            <w:r>
              <w:rPr>
                <w:sz w:val="20"/>
                <w:szCs w:val="20"/>
              </w:rPr>
              <w:t>Mean max-gap per satellite</w:t>
            </w:r>
          </w:p>
        </w:tc>
        <w:tc>
          <w:tcPr>
            <w:tcW w:w="4000" w:type="dxa"/>
            <w:shd w:val="clear" w:color="auto" w:fill="F2F5FA"/>
            <w:tcMar>
              <w:top w:w="60" w:type="dxa"/>
              <w:left w:w="80" w:type="dxa"/>
              <w:bottom w:w="60" w:type="dxa"/>
              <w:right w:w="80" w:type="dxa"/>
            </w:tcMar>
          </w:tcPr>
          <w:p w14:paraId="4AFFC01B">
            <w:pPr>
              <w:spacing w:before="40" w:after="40"/>
              <w:jc w:val="left"/>
            </w:pPr>
            <w:r>
              <w:rPr>
                <w:sz w:val="20"/>
                <w:szCs w:val="20"/>
              </w:rPr>
              <w:t>9.14 h</w:t>
            </w:r>
          </w:p>
        </w:tc>
      </w:tr>
      <w:tr w14:paraId="36C9D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60" w:type="dxa"/>
              <w:left w:w="80" w:type="dxa"/>
              <w:bottom w:w="60" w:type="dxa"/>
              <w:right w:w="80" w:type="dxa"/>
            </w:tcMar>
          </w:tcPr>
          <w:p w14:paraId="458FEF86">
            <w:pPr>
              <w:spacing w:before="40" w:after="40"/>
              <w:jc w:val="left"/>
            </w:pPr>
            <w:r>
              <w:rPr>
                <w:sz w:val="20"/>
                <w:szCs w:val="20"/>
              </w:rPr>
              <w:t>Worst max-gap per satellite (fleet)</w:t>
            </w:r>
          </w:p>
        </w:tc>
        <w:tc>
          <w:tcPr>
            <w:tcW w:w="4000" w:type="dxa"/>
            <w:tcMar>
              <w:top w:w="60" w:type="dxa"/>
              <w:left w:w="80" w:type="dxa"/>
              <w:bottom w:w="60" w:type="dxa"/>
              <w:right w:w="80" w:type="dxa"/>
            </w:tcMar>
          </w:tcPr>
          <w:p w14:paraId="37FC8FF2">
            <w:pPr>
              <w:spacing w:before="40" w:after="40"/>
              <w:jc w:val="left"/>
            </w:pPr>
            <w:r>
              <w:rPr>
                <w:sz w:val="20"/>
                <w:szCs w:val="20"/>
              </w:rPr>
              <w:t>11.49 h</w:t>
            </w:r>
          </w:p>
        </w:tc>
      </w:tr>
    </w:tbl>
    <w:p w14:paraId="5AF1FE8C">
      <w:pPr>
        <w:spacing w:before="0" w:after="120"/>
      </w:pPr>
    </w:p>
    <w:p w14:paraId="08EB55F4">
      <w:pPr>
        <w:spacing w:before="60" w:after="120"/>
        <w:jc w:val="both"/>
      </w:pPr>
      <w:r>
        <w:rPr>
          <w:sz w:val="22"/>
          <w:szCs w:val="22"/>
        </w:rPr>
        <w:t>The contact distribution is notably equitable: all 24 satellites receive between 3,791 s and 5,029 s of scheduled contact time — a spread of less than 1,240 s (21 minutes) across the fleet. This uniformity emerges from the Walker constellation's inherent symmetry and the ILP's gap-minimisation objective, which implicitly discourages 'hoarding' contact time on frequently-visible satellites at the expense of less-visible ones.</w:t>
      </w:r>
    </w:p>
    <w:p w14:paraId="6B15D702">
      <w:pPr>
        <w:pStyle w:val="3"/>
        <w:spacing w:before="240" w:after="80"/>
      </w:pPr>
      <w:r>
        <w:t>5.4  Ground Station Utilisation</w:t>
      </w:r>
    </w:p>
    <w:p w14:paraId="74CF26B7">
      <w:pPr>
        <w:spacing w:before="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1200"/>
        <w:gridCol w:w="2000"/>
        <w:gridCol w:w="1800"/>
        <w:gridCol w:w="1500"/>
      </w:tblGrid>
      <w:tr w14:paraId="72478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60" w:type="dxa"/>
              <w:left w:w="80" w:type="dxa"/>
              <w:bottom w:w="60" w:type="dxa"/>
              <w:right w:w="80" w:type="dxa"/>
            </w:tcMar>
          </w:tcPr>
          <w:p w14:paraId="62A9D195">
            <w:pPr>
              <w:spacing w:before="60" w:after="60"/>
              <w:jc w:val="center"/>
            </w:pPr>
            <w:r>
              <w:rPr>
                <w:b/>
                <w:bCs/>
                <w:color w:val="FFFFFF"/>
                <w:sz w:val="20"/>
                <w:szCs w:val="20"/>
              </w:rPr>
              <w:t>Ground Station</w:t>
            </w:r>
          </w:p>
        </w:tc>
        <w:tc>
          <w:tcPr>
            <w:tcW w:w="1200" w:type="dxa"/>
            <w:shd w:val="clear" w:color="auto" w:fill="1F3864"/>
            <w:tcMar>
              <w:top w:w="60" w:type="dxa"/>
              <w:left w:w="80" w:type="dxa"/>
              <w:bottom w:w="60" w:type="dxa"/>
              <w:right w:w="80" w:type="dxa"/>
            </w:tcMar>
          </w:tcPr>
          <w:p w14:paraId="7696677F">
            <w:pPr>
              <w:spacing w:before="60" w:after="60"/>
              <w:jc w:val="center"/>
            </w:pPr>
            <w:r>
              <w:rPr>
                <w:b/>
                <w:bCs/>
                <w:color w:val="FFFFFF"/>
                <w:sz w:val="20"/>
                <w:szCs w:val="20"/>
              </w:rPr>
              <w:t>Latitude</w:t>
            </w:r>
          </w:p>
        </w:tc>
        <w:tc>
          <w:tcPr>
            <w:tcW w:w="2000" w:type="dxa"/>
            <w:shd w:val="clear" w:color="auto" w:fill="1F3864"/>
            <w:tcMar>
              <w:top w:w="60" w:type="dxa"/>
              <w:left w:w="80" w:type="dxa"/>
              <w:bottom w:w="60" w:type="dxa"/>
              <w:right w:w="80" w:type="dxa"/>
            </w:tcMar>
          </w:tcPr>
          <w:p w14:paraId="17E2C72E">
            <w:pPr>
              <w:spacing w:before="60" w:after="60"/>
              <w:jc w:val="center"/>
            </w:pPr>
            <w:r>
              <w:rPr>
                <w:b/>
                <w:bCs/>
                <w:color w:val="FFFFFF"/>
                <w:sz w:val="20"/>
                <w:szCs w:val="20"/>
              </w:rPr>
              <w:t>Scheduled Contact (s)</w:t>
            </w:r>
          </w:p>
        </w:tc>
        <w:tc>
          <w:tcPr>
            <w:tcW w:w="1800" w:type="dxa"/>
            <w:shd w:val="clear" w:color="auto" w:fill="1F3864"/>
            <w:tcMar>
              <w:top w:w="60" w:type="dxa"/>
              <w:left w:w="80" w:type="dxa"/>
              <w:bottom w:w="60" w:type="dxa"/>
              <w:right w:w="80" w:type="dxa"/>
            </w:tcMar>
          </w:tcPr>
          <w:p w14:paraId="7D702A48">
            <w:pPr>
              <w:spacing w:before="60" w:after="60"/>
              <w:jc w:val="center"/>
            </w:pPr>
            <w:r>
              <w:rPr>
                <w:b/>
                <w:bCs/>
                <w:color w:val="FFFFFF"/>
                <w:sz w:val="20"/>
                <w:szCs w:val="20"/>
              </w:rPr>
              <w:t>Scheduled Contact (h)</w:t>
            </w:r>
          </w:p>
        </w:tc>
        <w:tc>
          <w:tcPr>
            <w:tcW w:w="1500" w:type="dxa"/>
            <w:shd w:val="clear" w:color="auto" w:fill="1F3864"/>
            <w:tcMar>
              <w:top w:w="60" w:type="dxa"/>
              <w:left w:w="80" w:type="dxa"/>
              <w:bottom w:w="60" w:type="dxa"/>
              <w:right w:w="80" w:type="dxa"/>
            </w:tcMar>
          </w:tcPr>
          <w:p w14:paraId="6987BFA0">
            <w:pPr>
              <w:spacing w:before="60" w:after="60"/>
              <w:jc w:val="center"/>
            </w:pPr>
            <w:r>
              <w:rPr>
                <w:b/>
                <w:bCs/>
                <w:color w:val="FFFFFF"/>
                <w:sz w:val="20"/>
                <w:szCs w:val="20"/>
              </w:rPr>
              <w:t>Share (%)</w:t>
            </w:r>
          </w:p>
        </w:tc>
      </w:tr>
      <w:tr w14:paraId="1B61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80" w:type="dxa"/>
              <w:bottom w:w="60" w:type="dxa"/>
              <w:right w:w="80" w:type="dxa"/>
            </w:tcMar>
          </w:tcPr>
          <w:p w14:paraId="0A336257">
            <w:pPr>
              <w:spacing w:before="40" w:after="40"/>
              <w:jc w:val="left"/>
            </w:pPr>
            <w:r>
              <w:rPr>
                <w:sz w:val="20"/>
                <w:szCs w:val="20"/>
              </w:rPr>
              <w:t>London</w:t>
            </w:r>
          </w:p>
        </w:tc>
        <w:tc>
          <w:tcPr>
            <w:tcW w:w="1200" w:type="dxa"/>
            <w:tcMar>
              <w:top w:w="60" w:type="dxa"/>
              <w:left w:w="80" w:type="dxa"/>
              <w:bottom w:w="60" w:type="dxa"/>
              <w:right w:w="80" w:type="dxa"/>
            </w:tcMar>
          </w:tcPr>
          <w:p w14:paraId="1B132A36">
            <w:pPr>
              <w:spacing w:before="40" w:after="40"/>
              <w:jc w:val="left"/>
            </w:pPr>
            <w:r>
              <w:rPr>
                <w:sz w:val="20"/>
                <w:szCs w:val="20"/>
              </w:rPr>
              <w:t>51.5°N</w:t>
            </w:r>
          </w:p>
        </w:tc>
        <w:tc>
          <w:tcPr>
            <w:tcW w:w="2000" w:type="dxa"/>
            <w:tcMar>
              <w:top w:w="60" w:type="dxa"/>
              <w:left w:w="80" w:type="dxa"/>
              <w:bottom w:w="60" w:type="dxa"/>
              <w:right w:w="80" w:type="dxa"/>
            </w:tcMar>
          </w:tcPr>
          <w:p w14:paraId="132FB516">
            <w:pPr>
              <w:spacing w:before="40" w:after="40"/>
              <w:jc w:val="left"/>
            </w:pPr>
            <w:r>
              <w:rPr>
                <w:sz w:val="20"/>
                <w:szCs w:val="20"/>
              </w:rPr>
              <w:t>52,745.5</w:t>
            </w:r>
          </w:p>
        </w:tc>
        <w:tc>
          <w:tcPr>
            <w:tcW w:w="1800" w:type="dxa"/>
            <w:tcMar>
              <w:top w:w="60" w:type="dxa"/>
              <w:left w:w="80" w:type="dxa"/>
              <w:bottom w:w="60" w:type="dxa"/>
              <w:right w:w="80" w:type="dxa"/>
            </w:tcMar>
          </w:tcPr>
          <w:p w14:paraId="509AF3C4">
            <w:pPr>
              <w:spacing w:before="40" w:after="40"/>
              <w:jc w:val="left"/>
            </w:pPr>
            <w:r>
              <w:rPr>
                <w:sz w:val="20"/>
                <w:szCs w:val="20"/>
              </w:rPr>
              <w:t>14.65</w:t>
            </w:r>
          </w:p>
        </w:tc>
        <w:tc>
          <w:tcPr>
            <w:tcW w:w="1500" w:type="dxa"/>
            <w:tcMar>
              <w:top w:w="60" w:type="dxa"/>
              <w:left w:w="80" w:type="dxa"/>
              <w:bottom w:w="60" w:type="dxa"/>
              <w:right w:w="80" w:type="dxa"/>
            </w:tcMar>
          </w:tcPr>
          <w:p w14:paraId="086C1746">
            <w:pPr>
              <w:spacing w:before="40" w:after="40"/>
              <w:jc w:val="left"/>
            </w:pPr>
            <w:r>
              <w:rPr>
                <w:sz w:val="20"/>
                <w:szCs w:val="20"/>
              </w:rPr>
              <w:t>49.5%</w:t>
            </w:r>
          </w:p>
        </w:tc>
      </w:tr>
      <w:tr w14:paraId="14B6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5FA"/>
            <w:tcMar>
              <w:top w:w="60" w:type="dxa"/>
              <w:left w:w="80" w:type="dxa"/>
              <w:bottom w:w="60" w:type="dxa"/>
              <w:right w:w="80" w:type="dxa"/>
            </w:tcMar>
          </w:tcPr>
          <w:p w14:paraId="16BB906D">
            <w:pPr>
              <w:spacing w:before="40" w:after="40"/>
              <w:jc w:val="left"/>
            </w:pPr>
            <w:r>
              <w:rPr>
                <w:sz w:val="20"/>
                <w:szCs w:val="20"/>
              </w:rPr>
              <w:t>Lagos</w:t>
            </w:r>
          </w:p>
        </w:tc>
        <w:tc>
          <w:tcPr>
            <w:tcW w:w="1200" w:type="dxa"/>
            <w:shd w:val="clear" w:color="auto" w:fill="F2F5FA"/>
            <w:tcMar>
              <w:top w:w="60" w:type="dxa"/>
              <w:left w:w="80" w:type="dxa"/>
              <w:bottom w:w="60" w:type="dxa"/>
              <w:right w:w="80" w:type="dxa"/>
            </w:tcMar>
          </w:tcPr>
          <w:p w14:paraId="35CA142F">
            <w:pPr>
              <w:spacing w:before="40" w:after="40"/>
              <w:jc w:val="left"/>
            </w:pPr>
            <w:r>
              <w:rPr>
                <w:sz w:val="20"/>
                <w:szCs w:val="20"/>
              </w:rPr>
              <w:t>6.5°N</w:t>
            </w:r>
          </w:p>
        </w:tc>
        <w:tc>
          <w:tcPr>
            <w:tcW w:w="2000" w:type="dxa"/>
            <w:shd w:val="clear" w:color="auto" w:fill="F2F5FA"/>
            <w:tcMar>
              <w:top w:w="60" w:type="dxa"/>
              <w:left w:w="80" w:type="dxa"/>
              <w:bottom w:w="60" w:type="dxa"/>
              <w:right w:w="80" w:type="dxa"/>
            </w:tcMar>
          </w:tcPr>
          <w:p w14:paraId="3DFE54B0">
            <w:pPr>
              <w:spacing w:before="40" w:after="40"/>
              <w:jc w:val="left"/>
            </w:pPr>
            <w:r>
              <w:rPr>
                <w:sz w:val="20"/>
                <w:szCs w:val="20"/>
              </w:rPr>
              <w:t>28,354.0</w:t>
            </w:r>
          </w:p>
        </w:tc>
        <w:tc>
          <w:tcPr>
            <w:tcW w:w="1800" w:type="dxa"/>
            <w:shd w:val="clear" w:color="auto" w:fill="F2F5FA"/>
            <w:tcMar>
              <w:top w:w="60" w:type="dxa"/>
              <w:left w:w="80" w:type="dxa"/>
              <w:bottom w:w="60" w:type="dxa"/>
              <w:right w:w="80" w:type="dxa"/>
            </w:tcMar>
          </w:tcPr>
          <w:p w14:paraId="0C755E07">
            <w:pPr>
              <w:spacing w:before="40" w:after="40"/>
              <w:jc w:val="left"/>
            </w:pPr>
            <w:r>
              <w:rPr>
                <w:sz w:val="20"/>
                <w:szCs w:val="20"/>
              </w:rPr>
              <w:t>7.88</w:t>
            </w:r>
          </w:p>
        </w:tc>
        <w:tc>
          <w:tcPr>
            <w:tcW w:w="1500" w:type="dxa"/>
            <w:shd w:val="clear" w:color="auto" w:fill="F2F5FA"/>
            <w:tcMar>
              <w:top w:w="60" w:type="dxa"/>
              <w:left w:w="80" w:type="dxa"/>
              <w:bottom w:w="60" w:type="dxa"/>
              <w:right w:w="80" w:type="dxa"/>
            </w:tcMar>
          </w:tcPr>
          <w:p w14:paraId="35598E57">
            <w:pPr>
              <w:spacing w:before="40" w:after="40"/>
              <w:jc w:val="left"/>
            </w:pPr>
            <w:r>
              <w:rPr>
                <w:sz w:val="20"/>
                <w:szCs w:val="20"/>
              </w:rPr>
              <w:t>26.6%</w:t>
            </w:r>
          </w:p>
        </w:tc>
      </w:tr>
      <w:tr w14:paraId="34EA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60" w:type="dxa"/>
              <w:left w:w="80" w:type="dxa"/>
              <w:bottom w:w="60" w:type="dxa"/>
              <w:right w:w="80" w:type="dxa"/>
            </w:tcMar>
          </w:tcPr>
          <w:p w14:paraId="08DA5F26">
            <w:pPr>
              <w:spacing w:before="40" w:after="40"/>
              <w:jc w:val="left"/>
            </w:pPr>
            <w:r>
              <w:rPr>
                <w:sz w:val="20"/>
                <w:szCs w:val="20"/>
              </w:rPr>
              <w:t>Nairobi</w:t>
            </w:r>
          </w:p>
        </w:tc>
        <w:tc>
          <w:tcPr>
            <w:tcW w:w="1200" w:type="dxa"/>
            <w:tcMar>
              <w:top w:w="60" w:type="dxa"/>
              <w:left w:w="80" w:type="dxa"/>
              <w:bottom w:w="60" w:type="dxa"/>
              <w:right w:w="80" w:type="dxa"/>
            </w:tcMar>
          </w:tcPr>
          <w:p w14:paraId="7F88C1C7">
            <w:pPr>
              <w:spacing w:before="40" w:after="40"/>
              <w:jc w:val="left"/>
            </w:pPr>
            <w:r>
              <w:rPr>
                <w:sz w:val="20"/>
                <w:szCs w:val="20"/>
              </w:rPr>
              <w:t>1.3°S</w:t>
            </w:r>
          </w:p>
        </w:tc>
        <w:tc>
          <w:tcPr>
            <w:tcW w:w="2000" w:type="dxa"/>
            <w:tcMar>
              <w:top w:w="60" w:type="dxa"/>
              <w:left w:w="80" w:type="dxa"/>
              <w:bottom w:w="60" w:type="dxa"/>
              <w:right w:w="80" w:type="dxa"/>
            </w:tcMar>
          </w:tcPr>
          <w:p w14:paraId="2AEF8516">
            <w:pPr>
              <w:spacing w:before="40" w:after="40"/>
              <w:jc w:val="left"/>
            </w:pPr>
            <w:r>
              <w:rPr>
                <w:sz w:val="20"/>
                <w:szCs w:val="20"/>
              </w:rPr>
              <w:t>25,364.3</w:t>
            </w:r>
          </w:p>
        </w:tc>
        <w:tc>
          <w:tcPr>
            <w:tcW w:w="1800" w:type="dxa"/>
            <w:tcMar>
              <w:top w:w="60" w:type="dxa"/>
              <w:left w:w="80" w:type="dxa"/>
              <w:bottom w:w="60" w:type="dxa"/>
              <w:right w:w="80" w:type="dxa"/>
            </w:tcMar>
          </w:tcPr>
          <w:p w14:paraId="7F610C61">
            <w:pPr>
              <w:spacing w:before="40" w:after="40"/>
              <w:jc w:val="left"/>
            </w:pPr>
            <w:r>
              <w:rPr>
                <w:sz w:val="20"/>
                <w:szCs w:val="20"/>
              </w:rPr>
              <w:t>7.05</w:t>
            </w:r>
          </w:p>
        </w:tc>
        <w:tc>
          <w:tcPr>
            <w:tcW w:w="1500" w:type="dxa"/>
            <w:tcMar>
              <w:top w:w="60" w:type="dxa"/>
              <w:left w:w="80" w:type="dxa"/>
              <w:bottom w:w="60" w:type="dxa"/>
              <w:right w:w="80" w:type="dxa"/>
            </w:tcMar>
          </w:tcPr>
          <w:p w14:paraId="5D92C728">
            <w:pPr>
              <w:spacing w:before="40" w:after="40"/>
              <w:jc w:val="left"/>
            </w:pPr>
            <w:r>
              <w:rPr>
                <w:sz w:val="20"/>
                <w:szCs w:val="20"/>
              </w:rPr>
              <w:t>23.8%</w:t>
            </w:r>
          </w:p>
        </w:tc>
      </w:tr>
      <w:tr w14:paraId="5893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F2F5FA"/>
            <w:tcMar>
              <w:top w:w="60" w:type="dxa"/>
              <w:left w:w="80" w:type="dxa"/>
              <w:bottom w:w="60" w:type="dxa"/>
              <w:right w:w="80" w:type="dxa"/>
            </w:tcMar>
          </w:tcPr>
          <w:p w14:paraId="44C6F63F">
            <w:pPr>
              <w:spacing w:before="40" w:after="40"/>
              <w:jc w:val="left"/>
            </w:pPr>
            <w:r>
              <w:rPr>
                <w:sz w:val="20"/>
                <w:szCs w:val="20"/>
              </w:rPr>
              <w:t>TOTAL</w:t>
            </w:r>
          </w:p>
        </w:tc>
        <w:tc>
          <w:tcPr>
            <w:tcW w:w="1200" w:type="dxa"/>
            <w:shd w:val="clear" w:color="auto" w:fill="F2F5FA"/>
            <w:tcMar>
              <w:top w:w="60" w:type="dxa"/>
              <w:left w:w="80" w:type="dxa"/>
              <w:bottom w:w="60" w:type="dxa"/>
              <w:right w:w="80" w:type="dxa"/>
            </w:tcMar>
          </w:tcPr>
          <w:p w14:paraId="5E2B476D">
            <w:pPr>
              <w:spacing w:before="40" w:after="40"/>
              <w:jc w:val="left"/>
            </w:pPr>
            <w:r>
              <w:rPr>
                <w:sz w:val="20"/>
                <w:szCs w:val="20"/>
              </w:rPr>
              <w:t>—</w:t>
            </w:r>
          </w:p>
        </w:tc>
        <w:tc>
          <w:tcPr>
            <w:tcW w:w="2000" w:type="dxa"/>
            <w:shd w:val="clear" w:color="auto" w:fill="F2F5FA"/>
            <w:tcMar>
              <w:top w:w="60" w:type="dxa"/>
              <w:left w:w="80" w:type="dxa"/>
              <w:bottom w:w="60" w:type="dxa"/>
              <w:right w:w="80" w:type="dxa"/>
            </w:tcMar>
          </w:tcPr>
          <w:p w14:paraId="43C218CB">
            <w:pPr>
              <w:spacing w:before="40" w:after="40"/>
              <w:jc w:val="left"/>
            </w:pPr>
            <w:r>
              <w:rPr>
                <w:sz w:val="20"/>
                <w:szCs w:val="20"/>
              </w:rPr>
              <w:t>106,463.8</w:t>
            </w:r>
          </w:p>
        </w:tc>
        <w:tc>
          <w:tcPr>
            <w:tcW w:w="1800" w:type="dxa"/>
            <w:shd w:val="clear" w:color="auto" w:fill="F2F5FA"/>
            <w:tcMar>
              <w:top w:w="60" w:type="dxa"/>
              <w:left w:w="80" w:type="dxa"/>
              <w:bottom w:w="60" w:type="dxa"/>
              <w:right w:w="80" w:type="dxa"/>
            </w:tcMar>
          </w:tcPr>
          <w:p w14:paraId="3D72AF71">
            <w:pPr>
              <w:spacing w:before="40" w:after="40"/>
              <w:jc w:val="left"/>
            </w:pPr>
            <w:r>
              <w:rPr>
                <w:sz w:val="20"/>
                <w:szCs w:val="20"/>
              </w:rPr>
              <w:t>29.57</w:t>
            </w:r>
          </w:p>
        </w:tc>
        <w:tc>
          <w:tcPr>
            <w:tcW w:w="1500" w:type="dxa"/>
            <w:shd w:val="clear" w:color="auto" w:fill="F2F5FA"/>
            <w:tcMar>
              <w:top w:w="60" w:type="dxa"/>
              <w:left w:w="80" w:type="dxa"/>
              <w:bottom w:w="60" w:type="dxa"/>
              <w:right w:w="80" w:type="dxa"/>
            </w:tcMar>
          </w:tcPr>
          <w:p w14:paraId="70C5CEA1">
            <w:pPr>
              <w:spacing w:before="40" w:after="40"/>
              <w:jc w:val="left"/>
            </w:pPr>
            <w:r>
              <w:rPr>
                <w:sz w:val="20"/>
                <w:szCs w:val="20"/>
              </w:rPr>
              <w:t>100%</w:t>
            </w:r>
          </w:p>
        </w:tc>
      </w:tr>
    </w:tbl>
    <w:p w14:paraId="621ABBBD">
      <w:pPr>
        <w:spacing w:before="0" w:after="120"/>
      </w:pPr>
    </w:p>
    <w:p w14:paraId="4DA0B366">
      <w:pPr>
        <w:spacing w:before="60" w:after="120"/>
        <w:jc w:val="both"/>
      </w:pPr>
      <w:r>
        <w:rPr>
          <w:sz w:val="22"/>
          <w:szCs w:val="22"/>
        </w:rPr>
        <w:t>London's dominant share (49.5%) is a direct consequence of its latitude (51.5°N) sitting at the Walker constellation's inclination ceiling (51.6°). Satellites at high latitudes spend more time in a single antenna's field of view per pass, and the phased Walker geometry ensures that multiple Plane A passes flow through London in rapid succession. Lagos and Nairobi receive broadly comparable contact time, consistent with their similar low-latitude positions and the Walker constellation's equatorial symmetry.</w:t>
      </w:r>
    </w:p>
    <w:p w14:paraId="798086B3">
      <w:pPr>
        <w:pStyle w:val="3"/>
        <w:spacing w:before="240" w:after="80"/>
      </w:pPr>
      <w:r>
        <w:t>5.5  Revisit Gap Analysis</w:t>
      </w:r>
    </w:p>
    <w:p w14:paraId="646A9876">
      <w:pPr>
        <w:spacing w:before="60" w:after="120"/>
        <w:jc w:val="both"/>
      </w:pPr>
      <w:r>
        <w:rPr>
          <w:sz w:val="22"/>
          <w:szCs w:val="22"/>
        </w:rPr>
        <w:t>The worst-case revisit gap of 5,956.4 s (1.65 h) is the primary output of the gap-minimisation objective. This metric quantifies the longest period during which any satellite in the fleet goes without a ground contact. For operational planning purposes, a revisit gap of less than 2 hours is generally acceptable for LEO constellations in nominal operations — this result comfortably meets that criterion.</w:t>
      </w:r>
    </w:p>
    <w:p w14:paraId="772634CC">
      <w:pPr>
        <w:spacing w:before="60" w:after="120"/>
        <w:jc w:val="both"/>
      </w:pPr>
      <w:r>
        <w:rPr>
          <w:sz w:val="22"/>
          <w:szCs w:val="22"/>
        </w:rPr>
        <w:t>The mean maximum gap per satellite is 9.14 h. This figure is higher than the fleet-wide worst-case gap because it includes the opening gap (between epoch and each satellite's first scheduled contact) and the closing gap (between the last scheduled contact and the end of the 24-hour window). These edge gaps are structural features of any finite simulation window rather than scheduling inefficiencies — they reflect the absence of contact history before epoch and after the simulation ends.</w:t>
      </w:r>
    </w:p>
    <w:p w14:paraId="1E66BB2A">
      <w:r>
        <w:br w:type="page"/>
      </w:r>
    </w:p>
    <w:p w14:paraId="20E018E0">
      <w:pPr>
        <w:pStyle w:val="2"/>
        <w:spacing w:before="320" w:after="120"/>
      </w:pPr>
      <w:r>
        <w:t>6. Discussion</w:t>
      </w:r>
    </w:p>
    <w:p w14:paraId="4A3E62E9">
      <w:pPr>
        <w:pStyle w:val="3"/>
        <w:spacing w:before="240" w:after="80"/>
      </w:pPr>
      <w:r>
        <w:t>6.1  Why ILP and Not Heuristics</w:t>
      </w:r>
    </w:p>
    <w:p w14:paraId="5F61DE54">
      <w:pPr>
        <w:spacing w:before="60" w:after="120"/>
        <w:jc w:val="both"/>
      </w:pPr>
      <w:r>
        <w:rPr>
          <w:sz w:val="22"/>
          <w:szCs w:val="22"/>
        </w:rPr>
        <w:t>Common alternatives to ILP for the GCSP include greedy algorithms (schedule the longest-duration window first, then the next non-conflicting window, and so on) and metaheuristics such as simulated annealing or genetic algorithms. These approaches have the advantage of being fast and easy to implement, but they share a critical limitation: they cannot certify optimality. A greedy scheduler might miss a globally better assignment by making a locally suboptimal choice early in the sequence.</w:t>
      </w:r>
    </w:p>
    <w:p w14:paraId="7814A6E6">
      <w:pPr>
        <w:spacing w:before="60" w:after="120"/>
        <w:jc w:val="both"/>
      </w:pPr>
      <w:r>
        <w:rPr>
          <w:sz w:val="22"/>
          <w:szCs w:val="22"/>
        </w:rPr>
        <w:t>ILP, by contrast, provides a mathematical proof of optimality via the branch-and-bound / LP-relaxation framework. When HiGHS reports Optimal, it means no feasible integer solution exists with a higher objective value — not that the algorithm converged to a local maximum, but that the global maximum has been certified. For a portfolio demonstrating flight-dynamics engineering rigour, this distinction is significant.</w:t>
      </w:r>
    </w:p>
    <w:p w14:paraId="0C82F712">
      <w:pPr>
        <w:spacing w:before="60" w:after="120"/>
        <w:jc w:val="both"/>
      </w:pPr>
      <w:r>
        <w:rPr>
          <w:sz w:val="22"/>
          <w:szCs w:val="22"/>
        </w:rPr>
        <w:t>For the problem size here (284 variables, 5 conflict constraints, 260 gap constraints), ILP is computationally trivial. The technique scales well to larger problems: operationally-sized GCSPs with thousands of windows and dozens of stations are routinely solved to optimality by commercial solvers. This scenario demonstrates the methodology at a tractable scale while preserving all the structural features of the real problem.</w:t>
      </w:r>
    </w:p>
    <w:p w14:paraId="269977B6">
      <w:pPr>
        <w:pStyle w:val="3"/>
        <w:spacing w:before="240" w:after="80"/>
      </w:pPr>
      <w:r>
        <w:t>6.2  Sensitivity to Objective Weights</w:t>
      </w:r>
    </w:p>
    <w:p w14:paraId="2BDB19CE">
      <w:pPr>
        <w:spacing w:before="60" w:after="120"/>
        <w:jc w:val="both"/>
      </w:pPr>
      <w:r>
        <w:rPr>
          <w:sz w:val="22"/>
          <w:szCs w:val="22"/>
        </w:rPr>
        <w:t>The choice of β = 2α (gap penalty twice the contact weight) is a deliberate operator policy statement. With β &lt; α, the ILP would prioritise contact time at the expense of revisit regularity — potentially scheduling many short windows clustered in a few hours while leaving other periods uncontacted. With β &gt;&gt; α, the ILP would sacrifice significant contact time to drive G_max toward zero, which is only achievable if the contact window density is sufficient.</w:t>
      </w:r>
    </w:p>
    <w:p w14:paraId="2ABC1BB3">
      <w:pPr>
        <w:spacing w:before="60" w:after="120"/>
        <w:jc w:val="both"/>
      </w:pPr>
      <w:r>
        <w:rPr>
          <w:sz w:val="22"/>
          <w:szCs w:val="22"/>
        </w:rPr>
        <w:t>The β = 2.0 / α = 1.0 setting was chosen as a balanced operational policy analogous to those used in the author's ILMOP project (Intelligent LEO Monitoring and Operation Platform), where multi-objective scheduling objectives were similarly balanced by weighted-sum formulation. This weighting produces a schedule that is both contact-rich (29.57 h total) and resilient (worst gap 1.65 h).</w:t>
      </w:r>
    </w:p>
    <w:p w14:paraId="35177C4F">
      <w:pPr>
        <w:pStyle w:val="3"/>
        <w:spacing w:before="240" w:after="80"/>
      </w:pPr>
      <w:r>
        <w:t>6.3  Operational Relevance</w:t>
      </w:r>
    </w:p>
    <w:p w14:paraId="0AB26705">
      <w:pPr>
        <w:spacing w:before="60" w:after="120"/>
        <w:jc w:val="both"/>
      </w:pPr>
      <w:r>
        <w:rPr>
          <w:sz w:val="22"/>
          <w:szCs w:val="22"/>
        </w:rPr>
        <w:t>The scenario is directly motivated by the operational reality of LEO satellite networks. As constellations grow from tens to hundreds of satellites, the ground segment bottleneck becomes increasingly important. A single ground station can serve many satellites per day, but the scheduling of which satellite to contact at which time — and how to balance contact maximisation against coverage equity — is a non-trivial combinatorial problem that cannot be resolved by intuition or simple rules.</w:t>
      </w:r>
    </w:p>
    <w:p w14:paraId="7F9F789D">
      <w:pPr>
        <w:spacing w:before="60" w:after="120"/>
        <w:jc w:val="both"/>
      </w:pPr>
      <w:r>
        <w:rPr>
          <w:sz w:val="22"/>
          <w:szCs w:val="22"/>
        </w:rPr>
        <w:t>In the author's 15 years of GEO satellite operations at NigComSat, contact scheduling was managed manually for a small number of satellites with long contact windows. The LEO setting inverts this: many satellites, short windows, rapid revisit requirements, and hard resource constraints at each antenna. ILP is the standard industrial approach for this class of problem, used by operators including Planet Labs, Spire Global, and governmental agencies such as NASA and ESA for contact scheduling and resource allocation across their LEO fleets.</w:t>
      </w:r>
    </w:p>
    <w:p w14:paraId="3C5CE311">
      <w:r>
        <w:br w:type="page"/>
      </w:r>
    </w:p>
    <w:p w14:paraId="266D06B9">
      <w:pPr>
        <w:pStyle w:val="2"/>
        <w:spacing w:before="320" w:after="120"/>
      </w:pPr>
      <w:r>
        <w:t>7. Conclusions</w:t>
      </w:r>
    </w:p>
    <w:p w14:paraId="574A9EE0">
      <w:pPr>
        <w:spacing w:before="60" w:after="120"/>
        <w:jc w:val="both"/>
      </w:pPr>
      <w:r>
        <w:rPr>
          <w:sz w:val="22"/>
          <w:szCs w:val="22"/>
        </w:rPr>
        <w:t>Scenario 11 demonstrates the application of Integer Linear Programming to the ground contact scheduling problem for a 24-satellite LEO Walker constellation. The key conclusions are:</w:t>
      </w:r>
    </w:p>
    <w:p w14:paraId="751677D1">
      <w:pPr>
        <w:spacing w:before="0" w:after="60"/>
      </w:pPr>
    </w:p>
    <w:p w14:paraId="3805B674">
      <w:pPr>
        <w:pStyle w:val="16"/>
        <w:numPr>
          <w:ilvl w:val="0"/>
          <w:numId w:val="1"/>
        </w:numPr>
        <w:spacing w:before="40" w:after="40"/>
      </w:pPr>
      <w:r>
        <w:rPr>
          <w:sz w:val="22"/>
          <w:szCs w:val="22"/>
        </w:rPr>
        <w:t>ILP achieves provably optimal scheduling: the HiGHS solver certified the Optimal status in milliseconds, guaranteeing no better feasible assignment exists for the given objective weights.</w:t>
      </w:r>
    </w:p>
    <w:p w14:paraId="24595EFF">
      <w:pPr>
        <w:pStyle w:val="16"/>
        <w:numPr>
          <w:ilvl w:val="0"/>
          <w:numId w:val="1"/>
        </w:numPr>
        <w:spacing w:before="40" w:after="40"/>
      </w:pPr>
      <w:r>
        <w:rPr>
          <w:sz w:val="22"/>
          <w:szCs w:val="22"/>
        </w:rPr>
        <w:t>The multi-objective formulation (maximise contact + minimise worst-case gap) produces a balanced schedule: 29.57 h of total contact across 24 satellites with a worst-case revisit gap of 1.65 h.</w:t>
      </w:r>
    </w:p>
    <w:p w14:paraId="03B5C3EF">
      <w:pPr>
        <w:pStyle w:val="16"/>
        <w:numPr>
          <w:ilvl w:val="0"/>
          <w:numId w:val="1"/>
        </w:numPr>
        <w:spacing w:before="40" w:after="40"/>
      </w:pPr>
      <w:r>
        <w:rPr>
          <w:sz w:val="22"/>
          <w:szCs w:val="22"/>
        </w:rPr>
        <w:t>The Walker constellation's geometric symmetry translates into equitable contact distribution: all 24 satellites receive between 3,791 s and 5,030 s of scheduled contact time — a spread of less than 21 minutes.</w:t>
      </w:r>
    </w:p>
    <w:p w14:paraId="463DBFCF">
      <w:pPr>
        <w:pStyle w:val="16"/>
        <w:numPr>
          <w:ilvl w:val="0"/>
          <w:numId w:val="1"/>
        </w:numPr>
        <w:spacing w:before="40" w:after="40"/>
      </w:pPr>
      <w:r>
        <w:rPr>
          <w:sz w:val="22"/>
          <w:szCs w:val="22"/>
        </w:rPr>
        <w:t>Station conflicts are rare (5 pairs among 284 windows), reflecting the Walker constellation's design: its three orbital planes are phased to avoid simultaneous station visibility by more than one satellite per pass, a property that also makes the ILP fast to solve.</w:t>
      </w:r>
    </w:p>
    <w:p w14:paraId="51A4A9DF">
      <w:pPr>
        <w:pStyle w:val="16"/>
        <w:numPr>
          <w:ilvl w:val="0"/>
          <w:numId w:val="1"/>
        </w:numPr>
        <w:spacing w:before="40" w:after="40"/>
      </w:pPr>
      <w:r>
        <w:rPr>
          <w:sz w:val="22"/>
          <w:szCs w:val="22"/>
        </w:rPr>
        <w:t>London's dominant share (49.5%) is a structural consequence of the 51.6° inclination ceiling, which concentrates pass geometry at high latitudes — directly connecting the results of this scenario back to the orbital mechanics insight from Scenarios 01 and 06.</w:t>
      </w:r>
    </w:p>
    <w:p w14:paraId="6671BE88">
      <w:pPr>
        <w:spacing w:before="0" w:after="60"/>
      </w:pPr>
    </w:p>
    <w:p w14:paraId="5A86F5DC">
      <w:pPr>
        <w:spacing w:before="60" w:after="120"/>
        <w:jc w:val="both"/>
      </w:pPr>
      <w:r>
        <w:rPr>
          <w:sz w:val="22"/>
          <w:szCs w:val="22"/>
        </w:rPr>
        <w:t>This scenario completes the contact scheduling strand of the portfolio, building directly on the Walker constellation design (Scenario 06) and demonstrating that the final deliverable of a satellite operations ground segment — an optimised contact schedule — can be produced rigorously from first principles using open-source tools.</w:t>
      </w:r>
    </w:p>
    <w:p w14:paraId="31972078">
      <w:r>
        <w:br w:type="page"/>
      </w:r>
    </w:p>
    <w:p w14:paraId="34367316">
      <w:pPr>
        <w:pStyle w:val="2"/>
        <w:spacing w:before="320" w:after="120"/>
      </w:pPr>
      <w:r>
        <w:t>8. Appendix — ILP Formulation Summary</w:t>
      </w:r>
    </w:p>
    <w:p w14:paraId="5DF7C944">
      <w:pPr>
        <w:pStyle w:val="3"/>
        <w:spacing w:before="240" w:after="80"/>
      </w:pPr>
      <w:r>
        <w:t>8.1  Complete Variable List</w:t>
      </w:r>
    </w:p>
    <w:p w14:paraId="46E04990">
      <w:pPr>
        <w:spacing w:before="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1600"/>
        <w:gridCol w:w="1200"/>
        <w:gridCol w:w="4400"/>
      </w:tblGrid>
      <w:tr w14:paraId="3A3A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60" w:type="dxa"/>
              <w:left w:w="80" w:type="dxa"/>
              <w:bottom w:w="60" w:type="dxa"/>
              <w:right w:w="80" w:type="dxa"/>
            </w:tcMar>
          </w:tcPr>
          <w:p w14:paraId="31A9ADA2">
            <w:pPr>
              <w:spacing w:before="60" w:after="60"/>
              <w:jc w:val="center"/>
            </w:pPr>
            <w:r>
              <w:rPr>
                <w:b/>
                <w:bCs/>
                <w:color w:val="FFFFFF"/>
                <w:sz w:val="20"/>
                <w:szCs w:val="20"/>
              </w:rPr>
              <w:t>Variable</w:t>
            </w:r>
          </w:p>
        </w:tc>
        <w:tc>
          <w:tcPr>
            <w:tcW w:w="1600" w:type="dxa"/>
            <w:shd w:val="clear" w:color="auto" w:fill="1F3864"/>
            <w:tcMar>
              <w:top w:w="60" w:type="dxa"/>
              <w:left w:w="80" w:type="dxa"/>
              <w:bottom w:w="60" w:type="dxa"/>
              <w:right w:w="80" w:type="dxa"/>
            </w:tcMar>
          </w:tcPr>
          <w:p w14:paraId="440B63DF">
            <w:pPr>
              <w:spacing w:before="60" w:after="60"/>
              <w:jc w:val="center"/>
            </w:pPr>
            <w:r>
              <w:rPr>
                <w:b/>
                <w:bCs/>
                <w:color w:val="FFFFFF"/>
                <w:sz w:val="20"/>
                <w:szCs w:val="20"/>
              </w:rPr>
              <w:t>Type</w:t>
            </w:r>
          </w:p>
        </w:tc>
        <w:tc>
          <w:tcPr>
            <w:tcW w:w="1200" w:type="dxa"/>
            <w:shd w:val="clear" w:color="auto" w:fill="1F3864"/>
            <w:tcMar>
              <w:top w:w="60" w:type="dxa"/>
              <w:left w:w="80" w:type="dxa"/>
              <w:bottom w:w="60" w:type="dxa"/>
              <w:right w:w="80" w:type="dxa"/>
            </w:tcMar>
          </w:tcPr>
          <w:p w14:paraId="58BF7203">
            <w:pPr>
              <w:spacing w:before="60" w:after="60"/>
              <w:jc w:val="center"/>
            </w:pPr>
            <w:r>
              <w:rPr>
                <w:b/>
                <w:bCs/>
                <w:color w:val="FFFFFF"/>
                <w:sz w:val="20"/>
                <w:szCs w:val="20"/>
              </w:rPr>
              <w:t>Count</w:t>
            </w:r>
          </w:p>
        </w:tc>
        <w:tc>
          <w:tcPr>
            <w:tcW w:w="4400" w:type="dxa"/>
            <w:shd w:val="clear" w:color="auto" w:fill="1F3864"/>
            <w:tcMar>
              <w:top w:w="60" w:type="dxa"/>
              <w:left w:w="80" w:type="dxa"/>
              <w:bottom w:w="60" w:type="dxa"/>
              <w:right w:w="80" w:type="dxa"/>
            </w:tcMar>
          </w:tcPr>
          <w:p w14:paraId="0EF34833">
            <w:pPr>
              <w:spacing w:before="60" w:after="60"/>
              <w:jc w:val="center"/>
            </w:pPr>
            <w:r>
              <w:rPr>
                <w:b/>
                <w:bCs/>
                <w:color w:val="FFFFFF"/>
                <w:sz w:val="20"/>
                <w:szCs w:val="20"/>
              </w:rPr>
              <w:t>Description</w:t>
            </w:r>
          </w:p>
        </w:tc>
      </w:tr>
      <w:tr w14:paraId="11FE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80" w:type="dxa"/>
              <w:bottom w:w="60" w:type="dxa"/>
              <w:right w:w="80" w:type="dxa"/>
            </w:tcMar>
          </w:tcPr>
          <w:p w14:paraId="32011586">
            <w:pPr>
              <w:spacing w:before="40" w:after="40"/>
              <w:jc w:val="left"/>
            </w:pPr>
            <w:r>
              <w:rPr>
                <w:sz w:val="20"/>
                <w:szCs w:val="20"/>
              </w:rPr>
              <w:t>x_i</w:t>
            </w:r>
          </w:p>
        </w:tc>
        <w:tc>
          <w:tcPr>
            <w:tcW w:w="1600" w:type="dxa"/>
            <w:tcMar>
              <w:top w:w="60" w:type="dxa"/>
              <w:left w:w="80" w:type="dxa"/>
              <w:bottom w:w="60" w:type="dxa"/>
              <w:right w:w="80" w:type="dxa"/>
            </w:tcMar>
          </w:tcPr>
          <w:p w14:paraId="264CB0C7">
            <w:pPr>
              <w:spacing w:before="40" w:after="40"/>
              <w:jc w:val="left"/>
            </w:pPr>
            <w:r>
              <w:rPr>
                <w:sz w:val="20"/>
                <w:szCs w:val="20"/>
              </w:rPr>
              <w:t>Binary {0,1}</w:t>
            </w:r>
          </w:p>
        </w:tc>
        <w:tc>
          <w:tcPr>
            <w:tcW w:w="1200" w:type="dxa"/>
            <w:tcMar>
              <w:top w:w="60" w:type="dxa"/>
              <w:left w:w="80" w:type="dxa"/>
              <w:bottom w:w="60" w:type="dxa"/>
              <w:right w:w="80" w:type="dxa"/>
            </w:tcMar>
          </w:tcPr>
          <w:p w14:paraId="0753B2B0">
            <w:pPr>
              <w:spacing w:before="40" w:after="40"/>
              <w:jc w:val="left"/>
            </w:pPr>
            <w:r>
              <w:rPr>
                <w:sz w:val="20"/>
                <w:szCs w:val="20"/>
              </w:rPr>
              <w:t>284</w:t>
            </w:r>
          </w:p>
        </w:tc>
        <w:tc>
          <w:tcPr>
            <w:tcW w:w="4400" w:type="dxa"/>
            <w:tcMar>
              <w:top w:w="60" w:type="dxa"/>
              <w:left w:w="80" w:type="dxa"/>
              <w:bottom w:w="60" w:type="dxa"/>
              <w:right w:w="80" w:type="dxa"/>
            </w:tcMar>
          </w:tcPr>
          <w:p w14:paraId="27674E2E">
            <w:pPr>
              <w:spacing w:before="40" w:after="40"/>
              <w:jc w:val="left"/>
            </w:pPr>
            <w:r>
              <w:rPr>
                <w:sz w:val="20"/>
                <w:szCs w:val="20"/>
              </w:rPr>
              <w:t>1 = window i scheduled; 0 = not scheduled</w:t>
            </w:r>
          </w:p>
        </w:tc>
      </w:tr>
      <w:tr w14:paraId="6F155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5FA"/>
            <w:tcMar>
              <w:top w:w="60" w:type="dxa"/>
              <w:left w:w="80" w:type="dxa"/>
              <w:bottom w:w="60" w:type="dxa"/>
              <w:right w:w="80" w:type="dxa"/>
            </w:tcMar>
          </w:tcPr>
          <w:p w14:paraId="69A65B3A">
            <w:pPr>
              <w:spacing w:before="40" w:after="40"/>
              <w:jc w:val="left"/>
            </w:pPr>
            <w:r>
              <w:rPr>
                <w:sz w:val="20"/>
                <w:szCs w:val="20"/>
              </w:rPr>
              <w:t>g_k</w:t>
            </w:r>
          </w:p>
        </w:tc>
        <w:tc>
          <w:tcPr>
            <w:tcW w:w="1600" w:type="dxa"/>
            <w:shd w:val="clear" w:color="auto" w:fill="F2F5FA"/>
            <w:tcMar>
              <w:top w:w="60" w:type="dxa"/>
              <w:left w:w="80" w:type="dxa"/>
              <w:bottom w:w="60" w:type="dxa"/>
              <w:right w:w="80" w:type="dxa"/>
            </w:tcMar>
          </w:tcPr>
          <w:p w14:paraId="474C576C">
            <w:pPr>
              <w:spacing w:before="40" w:after="40"/>
              <w:jc w:val="left"/>
            </w:pPr>
            <w:r>
              <w:rPr>
                <w:sz w:val="20"/>
                <w:szCs w:val="20"/>
              </w:rPr>
              <w:t>Continuous ≥ 0</w:t>
            </w:r>
          </w:p>
        </w:tc>
        <w:tc>
          <w:tcPr>
            <w:tcW w:w="1200" w:type="dxa"/>
            <w:shd w:val="clear" w:color="auto" w:fill="F2F5FA"/>
            <w:tcMar>
              <w:top w:w="60" w:type="dxa"/>
              <w:left w:w="80" w:type="dxa"/>
              <w:bottom w:w="60" w:type="dxa"/>
              <w:right w:w="80" w:type="dxa"/>
            </w:tcMar>
          </w:tcPr>
          <w:p w14:paraId="7AACC152">
            <w:pPr>
              <w:spacing w:before="40" w:after="40"/>
              <w:jc w:val="left"/>
            </w:pPr>
            <w:r>
              <w:rPr>
                <w:sz w:val="20"/>
                <w:szCs w:val="20"/>
              </w:rPr>
              <w:t>260</w:t>
            </w:r>
          </w:p>
        </w:tc>
        <w:tc>
          <w:tcPr>
            <w:tcW w:w="4400" w:type="dxa"/>
            <w:shd w:val="clear" w:color="auto" w:fill="F2F5FA"/>
            <w:tcMar>
              <w:top w:w="60" w:type="dxa"/>
              <w:left w:w="80" w:type="dxa"/>
              <w:bottom w:w="60" w:type="dxa"/>
              <w:right w:w="80" w:type="dxa"/>
            </w:tcMar>
          </w:tcPr>
          <w:p w14:paraId="6928E235">
            <w:pPr>
              <w:spacing w:before="40" w:after="40"/>
              <w:jc w:val="left"/>
            </w:pPr>
            <w:r>
              <w:rPr>
                <w:sz w:val="20"/>
                <w:szCs w:val="20"/>
              </w:rPr>
              <w:t>Active gap for consecutive satellite pair k</w:t>
            </w:r>
          </w:p>
        </w:tc>
      </w:tr>
      <w:tr w14:paraId="345A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60" w:type="dxa"/>
              <w:left w:w="80" w:type="dxa"/>
              <w:bottom w:w="60" w:type="dxa"/>
              <w:right w:w="80" w:type="dxa"/>
            </w:tcMar>
          </w:tcPr>
          <w:p w14:paraId="0BC86ED2">
            <w:pPr>
              <w:spacing w:before="40" w:after="40"/>
              <w:jc w:val="left"/>
            </w:pPr>
            <w:r>
              <w:rPr>
                <w:sz w:val="20"/>
                <w:szCs w:val="20"/>
              </w:rPr>
              <w:t>G_max</w:t>
            </w:r>
          </w:p>
        </w:tc>
        <w:tc>
          <w:tcPr>
            <w:tcW w:w="1600" w:type="dxa"/>
            <w:tcMar>
              <w:top w:w="60" w:type="dxa"/>
              <w:left w:w="80" w:type="dxa"/>
              <w:bottom w:w="60" w:type="dxa"/>
              <w:right w:w="80" w:type="dxa"/>
            </w:tcMar>
          </w:tcPr>
          <w:p w14:paraId="266DA872">
            <w:pPr>
              <w:spacing w:before="40" w:after="40"/>
              <w:jc w:val="left"/>
            </w:pPr>
            <w:r>
              <w:rPr>
                <w:sz w:val="20"/>
                <w:szCs w:val="20"/>
              </w:rPr>
              <w:t>Continuous ≥ 0</w:t>
            </w:r>
          </w:p>
        </w:tc>
        <w:tc>
          <w:tcPr>
            <w:tcW w:w="1200" w:type="dxa"/>
            <w:tcMar>
              <w:top w:w="60" w:type="dxa"/>
              <w:left w:w="80" w:type="dxa"/>
              <w:bottom w:w="60" w:type="dxa"/>
              <w:right w:w="80" w:type="dxa"/>
            </w:tcMar>
          </w:tcPr>
          <w:p w14:paraId="5C35005B">
            <w:pPr>
              <w:spacing w:before="40" w:after="40"/>
              <w:jc w:val="left"/>
            </w:pPr>
            <w:r>
              <w:rPr>
                <w:sz w:val="20"/>
                <w:szCs w:val="20"/>
              </w:rPr>
              <w:t>1</w:t>
            </w:r>
          </w:p>
        </w:tc>
        <w:tc>
          <w:tcPr>
            <w:tcW w:w="4400" w:type="dxa"/>
            <w:tcMar>
              <w:top w:w="60" w:type="dxa"/>
              <w:left w:w="80" w:type="dxa"/>
              <w:bottom w:w="60" w:type="dxa"/>
              <w:right w:w="80" w:type="dxa"/>
            </w:tcMar>
          </w:tcPr>
          <w:p w14:paraId="0BF219B1">
            <w:pPr>
              <w:spacing w:before="40" w:after="40"/>
              <w:jc w:val="left"/>
            </w:pPr>
            <w:r>
              <w:rPr>
                <w:sz w:val="20"/>
                <w:szCs w:val="20"/>
              </w:rPr>
              <w:t>Fleet-wide worst-case revisit gap</w:t>
            </w:r>
          </w:p>
        </w:tc>
      </w:tr>
      <w:tr w14:paraId="3B45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5FA"/>
            <w:tcMar>
              <w:top w:w="60" w:type="dxa"/>
              <w:left w:w="80" w:type="dxa"/>
              <w:bottom w:w="60" w:type="dxa"/>
              <w:right w:w="80" w:type="dxa"/>
            </w:tcMar>
          </w:tcPr>
          <w:p w14:paraId="4C35B97F">
            <w:pPr>
              <w:spacing w:before="40" w:after="40"/>
              <w:jc w:val="left"/>
            </w:pPr>
            <w:r>
              <w:rPr>
                <w:sz w:val="20"/>
                <w:szCs w:val="20"/>
              </w:rPr>
              <w:t>TOTAL</w:t>
            </w:r>
          </w:p>
        </w:tc>
        <w:tc>
          <w:tcPr>
            <w:tcW w:w="1600" w:type="dxa"/>
            <w:shd w:val="clear" w:color="auto" w:fill="F2F5FA"/>
            <w:tcMar>
              <w:top w:w="60" w:type="dxa"/>
              <w:left w:w="80" w:type="dxa"/>
              <w:bottom w:w="60" w:type="dxa"/>
              <w:right w:w="80" w:type="dxa"/>
            </w:tcMar>
          </w:tcPr>
          <w:p w14:paraId="45F040AD">
            <w:pPr>
              <w:spacing w:before="40" w:after="40"/>
              <w:jc w:val="left"/>
            </w:pPr>
            <w:r>
              <w:rPr>
                <w:sz w:val="20"/>
                <w:szCs w:val="20"/>
              </w:rPr>
              <w:t>—</w:t>
            </w:r>
          </w:p>
        </w:tc>
        <w:tc>
          <w:tcPr>
            <w:tcW w:w="1200" w:type="dxa"/>
            <w:shd w:val="clear" w:color="auto" w:fill="F2F5FA"/>
            <w:tcMar>
              <w:top w:w="60" w:type="dxa"/>
              <w:left w:w="80" w:type="dxa"/>
              <w:bottom w:w="60" w:type="dxa"/>
              <w:right w:w="80" w:type="dxa"/>
            </w:tcMar>
          </w:tcPr>
          <w:p w14:paraId="01710B7A">
            <w:pPr>
              <w:spacing w:before="40" w:after="40"/>
              <w:jc w:val="left"/>
            </w:pPr>
            <w:r>
              <w:rPr>
                <w:sz w:val="20"/>
                <w:szCs w:val="20"/>
              </w:rPr>
              <w:t>545</w:t>
            </w:r>
          </w:p>
        </w:tc>
        <w:tc>
          <w:tcPr>
            <w:tcW w:w="4400" w:type="dxa"/>
            <w:shd w:val="clear" w:color="auto" w:fill="F2F5FA"/>
            <w:tcMar>
              <w:top w:w="60" w:type="dxa"/>
              <w:left w:w="80" w:type="dxa"/>
              <w:bottom w:w="60" w:type="dxa"/>
              <w:right w:w="80" w:type="dxa"/>
            </w:tcMar>
          </w:tcPr>
          <w:p w14:paraId="4F5D5230">
            <w:pPr>
              <w:spacing w:before="40" w:after="40"/>
              <w:jc w:val="left"/>
            </w:pPr>
            <w:r>
              <w:rPr>
                <w:sz w:val="20"/>
                <w:szCs w:val="20"/>
              </w:rPr>
              <w:t>—</w:t>
            </w:r>
          </w:p>
        </w:tc>
      </w:tr>
    </w:tbl>
    <w:p w14:paraId="1EFAE4EA">
      <w:pPr>
        <w:spacing w:before="0" w:after="120"/>
      </w:pPr>
    </w:p>
    <w:p w14:paraId="3C738554">
      <w:pPr>
        <w:pStyle w:val="3"/>
        <w:spacing w:before="240" w:after="80"/>
      </w:pPr>
      <w:r>
        <w:t>8.2  Constraint Count</w:t>
      </w:r>
    </w:p>
    <w:p w14:paraId="152F4B1A">
      <w:pPr>
        <w:spacing w:before="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500"/>
        <w:gridCol w:w="1500"/>
        <w:gridCol w:w="4000"/>
      </w:tblGrid>
      <w:tr w14:paraId="01B00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80" w:type="dxa"/>
              <w:bottom w:w="60" w:type="dxa"/>
              <w:right w:w="80" w:type="dxa"/>
            </w:tcMar>
          </w:tcPr>
          <w:p w14:paraId="03C20033">
            <w:pPr>
              <w:spacing w:before="60" w:after="60"/>
              <w:jc w:val="center"/>
            </w:pPr>
            <w:r>
              <w:rPr>
                <w:b/>
                <w:bCs/>
                <w:color w:val="FFFFFF"/>
                <w:sz w:val="20"/>
                <w:szCs w:val="20"/>
              </w:rPr>
              <w:t>Constraint Type</w:t>
            </w:r>
          </w:p>
        </w:tc>
        <w:tc>
          <w:tcPr>
            <w:tcW w:w="1500" w:type="dxa"/>
            <w:shd w:val="clear" w:color="auto" w:fill="1F3864"/>
            <w:tcMar>
              <w:top w:w="60" w:type="dxa"/>
              <w:left w:w="80" w:type="dxa"/>
              <w:bottom w:w="60" w:type="dxa"/>
              <w:right w:w="80" w:type="dxa"/>
            </w:tcMar>
          </w:tcPr>
          <w:p w14:paraId="69AF79BF">
            <w:pPr>
              <w:spacing w:before="60" w:after="60"/>
              <w:jc w:val="center"/>
            </w:pPr>
            <w:r>
              <w:rPr>
                <w:b/>
                <w:bCs/>
                <w:color w:val="FFFFFF"/>
                <w:sz w:val="20"/>
                <w:szCs w:val="20"/>
              </w:rPr>
              <w:t>Count</w:t>
            </w:r>
          </w:p>
        </w:tc>
        <w:tc>
          <w:tcPr>
            <w:tcW w:w="4000" w:type="dxa"/>
            <w:shd w:val="clear" w:color="auto" w:fill="1F3864"/>
            <w:tcMar>
              <w:top w:w="60" w:type="dxa"/>
              <w:left w:w="80" w:type="dxa"/>
              <w:bottom w:w="60" w:type="dxa"/>
              <w:right w:w="80" w:type="dxa"/>
            </w:tcMar>
          </w:tcPr>
          <w:p w14:paraId="4C07D8BB">
            <w:pPr>
              <w:spacing w:before="60" w:after="60"/>
              <w:jc w:val="center"/>
            </w:pPr>
            <w:r>
              <w:rPr>
                <w:b/>
                <w:bCs/>
                <w:color w:val="FFFFFF"/>
                <w:sz w:val="20"/>
                <w:szCs w:val="20"/>
              </w:rPr>
              <w:t>Source</w:t>
            </w:r>
          </w:p>
        </w:tc>
      </w:tr>
      <w:tr w14:paraId="4B6F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80" w:type="dxa"/>
              <w:bottom w:w="60" w:type="dxa"/>
              <w:right w:w="80" w:type="dxa"/>
            </w:tcMar>
          </w:tcPr>
          <w:p w14:paraId="1E9C68CF">
            <w:pPr>
              <w:spacing w:before="40" w:after="40"/>
              <w:jc w:val="left"/>
            </w:pPr>
            <w:r>
              <w:rPr>
                <w:sz w:val="20"/>
                <w:szCs w:val="20"/>
              </w:rPr>
              <w:t>Station exclusivity  (x_i + x_j ≤ 1)</w:t>
            </w:r>
          </w:p>
        </w:tc>
        <w:tc>
          <w:tcPr>
            <w:tcW w:w="1500" w:type="dxa"/>
            <w:tcMar>
              <w:top w:w="60" w:type="dxa"/>
              <w:left w:w="80" w:type="dxa"/>
              <w:bottom w:w="60" w:type="dxa"/>
              <w:right w:w="80" w:type="dxa"/>
            </w:tcMar>
          </w:tcPr>
          <w:p w14:paraId="5BBEC271">
            <w:pPr>
              <w:spacing w:before="40" w:after="40"/>
              <w:jc w:val="left"/>
            </w:pPr>
            <w:r>
              <w:rPr>
                <w:sz w:val="20"/>
                <w:szCs w:val="20"/>
              </w:rPr>
              <w:t>5</w:t>
            </w:r>
          </w:p>
        </w:tc>
        <w:tc>
          <w:tcPr>
            <w:tcW w:w="4000" w:type="dxa"/>
            <w:tcMar>
              <w:top w:w="60" w:type="dxa"/>
              <w:left w:w="80" w:type="dxa"/>
              <w:bottom w:w="60" w:type="dxa"/>
              <w:right w:w="80" w:type="dxa"/>
            </w:tcMar>
          </w:tcPr>
          <w:p w14:paraId="26461896">
            <w:pPr>
              <w:spacing w:before="40" w:after="40"/>
              <w:jc w:val="left"/>
            </w:pPr>
            <w:r>
              <w:rPr>
                <w:sz w:val="20"/>
                <w:szCs w:val="20"/>
              </w:rPr>
              <w:t>Conflict pairs detected from window data</w:t>
            </w:r>
          </w:p>
        </w:tc>
      </w:tr>
      <w:tr w14:paraId="3869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5FA"/>
            <w:tcMar>
              <w:top w:w="60" w:type="dxa"/>
              <w:left w:w="80" w:type="dxa"/>
              <w:bottom w:w="60" w:type="dxa"/>
              <w:right w:w="80" w:type="dxa"/>
            </w:tcMar>
          </w:tcPr>
          <w:p w14:paraId="22D24830">
            <w:pPr>
              <w:spacing w:before="40" w:after="40"/>
              <w:jc w:val="left"/>
            </w:pPr>
            <w:r>
              <w:rPr>
                <w:sz w:val="20"/>
                <w:szCs w:val="20"/>
              </w:rPr>
              <w:t>Gap lower bound  (g_k ≥ …)</w:t>
            </w:r>
          </w:p>
        </w:tc>
        <w:tc>
          <w:tcPr>
            <w:tcW w:w="1500" w:type="dxa"/>
            <w:shd w:val="clear" w:color="auto" w:fill="F2F5FA"/>
            <w:tcMar>
              <w:top w:w="60" w:type="dxa"/>
              <w:left w:w="80" w:type="dxa"/>
              <w:bottom w:w="60" w:type="dxa"/>
              <w:right w:w="80" w:type="dxa"/>
            </w:tcMar>
          </w:tcPr>
          <w:p w14:paraId="61D40E32">
            <w:pPr>
              <w:spacing w:before="40" w:after="40"/>
              <w:jc w:val="left"/>
            </w:pPr>
            <w:r>
              <w:rPr>
                <w:sz w:val="20"/>
                <w:szCs w:val="20"/>
              </w:rPr>
              <w:t>260</w:t>
            </w:r>
          </w:p>
        </w:tc>
        <w:tc>
          <w:tcPr>
            <w:tcW w:w="4000" w:type="dxa"/>
            <w:shd w:val="clear" w:color="auto" w:fill="F2F5FA"/>
            <w:tcMar>
              <w:top w:w="60" w:type="dxa"/>
              <w:left w:w="80" w:type="dxa"/>
              <w:bottom w:w="60" w:type="dxa"/>
              <w:right w:w="80" w:type="dxa"/>
            </w:tcMar>
          </w:tcPr>
          <w:p w14:paraId="0B9EA55D">
            <w:pPr>
              <w:spacing w:before="40" w:after="40"/>
              <w:jc w:val="left"/>
            </w:pPr>
            <w:r>
              <w:rPr>
                <w:sz w:val="20"/>
                <w:szCs w:val="20"/>
              </w:rPr>
              <w:t>One per consecutive satellite pair</w:t>
            </w:r>
          </w:p>
        </w:tc>
      </w:tr>
      <w:tr w14:paraId="0140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80" w:type="dxa"/>
              <w:bottom w:w="60" w:type="dxa"/>
              <w:right w:w="80" w:type="dxa"/>
            </w:tcMar>
          </w:tcPr>
          <w:p w14:paraId="6311F36C">
            <w:pPr>
              <w:spacing w:before="40" w:after="40"/>
              <w:jc w:val="left"/>
            </w:pPr>
            <w:r>
              <w:rPr>
                <w:sz w:val="20"/>
                <w:szCs w:val="20"/>
              </w:rPr>
              <w:t>Gap upper bound 1  (g_k ≤ gap × x_i)</w:t>
            </w:r>
          </w:p>
        </w:tc>
        <w:tc>
          <w:tcPr>
            <w:tcW w:w="1500" w:type="dxa"/>
            <w:tcMar>
              <w:top w:w="60" w:type="dxa"/>
              <w:left w:w="80" w:type="dxa"/>
              <w:bottom w:w="60" w:type="dxa"/>
              <w:right w:w="80" w:type="dxa"/>
            </w:tcMar>
          </w:tcPr>
          <w:p w14:paraId="6251EAA7">
            <w:pPr>
              <w:spacing w:before="40" w:after="40"/>
              <w:jc w:val="left"/>
            </w:pPr>
            <w:r>
              <w:rPr>
                <w:sz w:val="20"/>
                <w:szCs w:val="20"/>
              </w:rPr>
              <w:t>260</w:t>
            </w:r>
          </w:p>
        </w:tc>
        <w:tc>
          <w:tcPr>
            <w:tcW w:w="4000" w:type="dxa"/>
            <w:tcMar>
              <w:top w:w="60" w:type="dxa"/>
              <w:left w:w="80" w:type="dxa"/>
              <w:bottom w:w="60" w:type="dxa"/>
              <w:right w:w="80" w:type="dxa"/>
            </w:tcMar>
          </w:tcPr>
          <w:p w14:paraId="5A65120D">
            <w:pPr>
              <w:spacing w:before="40" w:after="40"/>
              <w:jc w:val="left"/>
            </w:pPr>
            <w:r>
              <w:rPr>
                <w:sz w:val="20"/>
                <w:szCs w:val="20"/>
              </w:rPr>
              <w:t>One per consecutive satellite pair</w:t>
            </w:r>
          </w:p>
        </w:tc>
      </w:tr>
      <w:tr w14:paraId="0D2F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5FA"/>
            <w:tcMar>
              <w:top w:w="60" w:type="dxa"/>
              <w:left w:w="80" w:type="dxa"/>
              <w:bottom w:w="60" w:type="dxa"/>
              <w:right w:w="80" w:type="dxa"/>
            </w:tcMar>
          </w:tcPr>
          <w:p w14:paraId="5BC62255">
            <w:pPr>
              <w:spacing w:before="40" w:after="40"/>
              <w:jc w:val="left"/>
            </w:pPr>
            <w:r>
              <w:rPr>
                <w:sz w:val="20"/>
                <w:szCs w:val="20"/>
              </w:rPr>
              <w:t>Gap upper bound 2  (g_k ≤ gap × x_j)</w:t>
            </w:r>
          </w:p>
        </w:tc>
        <w:tc>
          <w:tcPr>
            <w:tcW w:w="1500" w:type="dxa"/>
            <w:shd w:val="clear" w:color="auto" w:fill="F2F5FA"/>
            <w:tcMar>
              <w:top w:w="60" w:type="dxa"/>
              <w:left w:w="80" w:type="dxa"/>
              <w:bottom w:w="60" w:type="dxa"/>
              <w:right w:w="80" w:type="dxa"/>
            </w:tcMar>
          </w:tcPr>
          <w:p w14:paraId="01B770A8">
            <w:pPr>
              <w:spacing w:before="40" w:after="40"/>
              <w:jc w:val="left"/>
            </w:pPr>
            <w:r>
              <w:rPr>
                <w:sz w:val="20"/>
                <w:szCs w:val="20"/>
              </w:rPr>
              <w:t>260</w:t>
            </w:r>
          </w:p>
        </w:tc>
        <w:tc>
          <w:tcPr>
            <w:tcW w:w="4000" w:type="dxa"/>
            <w:shd w:val="clear" w:color="auto" w:fill="F2F5FA"/>
            <w:tcMar>
              <w:top w:w="60" w:type="dxa"/>
              <w:left w:w="80" w:type="dxa"/>
              <w:bottom w:w="60" w:type="dxa"/>
              <w:right w:w="80" w:type="dxa"/>
            </w:tcMar>
          </w:tcPr>
          <w:p w14:paraId="208FAF46">
            <w:pPr>
              <w:spacing w:before="40" w:after="40"/>
              <w:jc w:val="left"/>
            </w:pPr>
            <w:r>
              <w:rPr>
                <w:sz w:val="20"/>
                <w:szCs w:val="20"/>
              </w:rPr>
              <w:t>One per consecutive satellite pair</w:t>
            </w:r>
          </w:p>
        </w:tc>
      </w:tr>
      <w:tr w14:paraId="7CD41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80" w:type="dxa"/>
              <w:bottom w:w="60" w:type="dxa"/>
              <w:right w:w="80" w:type="dxa"/>
            </w:tcMar>
          </w:tcPr>
          <w:p w14:paraId="08FE2560">
            <w:pPr>
              <w:spacing w:before="40" w:after="40"/>
              <w:jc w:val="left"/>
            </w:pPr>
            <w:r>
              <w:rPr>
                <w:sz w:val="20"/>
                <w:szCs w:val="20"/>
              </w:rPr>
              <w:t>G_max tracking  (G_max ≥ g_k)</w:t>
            </w:r>
          </w:p>
        </w:tc>
        <w:tc>
          <w:tcPr>
            <w:tcW w:w="1500" w:type="dxa"/>
            <w:tcMar>
              <w:top w:w="60" w:type="dxa"/>
              <w:left w:w="80" w:type="dxa"/>
              <w:bottom w:w="60" w:type="dxa"/>
              <w:right w:w="80" w:type="dxa"/>
            </w:tcMar>
          </w:tcPr>
          <w:p w14:paraId="74412DAD">
            <w:pPr>
              <w:spacing w:before="40" w:after="40"/>
              <w:jc w:val="left"/>
            </w:pPr>
            <w:r>
              <w:rPr>
                <w:sz w:val="20"/>
                <w:szCs w:val="20"/>
              </w:rPr>
              <w:t>260</w:t>
            </w:r>
          </w:p>
        </w:tc>
        <w:tc>
          <w:tcPr>
            <w:tcW w:w="4000" w:type="dxa"/>
            <w:tcMar>
              <w:top w:w="60" w:type="dxa"/>
              <w:left w:w="80" w:type="dxa"/>
              <w:bottom w:w="60" w:type="dxa"/>
              <w:right w:w="80" w:type="dxa"/>
            </w:tcMar>
          </w:tcPr>
          <w:p w14:paraId="5CF56E15">
            <w:pPr>
              <w:spacing w:before="40" w:after="40"/>
              <w:jc w:val="left"/>
            </w:pPr>
            <w:r>
              <w:rPr>
                <w:sz w:val="20"/>
                <w:szCs w:val="20"/>
              </w:rPr>
              <w:t>One per consecutive satellite pair</w:t>
            </w:r>
          </w:p>
        </w:tc>
      </w:tr>
      <w:tr w14:paraId="7CDED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5FA"/>
            <w:tcMar>
              <w:top w:w="60" w:type="dxa"/>
              <w:left w:w="80" w:type="dxa"/>
              <w:bottom w:w="60" w:type="dxa"/>
              <w:right w:w="80" w:type="dxa"/>
            </w:tcMar>
          </w:tcPr>
          <w:p w14:paraId="2955C5CE">
            <w:pPr>
              <w:spacing w:before="40" w:after="40"/>
              <w:jc w:val="left"/>
            </w:pPr>
            <w:r>
              <w:rPr>
                <w:sz w:val="20"/>
                <w:szCs w:val="20"/>
              </w:rPr>
              <w:t>TOTAL</w:t>
            </w:r>
          </w:p>
        </w:tc>
        <w:tc>
          <w:tcPr>
            <w:tcW w:w="1500" w:type="dxa"/>
            <w:shd w:val="clear" w:color="auto" w:fill="F2F5FA"/>
            <w:tcMar>
              <w:top w:w="60" w:type="dxa"/>
              <w:left w:w="80" w:type="dxa"/>
              <w:bottom w:w="60" w:type="dxa"/>
              <w:right w:w="80" w:type="dxa"/>
            </w:tcMar>
          </w:tcPr>
          <w:p w14:paraId="58B296A6">
            <w:pPr>
              <w:spacing w:before="40" w:after="40"/>
              <w:jc w:val="left"/>
            </w:pPr>
            <w:r>
              <w:rPr>
                <w:sz w:val="20"/>
                <w:szCs w:val="20"/>
              </w:rPr>
              <w:t>1,045</w:t>
            </w:r>
          </w:p>
        </w:tc>
        <w:tc>
          <w:tcPr>
            <w:tcW w:w="4000" w:type="dxa"/>
            <w:shd w:val="clear" w:color="auto" w:fill="F2F5FA"/>
            <w:tcMar>
              <w:top w:w="60" w:type="dxa"/>
              <w:left w:w="80" w:type="dxa"/>
              <w:bottom w:w="60" w:type="dxa"/>
              <w:right w:w="80" w:type="dxa"/>
            </w:tcMar>
          </w:tcPr>
          <w:p w14:paraId="60FE6606">
            <w:pPr>
              <w:spacing w:before="40" w:after="40"/>
              <w:jc w:val="left"/>
            </w:pPr>
            <w:r>
              <w:rPr>
                <w:sz w:val="20"/>
                <w:szCs w:val="20"/>
              </w:rPr>
              <w:t>—</w:t>
            </w:r>
          </w:p>
        </w:tc>
      </w:tr>
    </w:tbl>
    <w:p w14:paraId="0592629F">
      <w:pPr>
        <w:spacing w:before="0" w:after="120"/>
      </w:pPr>
    </w:p>
    <w:p w14:paraId="662D481C">
      <w:pPr>
        <w:pStyle w:val="3"/>
        <w:spacing w:before="240" w:after="80"/>
      </w:pPr>
      <w:r>
        <w:t>8.3  Output Files</w:t>
      </w:r>
    </w:p>
    <w:p w14:paraId="53F929D4">
      <w:pPr>
        <w:spacing w:before="0" w:after="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500"/>
        <w:gridCol w:w="5500"/>
      </w:tblGrid>
      <w:tr w14:paraId="5143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1F3864"/>
            <w:tcMar>
              <w:top w:w="60" w:type="dxa"/>
              <w:left w:w="80" w:type="dxa"/>
              <w:bottom w:w="60" w:type="dxa"/>
              <w:right w:w="80" w:type="dxa"/>
            </w:tcMar>
          </w:tcPr>
          <w:p w14:paraId="112F762D">
            <w:pPr>
              <w:spacing w:before="60" w:after="60"/>
              <w:jc w:val="center"/>
            </w:pPr>
            <w:r>
              <w:rPr>
                <w:b/>
                <w:bCs/>
                <w:color w:val="FFFFFF"/>
                <w:sz w:val="20"/>
                <w:szCs w:val="20"/>
              </w:rPr>
              <w:t>File</w:t>
            </w:r>
          </w:p>
        </w:tc>
        <w:tc>
          <w:tcPr>
            <w:tcW w:w="5500" w:type="dxa"/>
            <w:shd w:val="clear" w:color="auto" w:fill="1F3864"/>
            <w:tcMar>
              <w:top w:w="60" w:type="dxa"/>
              <w:left w:w="80" w:type="dxa"/>
              <w:bottom w:w="60" w:type="dxa"/>
              <w:right w:w="80" w:type="dxa"/>
            </w:tcMar>
          </w:tcPr>
          <w:p w14:paraId="67454B0E">
            <w:pPr>
              <w:spacing w:before="60" w:after="60"/>
              <w:jc w:val="center"/>
            </w:pPr>
            <w:r>
              <w:rPr>
                <w:b/>
                <w:bCs/>
                <w:color w:val="FFFFFF"/>
                <w:sz w:val="20"/>
                <w:szCs w:val="20"/>
              </w:rPr>
              <w:t>Description</w:t>
            </w:r>
          </w:p>
        </w:tc>
      </w:tr>
      <w:tr w14:paraId="6361E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80" w:type="dxa"/>
              <w:bottom w:w="60" w:type="dxa"/>
              <w:right w:w="80" w:type="dxa"/>
            </w:tcMar>
          </w:tcPr>
          <w:p w14:paraId="4A1F2BEA">
            <w:pPr>
              <w:spacing w:before="40" w:after="40"/>
              <w:jc w:val="left"/>
            </w:pPr>
            <w:r>
              <w:rPr>
                <w:sz w:val="20"/>
                <w:szCs w:val="20"/>
              </w:rPr>
              <w:t>11_ilp_contact_scheduler.py</w:t>
            </w:r>
          </w:p>
        </w:tc>
        <w:tc>
          <w:tcPr>
            <w:tcW w:w="5500" w:type="dxa"/>
            <w:tcMar>
              <w:top w:w="60" w:type="dxa"/>
              <w:left w:w="80" w:type="dxa"/>
              <w:bottom w:w="60" w:type="dxa"/>
              <w:right w:w="80" w:type="dxa"/>
            </w:tcMar>
          </w:tcPr>
          <w:p w14:paraId="022FEFCB">
            <w:pPr>
              <w:spacing w:before="40" w:after="40"/>
              <w:jc w:val="left"/>
            </w:pPr>
            <w:r>
              <w:rPr>
                <w:sz w:val="20"/>
                <w:szCs w:val="20"/>
              </w:rPr>
              <w:t>Main ILP script — parsing, formulation, solve, outputs</w:t>
            </w:r>
          </w:p>
        </w:tc>
      </w:tr>
      <w:tr w14:paraId="3063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5FA"/>
            <w:tcMar>
              <w:top w:w="60" w:type="dxa"/>
              <w:left w:w="80" w:type="dxa"/>
              <w:bottom w:w="60" w:type="dxa"/>
              <w:right w:w="80" w:type="dxa"/>
            </w:tcMar>
          </w:tcPr>
          <w:p w14:paraId="77AD2761">
            <w:pPr>
              <w:spacing w:before="40" w:after="40"/>
              <w:jc w:val="left"/>
            </w:pPr>
            <w:r>
              <w:rPr>
                <w:sz w:val="20"/>
                <w:szCs w:val="20"/>
              </w:rPr>
              <w:t>schedule_output.txt</w:t>
            </w:r>
          </w:p>
        </w:tc>
        <w:tc>
          <w:tcPr>
            <w:tcW w:w="5500" w:type="dxa"/>
            <w:shd w:val="clear" w:color="auto" w:fill="F2F5FA"/>
            <w:tcMar>
              <w:top w:w="60" w:type="dxa"/>
              <w:left w:w="80" w:type="dxa"/>
              <w:bottom w:w="60" w:type="dxa"/>
              <w:right w:w="80" w:type="dxa"/>
            </w:tcMar>
          </w:tcPr>
          <w:p w14:paraId="1D8B6F91">
            <w:pPr>
              <w:spacing w:before="40" w:after="40"/>
              <w:jc w:val="left"/>
            </w:pPr>
            <w:r>
              <w:rPr>
                <w:sz w:val="20"/>
                <w:szCs w:val="20"/>
              </w:rPr>
              <w:t>Chronological schedule + per-satellite contact summary</w:t>
            </w:r>
          </w:p>
        </w:tc>
      </w:tr>
      <w:tr w14:paraId="7E124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80" w:type="dxa"/>
              <w:bottom w:w="60" w:type="dxa"/>
              <w:right w:w="80" w:type="dxa"/>
            </w:tcMar>
          </w:tcPr>
          <w:p w14:paraId="4A7F2D5B">
            <w:pPr>
              <w:spacing w:before="40" w:after="40"/>
              <w:jc w:val="left"/>
            </w:pPr>
            <w:r>
              <w:rPr>
                <w:sz w:val="20"/>
                <w:szCs w:val="20"/>
              </w:rPr>
              <w:t>11_ilp_summary.txt</w:t>
            </w:r>
          </w:p>
        </w:tc>
        <w:tc>
          <w:tcPr>
            <w:tcW w:w="5500" w:type="dxa"/>
            <w:tcMar>
              <w:top w:w="60" w:type="dxa"/>
              <w:left w:w="80" w:type="dxa"/>
              <w:bottom w:w="60" w:type="dxa"/>
              <w:right w:w="80" w:type="dxa"/>
            </w:tcMar>
          </w:tcPr>
          <w:p w14:paraId="4FF1616B">
            <w:pPr>
              <w:spacing w:before="40" w:after="40"/>
              <w:jc w:val="left"/>
            </w:pPr>
            <w:r>
              <w:rPr>
                <w:sz w:val="20"/>
                <w:szCs w:val="20"/>
              </w:rPr>
              <w:t>Formulation statistics, solver result, fleet-level metrics</w:t>
            </w:r>
          </w:p>
        </w:tc>
      </w:tr>
      <w:tr w14:paraId="1C60C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5FA"/>
            <w:tcMar>
              <w:top w:w="60" w:type="dxa"/>
              <w:left w:w="80" w:type="dxa"/>
              <w:bottom w:w="60" w:type="dxa"/>
              <w:right w:w="80" w:type="dxa"/>
            </w:tcMar>
          </w:tcPr>
          <w:p w14:paraId="01B55ED8">
            <w:pPr>
              <w:spacing w:before="40" w:after="40"/>
              <w:jc w:val="left"/>
            </w:pPr>
            <w:r>
              <w:rPr>
                <w:sz w:val="20"/>
                <w:szCs w:val="20"/>
              </w:rPr>
              <w:t>11_schedule_gantt.png</w:t>
            </w:r>
          </w:p>
        </w:tc>
        <w:tc>
          <w:tcPr>
            <w:tcW w:w="5500" w:type="dxa"/>
            <w:shd w:val="clear" w:color="auto" w:fill="F2F5FA"/>
            <w:tcMar>
              <w:top w:w="60" w:type="dxa"/>
              <w:left w:w="80" w:type="dxa"/>
              <w:bottom w:w="60" w:type="dxa"/>
              <w:right w:w="80" w:type="dxa"/>
            </w:tcMar>
          </w:tcPr>
          <w:p w14:paraId="439DFB4E">
            <w:pPr>
              <w:spacing w:before="40" w:after="40"/>
              <w:jc w:val="left"/>
            </w:pPr>
            <w:r>
              <w:rPr>
                <w:sz w:val="20"/>
                <w:szCs w:val="20"/>
              </w:rPr>
              <w:t>Gantt chart of scheduled windows, coloured by station</w:t>
            </w:r>
          </w:p>
        </w:tc>
      </w:tr>
      <w:tr w14:paraId="4BDC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F2F5FA"/>
            <w:tcMar>
              <w:top w:w="60" w:type="dxa"/>
              <w:left w:w="80" w:type="dxa"/>
              <w:bottom w:w="60" w:type="dxa"/>
              <w:right w:w="80" w:type="dxa"/>
            </w:tcMar>
          </w:tcPr>
          <w:p w14:paraId="10BB0753">
            <w:pPr>
              <w:spacing w:before="40" w:after="40"/>
              <w:jc w:val="left"/>
            </w:pPr>
            <w:r>
              <w:rPr>
                <w:sz w:val="20"/>
                <w:szCs w:val="20"/>
              </w:rPr>
              <w:t>11_ilp_contact_data.script</w:t>
            </w:r>
          </w:p>
        </w:tc>
        <w:tc>
          <w:tcPr>
            <w:tcW w:w="5500" w:type="dxa"/>
            <w:shd w:val="clear" w:color="auto" w:fill="F2F5FA"/>
            <w:tcMar>
              <w:top w:w="60" w:type="dxa"/>
              <w:left w:w="80" w:type="dxa"/>
              <w:bottom w:w="60" w:type="dxa"/>
              <w:right w:w="80" w:type="dxa"/>
            </w:tcMar>
          </w:tcPr>
          <w:p w14:paraId="5D4905B5">
            <w:pPr>
              <w:spacing w:before="40" w:after="40"/>
              <w:jc w:val="left"/>
            </w:pPr>
            <w:r>
              <w:rPr>
                <w:sz w:val="20"/>
                <w:szCs w:val="20"/>
              </w:rPr>
              <w:t>GMAT R2022a script that generates the 24 contact window files into output_sc11\ (Step 1 of the two-step workflow)</w:t>
            </w:r>
          </w:p>
        </w:tc>
      </w:tr>
      <w:tr w14:paraId="3362E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80" w:type="dxa"/>
              <w:bottom w:w="60" w:type="dxa"/>
              <w:right w:w="80" w:type="dxa"/>
            </w:tcMar>
          </w:tcPr>
          <w:p w14:paraId="5C2B8F24">
            <w:pPr>
              <w:spacing w:before="40" w:after="40"/>
              <w:jc w:val="left"/>
            </w:pPr>
            <w:r>
              <w:rPr>
                <w:sz w:val="20"/>
                <w:szCs w:val="20"/>
              </w:rPr>
              <w:t>output_sc11/Contact_*.txt</w:t>
            </w:r>
          </w:p>
        </w:tc>
        <w:tc>
          <w:tcPr>
            <w:tcW w:w="5500" w:type="dxa"/>
            <w:tcMar>
              <w:top w:w="60" w:type="dxa"/>
              <w:left w:w="80" w:type="dxa"/>
              <w:bottom w:w="60" w:type="dxa"/>
              <w:right w:w="80" w:type="dxa"/>
            </w:tcMar>
          </w:tcPr>
          <w:p w14:paraId="2E3F2036">
            <w:pPr>
              <w:spacing w:before="40" w:after="40"/>
              <w:jc w:val="left"/>
            </w:pPr>
            <w:r>
              <w:rPr>
                <w:sz w:val="20"/>
                <w:szCs w:val="20"/>
              </w:rPr>
              <w:t>24 GMAT contact window files generated by 11_ilp_contact_data.script (Scenario 11’s own GMAT script)</w:t>
            </w:r>
          </w:p>
        </w:tc>
      </w:tr>
    </w:tbl>
    <w:p w14:paraId="6023A4B4">
      <w:pPr>
        <w:spacing w:before="0" w:after="240"/>
      </w:pPr>
    </w:p>
    <w:p w14:paraId="3FC82A9E">
      <w:pPr>
        <w:pBdr>
          <w:top w:val="single" w:color="CCCCCC" w:sz="4" w:space="0"/>
        </w:pBdr>
        <w:spacing w:before="240"/>
        <w:jc w:val="center"/>
      </w:pPr>
      <w:r>
        <w:rPr>
          <w:i/>
          <w:iCs/>
          <w:color w:val="888888"/>
          <w:sz w:val="20"/>
          <w:szCs w:val="20"/>
        </w:rPr>
        <w:t>End of Report</w:t>
      </w: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32104">
    <w:pPr>
      <w:pBdr>
        <w:top w:val="single" w:color="CCCCCC" w:sz="4" w:space="0"/>
      </w:pBdr>
      <w:tabs>
        <w:tab w:val="right" w:pos="9360"/>
      </w:tabs>
    </w:pPr>
    <w:r>
      <w:rPr>
        <w:color w:val="888888"/>
        <w:sz w:val="18"/>
        <w:szCs w:val="18"/>
      </w:rPr>
      <w:t xml:space="preserve">Confidential — Portfolio Use Only    </w:t>
    </w:r>
    <w:r>
      <w:rPr>
        <w:color w:val="888888"/>
        <w:sz w:val="18"/>
        <w:szCs w:val="18"/>
      </w:rPr>
      <w:tab/>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C1FDA">
    <w:pPr>
      <w:pBdr>
        <w:bottom w:val="single" w:color="2E5598" w:sz="6" w:space="0"/>
      </w:pBdr>
      <w:tabs>
        <w:tab w:val="right" w:pos="9360"/>
      </w:tabs>
    </w:pPr>
    <w:r>
      <w:rPr>
        <w:color w:val="666666"/>
        <w:sz w:val="18"/>
        <w:szCs w:val="18"/>
      </w:rPr>
      <w:t>GMAT Astrodynamics Portfolio — Scenario 11</w:t>
    </w:r>
    <w:r>
      <w:rPr>
        <w:color w:val="666666"/>
        <w:sz w:val="18"/>
        <w:szCs w:val="18"/>
      </w:rPr>
      <w:tab/>
      <w:t>Stephen O. Ogodo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displayBackgroundShape w:val="1"/>
  <w:documentProtection w:enforcement="0"/>
  <w:compat>
    <w:compatSetting w:name="compatibilityMode" w:uri="http://schemas.microsoft.com/office/word" w:val="15"/>
  </w:compat>
  <w:rsids>
    <w:rsidRoot w:val="00000000"/>
    <w:rsid w:val="085460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basedOn w:val="1"/>
    <w:next w:val="1"/>
    <w:uiPriority w:val="0"/>
    <w:pPr>
      <w:spacing w:before="320" w:after="120"/>
    </w:pPr>
    <w:rPr>
      <w:b/>
      <w:bCs/>
      <w:color w:val="1F3864"/>
      <w:sz w:val="32"/>
      <w:szCs w:val="32"/>
    </w:rPr>
  </w:style>
  <w:style w:type="paragraph" w:styleId="3">
    <w:name w:val="heading 2"/>
    <w:basedOn w:val="1"/>
    <w:next w:val="1"/>
    <w:qFormat/>
    <w:uiPriority w:val="0"/>
    <w:pPr>
      <w:spacing w:before="240" w:after="80"/>
    </w:pPr>
    <w:rPr>
      <w:b/>
      <w:bCs/>
      <w:color w:val="2E5598"/>
      <w:sz w:val="26"/>
      <w:szCs w:val="26"/>
    </w:rPr>
  </w:style>
  <w:style w:type="paragraph" w:styleId="4">
    <w:name w:val="heading 3"/>
    <w:basedOn w:val="1"/>
    <w:next w:val="1"/>
    <w:qFormat/>
    <w:uiPriority w:val="0"/>
    <w:pPr>
      <w:spacing w:before="200" w:after="60"/>
    </w:pPr>
    <w:rPr>
      <w:b/>
      <w:bCs/>
      <w:color w:val="2E5598"/>
      <w:sz w:val="22"/>
      <w:szCs w:val="22"/>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12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2026-10-30T05:05:00Z</dcterms:created>
  <dc:creator>Un-named</dc:creator>
  <cp:lastModifiedBy>stephen Ogodo</cp:lastModifiedBy>
  <dcterms:modified xsi:type="dcterms:W3CDTF">2026-10-30T08:34:15Z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74F9702E1EE14652897BD4AF2546B81F_12</vt:lpwstr>
  </property>
</Properties>
</file>