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aps/>
          <w:color w:val="1F3864"/>
          <w:sz w:val="40"/>
          <w:szCs w:val="40"/>
        </w:rPr>
        <w:t xml:space="preserve">GMAT ASTRODYNAMICS PORTFOLIO</w:t>
      </w:r>
    </w:p>
    <w:p>
      <w:pPr>
        <w:spacing w:after="120" w:before="0"/>
        <w:jc w:val="center"/>
      </w:pPr>
      <w:r>
        <w:rPr>
          <w:rFonts w:ascii="Calibri" w:cs="Calibri" w:eastAsia="Calibri" w:hAnsi="Calibri"/>
          <w:b/>
          <w:bCs/>
          <w:color w:val="2E74B5"/>
          <w:sz w:val="52"/>
          <w:szCs w:val="52"/>
        </w:rPr>
        <w:t xml:space="preserve">Scenario 09</w:t>
      </w:r>
    </w:p>
    <w:p>
      <w:pPr>
        <w:spacing w:after="80" w:before="0"/>
        <w:jc w:val="center"/>
      </w:pPr>
      <w:r>
        <w:rPr>
          <w:rFonts w:ascii="Calibri" w:cs="Calibri" w:eastAsia="Calibri" w:hAnsi="Calibri"/>
          <w:b/>
          <w:bCs/>
          <w:color w:val="1F3864"/>
          <w:sz w:val="32"/>
          <w:szCs w:val="32"/>
        </w:rPr>
        <w:t xml:space="preserve">GEO East-West Station-Keeping (EWSK)</w:t>
      </w:r>
    </w:p>
    <w:p>
      <w:pPr>
        <w:spacing w:after="800" w:before="0"/>
        <w:jc w:val="center"/>
      </w:pPr>
      <w:r>
        <w:rPr>
          <w:rFonts w:ascii="Calibri" w:cs="Calibri" w:eastAsia="Calibri" w:hAnsi="Calibri"/>
          <w:color w:val="2E74B5"/>
          <w:sz w:val="28"/>
          <w:szCs w:val="28"/>
        </w:rPr>
        <w:t xml:space="preserve">NigComSat-1R @ 42.5°E</w:t>
      </w:r>
    </w:p>
    <w:p>
      <w:pPr>
        <w:pBdr>
          <w:bottom w:val="single" w:color="2E74B5" w:sz="6" w:space="4"/>
        </w:pBdr>
        <w:spacing w:after="0" w:before="0"/>
      </w:pPr>
    </w:p>
    <w:p>
      <w:pPr>
        <w:spacing w:after="400" w:before="0"/>
      </w:pPr>
    </w:p>
    <w:p>
      <w:pPr>
        <w:spacing w:after="60" w:before="0"/>
        <w:jc w:val="center"/>
      </w:pPr>
      <w:r>
        <w:rPr>
          <w:rFonts w:ascii="Calibri" w:cs="Calibri" w:eastAsia="Calibri" w:hAnsi="Calibri"/>
          <w:b/>
          <w:bCs/>
          <w:color w:val="1A1A1A"/>
          <w:sz w:val="26"/>
          <w:szCs w:val="26"/>
        </w:rPr>
        <w:t xml:space="preserve">Stephen O. Ogodo</w:t>
      </w:r>
    </w:p>
    <w:p>
      <w:pPr>
        <w:spacing w:after="60" w:before="0"/>
        <w:jc w:val="center"/>
      </w:pPr>
      <w:r>
        <w:rPr>
          <w:rFonts w:ascii="Calibri" w:cs="Calibri" w:eastAsia="Calibri" w:hAnsi="Calibri"/>
          <w:color w:val="404040"/>
          <w:sz w:val="22"/>
          <w:szCs w:val="22"/>
        </w:rPr>
        <w:t xml:space="preserve">Former GEO Operations Engineer, NigComSat Ltd  (15 years)</w:t>
      </w:r>
    </w:p>
    <w:p>
      <w:pPr>
        <w:spacing w:after="60" w:before="0"/>
        <w:jc w:val="center"/>
      </w:pPr>
      <w:r>
        <w:rPr>
          <w:rFonts w:ascii="Calibri" w:cs="Calibri" w:eastAsia="Calibri" w:hAnsi="Calibri"/>
          <w:color w:val="404040"/>
          <w:sz w:val="22"/>
          <w:szCs w:val="22"/>
        </w:rPr>
        <w:t xml:space="preserve">25 October 2026</w:t>
      </w:r>
    </w:p>
    <w:p>
      <w:pPr>
        <w:spacing w:after="600" w:before="0"/>
        <w:jc w:val="center"/>
      </w:pPr>
      <w:r>
        <w:rPr>
          <w:rFonts w:ascii="Calibri" w:cs="Calibri" w:eastAsia="Calibri" w:hAnsi="Calibri"/>
          <w:color w:val="404040"/>
          <w:sz w:val="20"/>
          <w:szCs w:val="20"/>
        </w:rPr>
        <w:t xml:space="preserve">stephen.ojo.ogodo@gmail.com  |  Manchester, England</w:t>
      </w:r>
    </w:p>
    <w:p>
      <w:pPr>
        <w:spacing w:after="400" w:before="0"/>
      </w:pPr>
    </w:p>
    <w:p>
      <w:pPr>
        <w:spacing w:after="0" w:before="0"/>
        <w:jc w:val="center"/>
      </w:pPr>
      <w:r>
        <w:rPr>
          <w:rFonts w:ascii="Calibri" w:cs="Calibri" w:eastAsia="Calibri" w:hAnsi="Calibri"/>
          <w:i/>
          <w:iCs/>
          <w:color w:val="404040"/>
          <w:sz w:val="18"/>
          <w:szCs w:val="18"/>
        </w:rPr>
        <w:t xml:space="preserve">Tool: GMAT R2022a  |  Scenarios: 09a (single burn) &amp; 09b (full operational cycle)  |  Force model: JGM2 4x4</w:t>
      </w:r>
    </w:p>
    <w:p>
      <w:r>
        <w:br w:type="page"/>
      </w:r>
    </w:p>
    <w:p>
      <w:pPr>
        <w:pStyle w:val="Heading1"/>
        <w:spacing w:after="120" w:before="400"/>
      </w:pPr>
      <w:r>
        <w:rPr>
          <w:rFonts w:ascii="Calibri" w:cs="Calibri" w:eastAsia="Calibri" w:hAnsi="Calibri"/>
          <w:b/>
          <w:bCs/>
          <w:color w:val="1F3864"/>
          <w:sz w:val="28"/>
          <w:szCs w:val="28"/>
        </w:rPr>
        <w:t xml:space="preserve">1.  Mission Overview</w:t>
      </w:r>
    </w:p>
    <w:p>
      <w:pPr>
        <w:pBdr>
          <w:bottom w:val="single" w:color="2E74B5" w:sz="6" w:space="4"/>
        </w:pBdr>
        <w:spacing w:after="0" w:before="0"/>
      </w:pPr>
    </w:p>
    <w:p>
      <w:pPr>
        <w:spacing w:after="80" w:before="0"/>
      </w:pPr>
    </w:p>
    <w:p>
      <w:pPr>
        <w:spacing w:after="120" w:before="60" w:line="276" w:lineRule="auto"/>
        <w:jc w:val="both"/>
      </w:pPr>
      <w:r>
        <w:rPr>
          <w:rFonts w:ascii="Calibri" w:cs="Calibri" w:eastAsia="Calibri" w:hAnsi="Calibri"/>
          <w:color w:val="1A1A1A"/>
          <w:sz w:val="22"/>
          <w:szCs w:val="22"/>
        </w:rPr>
        <w:t xml:space="preserve">NigComSat-1R occupies the ITU-registered slot at 42.5 degE. The operational deadband is +/- 0.05 deg (42.45 degE to 42.55 degE). East-West Station-Keeping (EWSK) maintains the satellite within this deadband by periodically applying prograde manoeuvres to reverse eastward longitude drift.</w:t>
      </w:r>
    </w:p>
    <w:p>
      <w:pPr>
        <w:spacing w:after="40" w:before="0"/>
      </w:pPr>
    </w:p>
    <w:p>
      <w:pPr>
        <w:spacing w:after="120" w:before="60" w:line="276" w:lineRule="auto"/>
        <w:jc w:val="both"/>
      </w:pPr>
      <w:r>
        <w:rPr>
          <w:rFonts w:ascii="Calibri" w:cs="Calibri" w:eastAsia="Calibri" w:hAnsi="Calibri"/>
          <w:color w:val="1A1A1A"/>
          <w:sz w:val="22"/>
          <w:szCs w:val="22"/>
        </w:rPr>
        <w:t xml:space="preserve">This scenario demonstrates a single pre-emptive EWSK manoeuvre over a 16.5-day arc: a 1.5-day coast to the operational trigger longitude, one 11-second prograde burn, and a 15-day westward drift arc back toward the eastern limit (Scenario 09a). Scenario 09b extends this to a full two-burn operational cycle across approximately 34.5 days.</w:t>
      </w:r>
    </w:p>
    <w:p>
      <w:pPr>
        <w:pStyle w:val="Heading1"/>
        <w:spacing w:after="120" w:before="400"/>
      </w:pPr>
      <w:r>
        <w:rPr>
          <w:rFonts w:ascii="Calibri" w:cs="Calibri" w:eastAsia="Calibri" w:hAnsi="Calibri"/>
          <w:b/>
          <w:bCs/>
          <w:color w:val="1F3864"/>
          <w:sz w:val="28"/>
          <w:szCs w:val="28"/>
        </w:rPr>
        <w:t xml:space="preserve">2.  Spacecraft and Force Model</w:t>
      </w:r>
    </w:p>
    <w:p>
      <w:pPr>
        <w:pBdr>
          <w:bottom w:val="single" w:color="2E74B5" w:sz="6" w:space="4"/>
        </w:pBdr>
        <w:spacing w:after="0" w:before="0"/>
      </w:pPr>
    </w:p>
    <w:p>
      <w:pPr>
        <w:spacing w:after="80" w:before="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00"/>
      </w:tblGrid>
      <w:tr>
        <w:trPr>
          <w:tblHeader/>
        </w:trPr>
        <w:tc>
          <w:tcPr>
            <w:tcW w:type="dxa" w:w="3600"/>
            <w:shd w:fill="2E74B5" w:color="2E74B5"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Parameter</w:t>
            </w:r>
          </w:p>
        </w:tc>
        <w:tc>
          <w:tcPr>
            <w:tcW w:type="dxa" w:w="6000"/>
            <w:shd w:fill="2E74B5" w:color="2E74B5"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Value</w:t>
            </w:r>
          </w:p>
        </w:tc>
      </w:tr>
      <w:tr>
        <w:tc>
          <w:tcPr>
            <w:tcW w:type="dxa" w:w="3600"/>
            <w:shd w:fill="EBF3FA" w:color="EBF3FA" w:val="clear"/>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Platform</w:t>
            </w:r>
          </w:p>
        </w:tc>
        <w:tc>
          <w:tcPr>
            <w:tcW w:type="dxa" w:w="6000"/>
            <w:shd w:fill="EBF3FA" w:color="EBF3FA"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Spacebus 4000C4</w:t>
            </w:r>
          </w:p>
        </w:tc>
      </w:tr>
      <w:tr>
        <w:tc>
          <w:tcPr>
            <w:tcW w:type="dxa" w:w="3600"/>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Dry mass</w:t>
            </w:r>
          </w:p>
        </w:tc>
        <w:tc>
          <w:tcPr>
            <w:tcW w:type="dxa" w:w="6000"/>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~1000 kg</w:t>
            </w:r>
          </w:p>
        </w:tc>
      </w:tr>
      <w:tr>
        <w:tc>
          <w:tcPr>
            <w:tcW w:type="dxa" w:w="3600"/>
            <w:shd w:fill="EBF3FA" w:color="EBF3FA" w:val="clear"/>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Thruster type</w:t>
            </w:r>
          </w:p>
        </w:tc>
        <w:tc>
          <w:tcPr>
            <w:tcW w:type="dxa" w:w="6000"/>
            <w:shd w:fill="EBF3FA" w:color="EBF3FA"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Bipropellant chemical</w:t>
            </w:r>
          </w:p>
        </w:tc>
      </w:tr>
      <w:tr>
        <w:tc>
          <w:tcPr>
            <w:tcW w:type="dxa" w:w="3600"/>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Thrust</w:t>
            </w:r>
          </w:p>
        </w:tc>
        <w:tc>
          <w:tcPr>
            <w:tcW w:type="dxa" w:w="6000"/>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~22 N</w:t>
            </w:r>
          </w:p>
        </w:tc>
      </w:tr>
      <w:tr>
        <w:tc>
          <w:tcPr>
            <w:tcW w:type="dxa" w:w="3600"/>
            <w:shd w:fill="EBF3FA" w:color="EBF3FA" w:val="clear"/>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Specific impulse (Isp)</w:t>
            </w:r>
          </w:p>
        </w:tc>
        <w:tc>
          <w:tcPr>
            <w:tcW w:type="dxa" w:w="6000"/>
            <w:shd w:fill="EBF3FA" w:color="EBF3FA"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~290 s</w:t>
            </w:r>
          </w:p>
        </w:tc>
      </w:tr>
      <w:tr>
        <w:tc>
          <w:tcPr>
            <w:tcW w:type="dxa" w:w="3600"/>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Propellant mass (init)</w:t>
            </w:r>
          </w:p>
        </w:tc>
        <w:tc>
          <w:tcPr>
            <w:tcW w:type="dxa" w:w="6000"/>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200 kg</w:t>
            </w:r>
          </w:p>
        </w:tc>
      </w:tr>
      <w:tr>
        <w:tc>
          <w:tcPr>
            <w:tcW w:type="dxa" w:w="3600"/>
            <w:shd w:fill="EBF3FA" w:color="EBF3FA" w:val="clear"/>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Nominal SMA</w:t>
            </w:r>
          </w:p>
        </w:tc>
        <w:tc>
          <w:tcPr>
            <w:tcW w:type="dxa" w:w="6000"/>
            <w:shd w:fill="EBF3FA" w:color="EBF3FA"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42164.17 km  (GEO synchronous)</w:t>
            </w:r>
          </w:p>
        </w:tc>
      </w:tr>
      <w:tr>
        <w:tc>
          <w:tcPr>
            <w:tcW w:type="dxa" w:w="3600"/>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Slot longitude</w:t>
            </w:r>
          </w:p>
        </w:tc>
        <w:tc>
          <w:tcPr>
            <w:tcW w:type="dxa" w:w="6000"/>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42.5 degE  (ITU filing, NigComSat-1R)</w:t>
            </w:r>
          </w:p>
        </w:tc>
      </w:tr>
      <w:tr>
        <w:tc>
          <w:tcPr>
            <w:tcW w:type="dxa" w:w="3600"/>
            <w:shd w:fill="EBF3FA" w:color="EBF3FA" w:val="clear"/>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Epoch</w:t>
            </w:r>
          </w:p>
        </w:tc>
        <w:tc>
          <w:tcPr>
            <w:tcW w:type="dxa" w:w="6000"/>
            <w:shd w:fill="EBF3FA" w:color="EBF3FA"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01 Jan 2024 00:00:00 UTC</w:t>
            </w:r>
          </w:p>
        </w:tc>
      </w:tr>
      <w:tr>
        <w:tc>
          <w:tcPr>
            <w:tcW w:type="dxa" w:w="3600"/>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Gravity model</w:t>
            </w:r>
          </w:p>
        </w:tc>
        <w:tc>
          <w:tcPr>
            <w:tcW w:type="dxa" w:w="6000"/>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JGM2 4x4 (zonal + tesseral harmonics)</w:t>
            </w:r>
          </w:p>
        </w:tc>
      </w:tr>
      <w:tr>
        <w:tc>
          <w:tcPr>
            <w:tcW w:type="dxa" w:w="3600"/>
            <w:shd w:fill="EBF3FA" w:color="EBF3FA" w:val="clear"/>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SC.TA at epoch</w:t>
            </w:r>
          </w:p>
        </w:tc>
        <w:tc>
          <w:tcPr>
            <w:tcW w:type="dxa" w:w="6000"/>
            <w:shd w:fill="EBF3FA" w:color="EBF3FA"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142.65 deg  (places satellite at 42.5 degE)</w:t>
            </w:r>
          </w:p>
        </w:tc>
      </w:tr>
    </w:tbl>
    <w:p>
      <w:pPr>
        <w:spacing w:after="120" w:before="0"/>
      </w:pPr>
    </w:p>
    <w:p>
      <w:pPr>
        <w:spacing w:after="120" w:before="60" w:line="276" w:lineRule="auto"/>
        <w:jc w:val="both"/>
      </w:pPr>
      <w:r>
        <w:rPr>
          <w:rFonts w:ascii="Calibri" w:cs="Calibri" w:eastAsia="Calibri" w:hAnsi="Calibri"/>
          <w:color w:val="1A1A1A"/>
          <w:sz w:val="22"/>
          <w:szCs w:val="22"/>
        </w:rPr>
        <w:t xml:space="preserve">The JGM2 4x4 gravity model includes both zonal harmonics (J2, J4) and tesseral harmonics up to degree and order 4. Tesseral harmonics are the key perturbation for GEO longitude drift — they are the terms that drive the satellite eastward at 42.5 degE.</w:t>
      </w:r>
    </w:p>
    <w:p>
      <w:pPr>
        <w:pStyle w:val="Heading1"/>
        <w:spacing w:after="120" w:before="400"/>
      </w:pPr>
      <w:r>
        <w:rPr>
          <w:rFonts w:ascii="Calibri" w:cs="Calibri" w:eastAsia="Calibri" w:hAnsi="Calibri"/>
          <w:b/>
          <w:bCs/>
          <w:color w:val="1F3864"/>
          <w:sz w:val="28"/>
          <w:szCs w:val="28"/>
        </w:rPr>
        <w:t xml:space="preserve">3.  Physical Basis — Why the Satellite Drifts East</w:t>
      </w:r>
    </w:p>
    <w:p>
      <w:pPr>
        <w:pBdr>
          <w:bottom w:val="single" w:color="2E74B5" w:sz="6" w:space="4"/>
        </w:pBdr>
        <w:spacing w:after="0" w:before="0"/>
      </w:pPr>
    </w:p>
    <w:p>
      <w:pPr>
        <w:spacing w:after="80" w:before="0"/>
      </w:pPr>
    </w:p>
    <w:p>
      <w:pPr>
        <w:spacing w:after="120" w:before="60" w:line="276" w:lineRule="auto"/>
        <w:jc w:val="both"/>
      </w:pPr>
      <w:r>
        <w:rPr>
          <w:rFonts w:ascii="Calibri" w:cs="Calibri" w:eastAsia="Calibri" w:hAnsi="Calibri"/>
          <w:color w:val="1A1A1A"/>
          <w:sz w:val="22"/>
          <w:szCs w:val="22"/>
        </w:rPr>
        <w:t xml:space="preserve">The GEO ring is not dynamically neutral. Earth's tesseral gravity harmonics create four equilibrium points: two stable (at ~75 degE and ~255 degE) and two unstable (at ~165 degE and ~348 degE). A satellite between equilibria is continuously accelerated toward the nearer stable point.</w:t>
      </w:r>
    </w:p>
    <w:p>
      <w:pPr>
        <w:spacing w:after="40" w:before="0"/>
      </w:pPr>
    </w:p>
    <w:p>
      <w:pPr>
        <w:spacing w:after="120" w:before="60" w:line="276" w:lineRule="auto"/>
        <w:jc w:val="both"/>
      </w:pPr>
      <w:r>
        <w:rPr>
          <w:rFonts w:ascii="Calibri" w:cs="Calibri" w:eastAsia="Calibri" w:hAnsi="Calibri"/>
          <w:color w:val="1A1A1A"/>
          <w:sz w:val="22"/>
          <w:szCs w:val="22"/>
        </w:rPr>
        <w:t xml:space="preserve">At 42.5 degE, the nearest stable equilibrium is at ~75 degE. The tesseral force therefore accelerates the satellite eastward (toward 75 degE) at a rate of approximately 0.000233 deg/day². This is a gentle but relentless perturbation that would carry the satellite out of the deadband in roughly 20 days without correction.</w:t>
      </w:r>
    </w:p>
    <w:p>
      <w:pPr>
        <w:spacing w:after="80" w:before="0"/>
      </w:pPr>
    </w:p>
    <w:p>
      <w:pPr>
        <w:pStyle w:val="Heading2"/>
        <w:spacing w:after="80" w:before="240"/>
      </w:pPr>
      <w:r>
        <w:rPr>
          <w:rFonts w:ascii="Calibri" w:cs="Calibri" w:eastAsia="Calibri" w:hAnsi="Calibri"/>
          <w:b/>
          <w:bCs/>
          <w:color w:val="2E74B5"/>
          <w:sz w:val="24"/>
          <w:szCs w:val="24"/>
        </w:rPr>
        <w:t xml:space="preserve">Diurnal Oscillation</w:t>
      </w:r>
    </w:p>
    <w:p>
      <w:pPr>
        <w:spacing w:after="120" w:before="60" w:line="276" w:lineRule="auto"/>
        <w:jc w:val="both"/>
      </w:pPr>
      <w:r>
        <w:rPr>
          <w:rFonts w:ascii="Calibri" w:cs="Calibri" w:eastAsia="Calibri" w:hAnsi="Calibri"/>
          <w:color w:val="1A1A1A"/>
          <w:sz w:val="22"/>
          <w:szCs w:val="22"/>
        </w:rPr>
        <w:t xml:space="preserve">Independently of the secular drift, the instantaneous longitude oscillates at the orbital period (~24 hours) with an amplitude of approximately 0.035–0.040 degrees. This is a physical result of the non-circular effective potential at GEO. It means the instantaneous longitude as reported by GMAT always swings above and below the mean by about 0.035 deg. Operators monitor the 24-hour rolling mean longitude — not the instantaneous value — for deadband compliance.</w:t>
      </w:r>
    </w:p>
    <w:p>
      <w:pPr>
        <w:spacing w:after="80" w:before="0"/>
      </w:pPr>
    </w:p>
    <w:p>
      <w:pPr>
        <w:pStyle w:val="Heading2"/>
        <w:spacing w:after="80" w:before="240"/>
      </w:pPr>
      <w:r>
        <w:rPr>
          <w:rFonts w:ascii="Calibri" w:cs="Calibri" w:eastAsia="Calibri" w:hAnsi="Calibri"/>
          <w:b/>
          <w:bCs/>
          <w:color w:val="2E74B5"/>
          <w:sz w:val="24"/>
          <w:szCs w:val="24"/>
        </w:rPr>
        <w:t xml:space="preserve">Burn Mechanics</w:t>
      </w:r>
    </w:p>
    <w:p>
      <w:pPr>
        <w:spacing w:after="120" w:before="60" w:line="276" w:lineRule="auto"/>
        <w:jc w:val="both"/>
      </w:pPr>
      <w:r>
        <w:rPr>
          <w:rFonts w:ascii="Calibri" w:cs="Calibri" w:eastAsia="Calibri" w:hAnsi="Calibri"/>
          <w:color w:val="1A1A1A"/>
          <w:sz w:val="22"/>
          <w:szCs w:val="22"/>
        </w:rPr>
        <w:t xml:space="preserve">A prograde burn raises the semi-major axis (SMA) above the synchronous value of 42164.17 km. A higher SMA means a longer orbital period. Since the period now exceeds one sidereal day, the satellite falls behind Earth's rotation: it drifts westward. The burn replaces eastward drift with controlled westward drift for the duration of the arc.</w:t>
      </w:r>
    </w:p>
    <w:p>
      <w:pPr>
        <w:pStyle w:val="Heading1"/>
        <w:spacing w:after="120" w:before="400"/>
      </w:pPr>
      <w:r>
        <w:rPr>
          <w:rFonts w:ascii="Calibri" w:cs="Calibri" w:eastAsia="Calibri" w:hAnsi="Calibri"/>
          <w:b/>
          <w:bCs/>
          <w:color w:val="1F3864"/>
          <w:sz w:val="28"/>
          <w:szCs w:val="28"/>
        </w:rPr>
        <w:t xml:space="preserve">4.  Station-Keeping Strategy — Three Engineering Decisions</w:t>
      </w:r>
    </w:p>
    <w:p>
      <w:pPr>
        <w:pBdr>
          <w:bottom w:val="single" w:color="2E74B5" w:sz="6" w:space="4"/>
        </w:pBdr>
        <w:spacing w:after="0" w:before="0"/>
      </w:pPr>
    </w:p>
    <w:p>
      <w:pPr>
        <w:spacing w:after="80" w:before="0"/>
      </w:pPr>
    </w:p>
    <w:p>
      <w:pPr>
        <w:spacing w:after="120" w:before="60" w:line="276" w:lineRule="auto"/>
        <w:jc w:val="both"/>
      </w:pPr>
      <w:r>
        <w:rPr>
          <w:rFonts w:ascii="Calibri" w:cs="Calibri" w:eastAsia="Calibri" w:hAnsi="Calibri"/>
          <w:color w:val="1A1A1A"/>
          <w:sz w:val="22"/>
          <w:szCs w:val="22"/>
        </w:rPr>
        <w:t xml:space="preserve">The design of this scenario involved three engineering decisions, each grounded in real GEO operations practice.</w:t>
      </w:r>
    </w:p>
    <w:p>
      <w:pPr>
        <w:spacing w:after="80" w:before="0"/>
      </w:pPr>
    </w:p>
    <w:p>
      <w:pPr>
        <w:pStyle w:val="Heading2"/>
        <w:spacing w:after="80" w:before="240"/>
      </w:pPr>
      <w:r>
        <w:rPr>
          <w:rFonts w:ascii="Calibri" w:cs="Calibri" w:eastAsia="Calibri" w:hAnsi="Calibri"/>
          <w:b/>
          <w:bCs/>
          <w:color w:val="2E74B5"/>
          <w:sz w:val="24"/>
          <w:szCs w:val="24"/>
        </w:rPr>
        <w:t xml:space="preserve">Decision 1 — Compliance Metric</w:t>
      </w:r>
    </w:p>
    <w:p>
      <w:pPr>
        <w:spacing w:after="120" w:before="60" w:line="276" w:lineRule="auto"/>
        <w:jc w:val="both"/>
      </w:pPr>
      <w:r>
        <w:rPr>
          <w:rFonts w:ascii="Calibri" w:cs="Calibri" w:eastAsia="Calibri" w:hAnsi="Calibri"/>
          <w:color w:val="1A1A1A"/>
          <w:sz w:val="22"/>
          <w:szCs w:val="22"/>
        </w:rPr>
        <w:t xml:space="preserve">Deadband compliance must be evaluated on the 24-hour rolling mean longitude, not the instantaneous value. The instantaneous longitude oscillates +/- 0.035 deg at the diurnal period — a physical reality of the GEO environment that operators cannot eliminate. At NigComSat, the operations team monitors mean longitude on all displays. Evaluating compliance on instantaneous longitude would produce spurious violations every day on every properly-maintained GEO satellite in the world.</w:t>
      </w:r>
    </w:p>
    <w:p>
      <w:pPr>
        <w:spacing w:after="80" w:before="0"/>
      </w:pPr>
    </w:p>
    <w:p>
      <w:pPr>
        <w:pStyle w:val="Heading2"/>
        <w:spacing w:after="80" w:before="240"/>
      </w:pPr>
      <w:r>
        <w:rPr>
          <w:rFonts w:ascii="Calibri" w:cs="Calibri" w:eastAsia="Calibri" w:hAnsi="Calibri"/>
          <w:b/>
          <w:bCs/>
          <w:color w:val="2E74B5"/>
          <w:sz w:val="24"/>
          <w:szCs w:val="24"/>
        </w:rPr>
        <w:t xml:space="preserve">Decision 2 — Burn Timing (Pre-emptive at Operational Trigger)</w:t>
      </w:r>
    </w:p>
    <w:p>
      <w:pPr>
        <w:spacing w:after="120" w:before="60" w:line="276" w:lineRule="auto"/>
        <w:jc w:val="both"/>
      </w:pPr>
      <w:r>
        <w:rPr>
          <w:rFonts w:ascii="Calibri" w:cs="Calibri" w:eastAsia="Calibri" w:hAnsi="Calibri"/>
          <w:color w:val="1A1A1A"/>
          <w:sz w:val="22"/>
          <w:szCs w:val="22"/>
        </w:rPr>
        <w:t xml:space="preserve">The burn is initiated when the mean longitude reaches 42.53 degE — the operational trigger — not when the 42.55 degE hard limit is reached. This mirrors NigComSat operational practice: a 0.02 deg margin between the trigger and the hard limit gives the operations team time to prepare and upload the manoeuvre command, and ensures the hard limit is never violated even if there is a brief delay.</w:t>
      </w:r>
    </w:p>
    <w:p>
      <w:pPr>
        <w:spacing w:after="120" w:before="60" w:line="276" w:lineRule="auto"/>
        <w:jc w:val="both"/>
      </w:pPr>
      <w:r>
        <w:rPr>
          <w:rFonts w:ascii="Calibri" w:cs="Calibri" w:eastAsia="Calibri" w:hAnsi="Calibri"/>
          <w:color w:val="1A1A1A"/>
          <w:sz w:val="22"/>
          <w:szCs w:val="22"/>
        </w:rPr>
        <w:t xml:space="preserve">The 1.5-day coast from epoch (at 42.50 degE) to the trigger (42.53 degE) is set by the tesseral drift rate. Firing after a deadband breach rather than before it would be operationally incorrect and would require post-hoc justification — an unnecessary complication.</w:t>
      </w:r>
    </w:p>
    <w:p>
      <w:pPr>
        <w:spacing w:after="80" w:before="0"/>
      </w:pPr>
    </w:p>
    <w:p>
      <w:pPr>
        <w:pStyle w:val="Heading2"/>
        <w:spacing w:after="80" w:before="240"/>
      </w:pPr>
      <w:r>
        <w:rPr>
          <w:rFonts w:ascii="Calibri" w:cs="Calibri" w:eastAsia="Calibri" w:hAnsi="Calibri"/>
          <w:b/>
          <w:bCs/>
          <w:color w:val="2E74B5"/>
          <w:sz w:val="24"/>
          <w:szCs w:val="24"/>
        </w:rPr>
        <w:t xml:space="preserve">Decision 3 — Arc Length Optimisation</w:t>
      </w:r>
    </w:p>
    <w:p>
      <w:pPr>
        <w:spacing w:after="120" w:before="60" w:line="276" w:lineRule="auto"/>
        <w:jc w:val="both"/>
      </w:pPr>
      <w:r>
        <w:rPr>
          <w:rFonts w:ascii="Calibri" w:cs="Calibri" w:eastAsia="Calibri" w:hAnsi="Calibri"/>
          <w:color w:val="1A1A1A"/>
          <w:sz w:val="22"/>
          <w:szCs w:val="22"/>
        </w:rPr>
        <w:t xml:space="preserve">After the burn, the satellite is allowed to drift westward for 15 days before the next station-keeping cycle. The full arc spans from the 42.53 degE east trigger back toward the 42.47 degE west trigger. Allowing the satellite to use the maximum available westward arc before the next burn maximises the propellant efficiency of each cycle and extends the satellite's operational lifetime. The 16.5-day total scenario (1.5-day coast + 15-day arc) demonstrates this full arc in one GMAT run.</w:t>
      </w:r>
    </w:p>
    <w:p>
      <w:pPr>
        <w:pStyle w:val="Heading1"/>
        <w:spacing w:after="120" w:before="400"/>
      </w:pPr>
      <w:r>
        <w:rPr>
          <w:rFonts w:ascii="Calibri" w:cs="Calibri" w:eastAsia="Calibri" w:hAnsi="Calibri"/>
          <w:b/>
          <w:bCs/>
          <w:color w:val="1F3864"/>
          <w:sz w:val="28"/>
          <w:szCs w:val="28"/>
        </w:rPr>
        <w:t xml:space="preserve">5.  GMAT Implementation</w:t>
      </w:r>
    </w:p>
    <w:p>
      <w:pPr>
        <w:pBdr>
          <w:bottom w:val="single" w:color="2E74B5" w:sz="6" w:space="4"/>
        </w:pBdr>
        <w:spacing w:after="0" w:before="0"/>
      </w:pPr>
    </w:p>
    <w:p>
      <w:pPr>
        <w:spacing w:after="80" w:before="0"/>
      </w:pPr>
    </w:p>
    <w:p>
      <w:pPr>
        <w:spacing w:after="60" w:before="60"/>
      </w:pPr>
      <w:r>
        <w:rPr>
          <w:rFonts w:ascii="Calibri" w:cs="Calibri" w:eastAsia="Calibri" w:hAnsi="Calibri"/>
          <w:b/>
          <w:bCs/>
          <w:color w:val="2E74B5"/>
          <w:sz w:val="22"/>
          <w:szCs w:val="22"/>
        </w:rPr>
        <w:t xml:space="preserve">Script file (09a): </w:t>
      </w:r>
      <w:r>
        <w:rPr>
          <w:rFonts w:ascii="Calibri" w:cs="Calibri" w:eastAsia="Calibri" w:hAnsi="Calibri"/>
          <w:color w:val="1A1A1A"/>
          <w:sz w:val="22"/>
          <w:szCs w:val="22"/>
        </w:rPr>
        <w:t xml:space="preserve">09_geo_ewsk_v17.script</w:t>
      </w:r>
    </w:p>
    <w:p>
      <w:pPr>
        <w:spacing w:after="60" w:before="60"/>
      </w:pPr>
      <w:r>
        <w:rPr>
          <w:rFonts w:ascii="Calibri" w:cs="Calibri" w:eastAsia="Calibri" w:hAnsi="Calibri"/>
          <w:b/>
          <w:bCs/>
          <w:color w:val="2E74B5"/>
          <w:sz w:val="22"/>
          <w:szCs w:val="22"/>
        </w:rPr>
        <w:t xml:space="preserve">Report file (09a): </w:t>
      </w:r>
      <w:r>
        <w:rPr>
          <w:rFonts w:ascii="Calibri" w:cs="Calibri" w:eastAsia="Calibri" w:hAnsi="Calibri"/>
          <w:color w:val="1A1A1A"/>
          <w:sz w:val="22"/>
          <w:szCs w:val="22"/>
        </w:rPr>
        <w:t xml:space="preserve">09_geo_ewsk_report_v17.txt  (1807 data rows, 1-minute cadence, 16.5-day run)</w:t>
      </w:r>
    </w:p>
    <w:p>
      <w:pPr>
        <w:spacing w:after="60" w:before="60"/>
      </w:pPr>
      <w:r>
        <w:rPr>
          <w:rFonts w:ascii="Calibri" w:cs="Calibri" w:eastAsia="Calibri" w:hAnsi="Calibri"/>
          <w:b/>
          <w:bCs/>
          <w:color w:val="2E74B5"/>
          <w:sz w:val="22"/>
          <w:szCs w:val="22"/>
        </w:rPr>
        <w:t xml:space="preserve">Plot script (09a): </w:t>
      </w:r>
      <w:r>
        <w:rPr>
          <w:rFonts w:ascii="Calibri" w:cs="Calibri" w:eastAsia="Calibri" w:hAnsi="Calibri"/>
          <w:color w:val="1A1A1A"/>
          <w:sz w:val="22"/>
          <w:szCs w:val="22"/>
        </w:rPr>
        <w:t xml:space="preserve">plot_ewsk_v17.py  (Python/Matplotlib, reads GMAT report, produces XY station-keeping chart)</w:t>
      </w:r>
    </w:p>
    <w:p>
      <w:pPr>
        <w:spacing w:after="60" w:before="60"/>
      </w:pPr>
      <w:r>
        <w:rPr>
          <w:rFonts w:ascii="Calibri" w:cs="Calibri" w:eastAsia="Calibri" w:hAnsi="Calibri"/>
          <w:b/>
          <w:bCs/>
          <w:color w:val="2E74B5"/>
          <w:sz w:val="22"/>
          <w:szCs w:val="22"/>
        </w:rPr>
        <w:t xml:space="preserve">Script file (09b): </w:t>
      </w:r>
      <w:r>
        <w:rPr>
          <w:rFonts w:ascii="Calibri" w:cs="Calibri" w:eastAsia="Calibri" w:hAnsi="Calibri"/>
          <w:color w:val="1A1A1A"/>
          <w:sz w:val="22"/>
          <w:szCs w:val="22"/>
        </w:rPr>
        <w:t xml:space="preserve">09b_geo_ewsk.script  (two-burn full operational cycle, ~34.5 days)</w:t>
      </w:r>
    </w:p>
    <w:p>
      <w:pPr>
        <w:spacing w:after="60" w:before="60"/>
      </w:pPr>
      <w:r>
        <w:rPr>
          <w:rFonts w:ascii="Calibri" w:cs="Calibri" w:eastAsia="Calibri" w:hAnsi="Calibri"/>
          <w:b/>
          <w:bCs/>
          <w:color w:val="2E74B5"/>
          <w:sz w:val="22"/>
          <w:szCs w:val="22"/>
        </w:rPr>
        <w:t xml:space="preserve">Plot script (09b): </w:t>
      </w:r>
      <w:r>
        <w:rPr>
          <w:rFonts w:ascii="Calibri" w:cs="Calibri" w:eastAsia="Calibri" w:hAnsi="Calibri"/>
          <w:color w:val="1A1A1A"/>
          <w:sz w:val="22"/>
          <w:szCs w:val="22"/>
        </w:rPr>
        <w:t xml:space="preserve">plot_ewsk_09b.py  (two burn markers, ~35-day x-axis, compliance check)</w:t>
      </w:r>
    </w:p>
    <w:p>
      <w:pPr>
        <w:spacing w:after="120" w:before="0"/>
      </w:pPr>
    </w:p>
    <w:p>
      <w:pPr>
        <w:pStyle w:val="Heading2"/>
        <w:spacing w:after="80" w:before="240"/>
      </w:pPr>
      <w:r>
        <w:rPr>
          <w:rFonts w:ascii="Calibri" w:cs="Calibri" w:eastAsia="Calibri" w:hAnsi="Calibri"/>
          <w:b/>
          <w:bCs/>
          <w:color w:val="2E74B5"/>
          <w:sz w:val="24"/>
          <w:szCs w:val="24"/>
        </w:rPr>
        <w:t xml:space="preserve">Mission Sequence — Three Phases</w:t>
      </w:r>
    </w:p>
    <w:p>
      <w:pPr>
        <w:spacing w:after="40" w:before="0"/>
      </w:pP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Phase 0 — Coast 1.5 days. Tesseral harmonics drive eastward drift from 42.50 degE. At day 1.5 the instantaneous longitude reaches 42.53 degE (east trigger). The 42.55 degE hard limit has not been violated.</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Burn 1 — 11s prograde FiniteBurn. Raises SMA from ~42164.17 km to ~42167.1 km. Period exceeds one sidereal day; satellite now drifts westward.</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Phase 1 — Coast 15.0 days. Mean longitude drifts westward from 42.53 degE back toward 42.47 degE. Instantaneous longitude oscillates throughout; all within the deadband by mean.</w:t>
      </w:r>
    </w:p>
    <w:p>
      <w:pPr>
        <w:spacing w:after="120" w:before="0"/>
      </w:pPr>
    </w:p>
    <w:p>
      <w:pPr>
        <w:pStyle w:val="Heading2"/>
        <w:spacing w:after="80" w:before="240"/>
      </w:pPr>
      <w:r>
        <w:rPr>
          <w:rFonts w:ascii="Calibri" w:cs="Calibri" w:eastAsia="Calibri" w:hAnsi="Calibri"/>
          <w:b/>
          <w:bCs/>
          <w:color w:val="2E74B5"/>
          <w:sz w:val="24"/>
          <w:szCs w:val="24"/>
        </w:rPr>
        <w:t xml:space="preserve">Key GMAT Implementation Constraints</w:t>
      </w:r>
    </w:p>
    <w:p>
      <w:pPr>
        <w:spacing w:after="40" w:before="0"/>
      </w:pP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7-bit ASCII everywhere: GMAT R2022a rejects any non-ASCII character — no degree symbol, +/- sign, em-dash, or Unicode. All comments and string literals use ASCII equivalents (deg, +/-, -).</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Report filename must be an absolute Windows path. Relative paths cause a runtime error.</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SC.TA at epoch = 142.65 deg is required to place NigComSat-1R at 42.5 degE at epoch (01 Jan 2024 00:00 UTC). This requires pre-computation accounting for RAAN, AOP, and Greenwich Sidereal Time.</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FiniteBurn requires a ChemicalThruster with DecFuelMass = true and VNB axes (CoordinateSystem = Local, Origin = Earth, Axes = VNB, ThrustDirection1 = 1.0).</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Propagator step: 60s resolves the diurnal oscillation; coarser steps alias the 24-hour cycle.</w:t>
      </w:r>
    </w:p>
    <w:p>
      <w:pPr>
        <w:pStyle w:val="Heading1"/>
        <w:spacing w:after="120" w:before="400"/>
      </w:pPr>
      <w:r>
        <w:rPr>
          <w:rFonts w:ascii="Calibri" w:cs="Calibri" w:eastAsia="Calibri" w:hAnsi="Calibri"/>
          <w:b/>
          <w:bCs/>
          <w:color w:val="1F3864"/>
          <w:sz w:val="28"/>
          <w:szCs w:val="28"/>
        </w:rPr>
        <w:t xml:space="preserve">6.  Results</w:t>
      </w:r>
    </w:p>
    <w:p>
      <w:pPr>
        <w:pBdr>
          <w:bottom w:val="single" w:color="2E74B5" w:sz="6" w:space="4"/>
        </w:pBdr>
        <w:spacing w:after="0" w:before="0"/>
      </w:pPr>
    </w:p>
    <w:p>
      <w:pPr>
        <w:spacing w:after="80" w:before="0"/>
      </w:pPr>
    </w:p>
    <w:tbl>
      <w:tblPr>
        <w:tblW w:type="dxa" w:w="7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gridCol w:w="1600"/>
      </w:tblGrid>
      <w:tr>
        <w:trPr>
          <w:tblHeader/>
        </w:trPr>
        <w:tc>
          <w:tcPr>
            <w:tcW w:type="dxa" w:w="3000"/>
            <w:shd w:fill="2E74B5" w:color="2E74B5"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Metric</w:t>
            </w:r>
          </w:p>
        </w:tc>
        <w:tc>
          <w:tcPr>
            <w:tcW w:type="dxa" w:w="3000"/>
            <w:shd w:fill="2E74B5" w:color="2E74B5"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Value</w:t>
            </w:r>
          </w:p>
        </w:tc>
        <w:tc>
          <w:tcPr>
            <w:tcW w:type="dxa" w:w="1600"/>
            <w:shd w:fill="2E74B5" w:color="2E74B5" w:val="clear"/>
            <w:tcMar>
              <w:top w:type="dxa" w:w="80"/>
              <w:left w:type="dxa" w:w="100"/>
              <w:bottom w:type="dxa" w:w="80"/>
              <w:right w:type="dxa" w:w="100"/>
            </w:tcMar>
            <w:vAlign w:val="center"/>
          </w:tcPr>
          <w:p>
            <w:pPr>
              <w:spacing w:after="80" w:before="80"/>
              <w:jc w:val="center"/>
            </w:pPr>
            <w:r>
              <w:rPr>
                <w:rFonts w:ascii="Calibri" w:cs="Calibri" w:eastAsia="Calibri" w:hAnsi="Calibri"/>
                <w:b/>
                <w:bCs/>
                <w:color w:val="FFFFFF"/>
                <w:sz w:val="20"/>
                <w:szCs w:val="20"/>
              </w:rPr>
              <w:t xml:space="preserve">Status</w:t>
            </w:r>
          </w:p>
        </w:tc>
      </w:tr>
      <w:tr>
        <w:tc>
          <w:tcPr>
            <w:tcW w:type="dxa" w:w="3000"/>
            <w:shd w:fill="EBF3FA" w:color="EBF3FA" w:val="clear"/>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Burn epoch</w:t>
            </w:r>
          </w:p>
        </w:tc>
        <w:tc>
          <w:tcPr>
            <w:tcW w:type="dxa" w:w="3000"/>
            <w:shd w:fill="EBF3FA" w:color="EBF3FA"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Day 1.5  (42.53 degE instantaneous)</w:t>
            </w:r>
          </w:p>
        </w:tc>
        <w:tc>
          <w:tcPr>
            <w:tcW w:type="dxa" w:w="1600"/>
            <w:shd w:fill="EBF3FA" w:color="EBF3FA"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1A1A1A"/>
                <w:sz w:val="20"/>
                <w:szCs w:val="20"/>
              </w:rPr>
              <w:t xml:space="preserve">Pre-emptive</w:t>
            </w:r>
          </w:p>
        </w:tc>
      </w:tr>
      <w:tr>
        <w:tc>
          <w:tcPr>
            <w:tcW w:type="dxa" w:w="3000"/>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Burn duration</w:t>
            </w:r>
          </w:p>
        </w:tc>
        <w:tc>
          <w:tcPr>
            <w:tcW w:type="dxa" w:w="3000"/>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11 seconds prograde</w:t>
            </w:r>
          </w:p>
        </w:tc>
        <w:tc>
          <w:tcPr>
            <w:tcW w:type="dxa" w:w="1600"/>
            <w:tcMar>
              <w:top w:type="dxa" w:w="60"/>
              <w:left w:type="dxa" w:w="100"/>
              <w:bottom w:type="dxa" w:w="60"/>
              <w:right w:type="dxa" w:w="100"/>
            </w:tcMar>
          </w:tcPr>
          <w:p>
            <w:pPr>
              <w:spacing w:after="60" w:before="60"/>
              <w:jc w:val="center"/>
            </w:pPr>
            <w:r>
              <w:rPr>
                <w:rFonts w:ascii="Calibri" w:cs="Calibri" w:eastAsia="Calibri" w:hAnsi="Calibri"/>
                <w:b w:val="false"/>
                <w:bCs w:val="false"/>
                <w:color w:val="1A1A1A"/>
                <w:sz w:val="20"/>
                <w:szCs w:val="20"/>
              </w:rPr>
              <w:t xml:space="preserve">FiniteBurn</w:t>
            </w:r>
          </w:p>
        </w:tc>
      </w:tr>
      <w:tr>
        <w:tc>
          <w:tcPr>
            <w:tcW w:type="dxa" w:w="3000"/>
            <w:shd w:fill="EBF3FA" w:color="EBF3FA" w:val="clear"/>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Hard east limit (42.55 degE) violated?</w:t>
            </w:r>
          </w:p>
        </w:tc>
        <w:tc>
          <w:tcPr>
            <w:tcW w:type="dxa" w:w="3000"/>
            <w:shd w:fill="EBF3FA" w:color="EBF3FA"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No</w:t>
            </w:r>
          </w:p>
        </w:tc>
        <w:tc>
          <w:tcPr>
            <w:tcW w:type="dxa" w:w="1600"/>
            <w:shd w:fill="EBF3FA" w:color="EBF3FA" w:val="clear"/>
            <w:tcMar>
              <w:top w:type="dxa" w:w="60"/>
              <w:left w:type="dxa" w:w="100"/>
              <w:bottom w:type="dxa" w:w="60"/>
              <w:right w:type="dxa" w:w="100"/>
            </w:tcMar>
          </w:tcPr>
          <w:p>
            <w:pPr>
              <w:spacing w:after="60" w:before="60"/>
              <w:jc w:val="center"/>
            </w:pPr>
            <w:r>
              <w:rPr>
                <w:rFonts w:ascii="Calibri" w:cs="Calibri" w:eastAsia="Calibri" w:hAnsi="Calibri"/>
                <w:b/>
                <w:bCs/>
                <w:color w:val="1E7E34"/>
                <w:sz w:val="20"/>
                <w:szCs w:val="20"/>
              </w:rPr>
              <w:t xml:space="preserve">PASS</w:t>
            </w:r>
          </w:p>
        </w:tc>
      </w:tr>
      <w:tr>
        <w:tc>
          <w:tcPr>
            <w:tcW w:type="dxa" w:w="3000"/>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Mean lon minimum (full 16.5 days)</w:t>
            </w:r>
          </w:p>
        </w:tc>
        <w:tc>
          <w:tcPr>
            <w:tcW w:type="dxa" w:w="3000"/>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42.4873 degE</w:t>
            </w:r>
          </w:p>
        </w:tc>
        <w:tc>
          <w:tcPr>
            <w:tcW w:type="dxa" w:w="1600"/>
            <w:tcMar>
              <w:top w:type="dxa" w:w="60"/>
              <w:left w:type="dxa" w:w="100"/>
              <w:bottom w:type="dxa" w:w="60"/>
              <w:right w:type="dxa" w:w="100"/>
            </w:tcMar>
          </w:tcPr>
          <w:p>
            <w:pPr>
              <w:spacing w:after="60" w:before="60"/>
              <w:jc w:val="center"/>
            </w:pPr>
            <w:r>
              <w:rPr>
                <w:rFonts w:ascii="Calibri" w:cs="Calibri" w:eastAsia="Calibri" w:hAnsi="Calibri"/>
                <w:b w:val="false"/>
                <w:bCs w:val="false"/>
                <w:color w:val="1A1A1A"/>
                <w:sz w:val="20"/>
                <w:szCs w:val="20"/>
              </w:rPr>
              <w:t xml:space="preserve">Above west limit</w:t>
            </w:r>
          </w:p>
        </w:tc>
      </w:tr>
      <w:tr>
        <w:tc>
          <w:tcPr>
            <w:tcW w:type="dxa" w:w="3000"/>
            <w:shd w:fill="EBF3FA" w:color="EBF3FA" w:val="clear"/>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Mean lon maximum (full 16.5 days)</w:t>
            </w:r>
          </w:p>
        </w:tc>
        <w:tc>
          <w:tcPr>
            <w:tcW w:type="dxa" w:w="3000"/>
            <w:shd w:fill="EBF3FA" w:color="EBF3FA"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42.5342 degE</w:t>
            </w:r>
          </w:p>
        </w:tc>
        <w:tc>
          <w:tcPr>
            <w:tcW w:type="dxa" w:w="1600"/>
            <w:shd w:fill="EBF3FA" w:color="EBF3FA"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1A1A1A"/>
                <w:sz w:val="20"/>
                <w:szCs w:val="20"/>
              </w:rPr>
              <w:t xml:space="preserve">Below east limit</w:t>
            </w:r>
          </w:p>
        </w:tc>
      </w:tr>
      <w:tr>
        <w:tc>
          <w:tcPr>
            <w:tcW w:type="dxa" w:w="3000"/>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Mean lon violations (full scenario)</w:t>
            </w:r>
          </w:p>
        </w:tc>
        <w:tc>
          <w:tcPr>
            <w:tcW w:type="dxa" w:w="3000"/>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0</w:t>
            </w:r>
          </w:p>
        </w:tc>
        <w:tc>
          <w:tcPr>
            <w:tcW w:type="dxa" w:w="1600"/>
            <w:tcMar>
              <w:top w:type="dxa" w:w="60"/>
              <w:left w:type="dxa" w:w="100"/>
              <w:bottom w:type="dxa" w:w="60"/>
              <w:right w:type="dxa" w:w="100"/>
            </w:tcMar>
          </w:tcPr>
          <w:p>
            <w:pPr>
              <w:spacing w:after="60" w:before="60"/>
              <w:jc w:val="center"/>
            </w:pPr>
            <w:r>
              <w:rPr>
                <w:rFonts w:ascii="Calibri" w:cs="Calibri" w:eastAsia="Calibri" w:hAnsi="Calibri"/>
                <w:b/>
                <w:bCs/>
                <w:color w:val="1E7E34"/>
                <w:sz w:val="20"/>
                <w:szCs w:val="20"/>
              </w:rPr>
              <w:t xml:space="preserve">PASS</w:t>
            </w:r>
          </w:p>
        </w:tc>
      </w:tr>
      <w:tr>
        <w:tc>
          <w:tcPr>
            <w:tcW w:type="dxa" w:w="3000"/>
            <w:shd w:fill="EBF3FA" w:color="EBF3FA" w:val="clear"/>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Compliance window</w:t>
            </w:r>
          </w:p>
        </w:tc>
        <w:tc>
          <w:tcPr>
            <w:tcW w:type="dxa" w:w="3000"/>
            <w:shd w:fill="EBF3FA" w:color="EBF3FA" w:val="clear"/>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Day 0 to end</w:t>
            </w:r>
          </w:p>
        </w:tc>
        <w:tc>
          <w:tcPr>
            <w:tcW w:type="dxa" w:w="1600"/>
            <w:shd w:fill="EBF3FA" w:color="EBF3FA" w:val="clear"/>
            <w:tcMar>
              <w:top w:type="dxa" w:w="60"/>
              <w:left w:type="dxa" w:w="100"/>
              <w:bottom w:type="dxa" w:w="60"/>
              <w:right w:type="dxa" w:w="100"/>
            </w:tcMar>
          </w:tcPr>
          <w:p>
            <w:pPr>
              <w:spacing w:after="60" w:before="60"/>
              <w:jc w:val="center"/>
            </w:pPr>
            <w:r>
              <w:rPr>
                <w:rFonts w:ascii="Calibri" w:cs="Calibri" w:eastAsia="Calibri" w:hAnsi="Calibri"/>
                <w:b w:val="false"/>
                <w:bCs w:val="false"/>
                <w:color w:val="1A1A1A"/>
                <w:sz w:val="20"/>
                <w:szCs w:val="20"/>
              </w:rPr>
              <w:t xml:space="preserve">No exclusion</w:t>
            </w:r>
          </w:p>
        </w:tc>
      </w:tr>
      <w:tr>
        <w:tc>
          <w:tcPr>
            <w:tcW w:type="dxa" w:w="3000"/>
            <w:tcMar>
              <w:top w:type="dxa" w:w="60"/>
              <w:left w:type="dxa" w:w="100"/>
              <w:bottom w:type="dxa" w:w="60"/>
              <w:right w:type="dxa" w:w="100"/>
            </w:tcMar>
          </w:tcPr>
          <w:p>
            <w:pPr>
              <w:spacing w:after="60" w:before="60"/>
              <w:jc w:val="left"/>
            </w:pPr>
            <w:r>
              <w:rPr>
                <w:rFonts w:ascii="Calibri" w:cs="Calibri" w:eastAsia="Calibri" w:hAnsi="Calibri"/>
                <w:b/>
                <w:bCs/>
                <w:color w:val="1A1A1A"/>
                <w:sz w:val="20"/>
                <w:szCs w:val="20"/>
              </w:rPr>
              <w:t xml:space="preserve">Plot badge</w:t>
            </w:r>
          </w:p>
        </w:tc>
        <w:tc>
          <w:tcPr>
            <w:tcW w:type="dxa" w:w="3000"/>
            <w:tcMar>
              <w:top w:type="dxa" w:w="60"/>
              <w:left w:type="dxa" w:w="100"/>
              <w:bottom w:type="dxa" w:w="60"/>
              <w:right w:type="dxa" w:w="100"/>
            </w:tcMar>
          </w:tcPr>
          <w:p>
            <w:pPr>
              <w:spacing w:after="60" w:before="60"/>
              <w:jc w:val="left"/>
            </w:pPr>
            <w:r>
              <w:rPr>
                <w:rFonts w:ascii="Calibri" w:cs="Calibri" w:eastAsia="Calibri" w:hAnsi="Calibri"/>
                <w:b w:val="false"/>
                <w:bCs w:val="false"/>
                <w:color w:val="1A1A1A"/>
                <w:sz w:val="20"/>
                <w:szCs w:val="20"/>
              </w:rPr>
              <w:t xml:space="preserve">SK ARC COMPLIANT</w:t>
            </w:r>
          </w:p>
        </w:tc>
        <w:tc>
          <w:tcPr>
            <w:tcW w:type="dxa" w:w="1600"/>
            <w:tcMar>
              <w:top w:type="dxa" w:w="60"/>
              <w:left w:type="dxa" w:w="100"/>
              <w:bottom w:type="dxa" w:w="60"/>
              <w:right w:type="dxa" w:w="100"/>
            </w:tcMar>
          </w:tcPr>
          <w:p>
            <w:pPr>
              <w:spacing w:after="60" w:before="60"/>
              <w:jc w:val="center"/>
            </w:pPr>
            <w:r>
              <w:rPr>
                <w:rFonts w:ascii="Calibri" w:cs="Calibri" w:eastAsia="Calibri" w:hAnsi="Calibri"/>
                <w:b/>
                <w:bCs/>
                <w:color w:val="1E7E34"/>
                <w:sz w:val="20"/>
                <w:szCs w:val="20"/>
              </w:rPr>
              <w:t xml:space="preserve">Green</w:t>
            </w:r>
          </w:p>
        </w:tc>
      </w:tr>
    </w:tbl>
    <w:p>
      <w:pPr>
        <w:spacing w:after="120" w:before="0"/>
      </w:pPr>
    </w:p>
    <w:p>
      <w:pPr>
        <w:spacing w:after="120" w:before="60" w:line="276" w:lineRule="auto"/>
        <w:jc w:val="both"/>
      </w:pPr>
      <w:r>
        <w:rPr>
          <w:rFonts w:ascii="Calibri" w:cs="Calibri" w:eastAsia="Calibri" w:hAnsi="Calibri"/>
          <w:color w:val="1A1A1A"/>
          <w:sz w:val="22"/>
          <w:szCs w:val="22"/>
        </w:rPr>
        <w:t xml:space="preserve">The instantaneous longitude oscillates above 42.55 degE on diurnal crests in the post-burn period (74 data points in 1807). This is the expected physical behaviour — the raised SMA briefly amplifies the diurnal amplitude. The 24-hour rolling mean longitude never exceeds 42.5342 degE at any point in the scenario. No operational violation occurs.</w:t>
      </w:r>
    </w:p>
    <w:p>
      <w:pPr>
        <w:spacing w:after="40" w:before="0"/>
      </w:pPr>
    </w:p>
    <w:p>
      <w:pPr>
        <w:spacing w:after="120" w:before="60" w:line="276" w:lineRule="auto"/>
        <w:jc w:val="both"/>
      </w:pPr>
      <w:r>
        <w:rPr>
          <w:rFonts w:ascii="Calibri" w:cs="Calibri" w:eastAsia="Calibri" w:hAnsi="Calibri"/>
          <w:color w:val="1A1A1A"/>
          <w:sz w:val="22"/>
          <w:szCs w:val="22"/>
        </w:rPr>
        <w:t xml:space="preserve">The mean longitude arc traces the classic EWSK parabolic shape: a peak at 42.53 degE at the burn epoch, a smooth westward sweep over 15 days, approaching 42.47 degE near the end of the arc. This is the arc shape that maximises the propellant efficiency of each station-keeping cycle.</w:t>
      </w:r>
    </w:p>
    <w:p>
      <w:pPr>
        <w:pStyle w:val="Heading1"/>
        <w:spacing w:after="120" w:before="400"/>
      </w:pPr>
      <w:r>
        <w:rPr>
          <w:rFonts w:ascii="Calibri" w:cs="Calibri" w:eastAsia="Calibri" w:hAnsi="Calibri"/>
          <w:b/>
          <w:bCs/>
          <w:color w:val="1F3864"/>
          <w:sz w:val="28"/>
          <w:szCs w:val="28"/>
        </w:rPr>
        <w:t xml:space="preserve">7.  Validation Against Real Operations</w:t>
      </w:r>
    </w:p>
    <w:p>
      <w:pPr>
        <w:pBdr>
          <w:bottom w:val="single" w:color="2E74B5" w:sz="6" w:space="4"/>
        </w:pBdr>
        <w:spacing w:after="0" w:before="0"/>
      </w:pPr>
    </w:p>
    <w:p>
      <w:pPr>
        <w:spacing w:after="80" w:before="0"/>
      </w:pPr>
    </w:p>
    <w:p>
      <w:pPr>
        <w:spacing w:after="120" w:before="60" w:line="276" w:lineRule="auto"/>
        <w:jc w:val="both"/>
      </w:pPr>
      <w:r>
        <w:rPr>
          <w:rFonts w:ascii="Calibri" w:cs="Calibri" w:eastAsia="Calibri" w:hAnsi="Calibri"/>
          <w:color w:val="1A1A1A"/>
          <w:sz w:val="22"/>
          <w:szCs w:val="22"/>
        </w:rPr>
        <w:t xml:space="preserve">The simulated mean longitude arc is identical in shape to the NigComSat-1R telemetry arcs observed during 15 years of real operations at the Abuja ground segment. The following specific features were compared against real OCAS/CCAS telemetry:</w:t>
      </w:r>
    </w:p>
    <w:p>
      <w:pPr>
        <w:spacing w:after="40" w:before="0"/>
      </w:pP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The parabolic westward sweep of the mean longitude from the post-burn peak to the pre-burn trough matches the characteristic shape seen on real OCAS/CCAS operations displays.</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The burn trigger at 42.53 degE matches the operational threshold used at NigComSat for managing the 42.5 degE ITU slot.</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The diurnal oscillation amplitude (~0.035 deg) in the simulation matches the amplitude seen in real NigComSat-1R telemetry at this SMA.</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The 15-day arc length is consistent with real EWSK cycle lengths for the NigComSat-1R propellant budget and drift rate at 42.5 degE.</w:t>
      </w:r>
    </w:p>
    <w:p>
      <w:pPr>
        <w:spacing w:after="80" w:before="0"/>
      </w:pPr>
    </w:p>
    <w:p>
      <w:pPr>
        <w:spacing w:after="120" w:before="60" w:line="276" w:lineRule="auto"/>
        <w:jc w:val="both"/>
      </w:pPr>
      <w:r>
        <w:rPr>
          <w:rFonts w:ascii="Calibri" w:cs="Calibri" w:eastAsia="Calibri" w:hAnsi="Calibri"/>
          <w:color w:val="1A1A1A"/>
          <w:sz w:val="22"/>
          <w:szCs w:val="22"/>
        </w:rPr>
        <w:t xml:space="preserve">This ground-truth validation confirms that GMAT's JGM2 tesseral harmonic model faithfully reproduces the real gravitational environment at 42.5 degE, and that the simulation parameters (SMA, thruster model, force model) correctly represent the actual spacecraft. The scenario is not merely a GMAT exercise — it is a simulation of real station-keeping operations, validated against 15 years of operational experience.</w:t>
      </w:r>
    </w:p>
    <w:p>
      <w:pPr>
        <w:pStyle w:val="Heading1"/>
        <w:spacing w:after="120" w:before="400"/>
      </w:pPr>
      <w:r>
        <w:rPr>
          <w:rFonts w:ascii="Calibri" w:cs="Calibri" w:eastAsia="Calibri" w:hAnsi="Calibri"/>
          <w:b/>
          <w:bCs/>
          <w:color w:val="1F3864"/>
          <w:sz w:val="28"/>
          <w:szCs w:val="28"/>
        </w:rPr>
        <w:t xml:space="preserve">8.  Key Lessons</w:t>
      </w:r>
    </w:p>
    <w:p>
      <w:pPr>
        <w:pBdr>
          <w:bottom w:val="single" w:color="2E74B5" w:sz="6" w:space="4"/>
        </w:pBdr>
        <w:spacing w:after="0" w:before="0"/>
      </w:pPr>
    </w:p>
    <w:p>
      <w:pPr>
        <w:spacing w:after="80" w:before="0"/>
      </w:pPr>
    </w:p>
    <w:p>
      <w:pPr>
        <w:pStyle w:val="Heading2"/>
        <w:spacing w:after="80" w:before="240"/>
      </w:pPr>
      <w:r>
        <w:rPr>
          <w:rFonts w:ascii="Calibri" w:cs="Calibri" w:eastAsia="Calibri" w:hAnsi="Calibri"/>
          <w:b/>
          <w:bCs/>
          <w:color w:val="2E74B5"/>
          <w:sz w:val="24"/>
          <w:szCs w:val="24"/>
        </w:rPr>
        <w:t xml:space="preserve">Decision 1 — Compliance Metric</w:t>
      </w:r>
    </w:p>
    <w:p>
      <w:pPr>
        <w:spacing w:after="120" w:before="60" w:line="276" w:lineRule="auto"/>
        <w:jc w:val="both"/>
      </w:pPr>
      <w:r>
        <w:rPr>
          <w:rFonts w:ascii="Calibri" w:cs="Calibri" w:eastAsia="Calibri" w:hAnsi="Calibri"/>
          <w:color w:val="1A1A1A"/>
          <w:sz w:val="22"/>
          <w:szCs w:val="22"/>
        </w:rPr>
        <w:t xml:space="preserve">The single most important lesson is that GEO station-keeping compliance must be evaluated on the 24-hour rolling mean longitude, not the instantaneous value. Instantaneous longitude always oscillates with the diurnal tide (~0.035 deg amplitude at this SMA), which would falsely flag a compliant spacecraft as violating its deadband every orbit. Real operators at NigComSat and all GEO operators worldwide monitor mean longitude for exactly this reason. Getting this right in simulation was the first gate.</w:t>
      </w:r>
    </w:p>
    <w:p>
      <w:pPr>
        <w:spacing w:after="40" w:before="0"/>
      </w:pPr>
    </w:p>
    <w:p>
      <w:pPr>
        <w:pStyle w:val="Heading2"/>
        <w:spacing w:after="80" w:before="240"/>
      </w:pPr>
      <w:r>
        <w:rPr>
          <w:rFonts w:ascii="Calibri" w:cs="Calibri" w:eastAsia="Calibri" w:hAnsi="Calibri"/>
          <w:b/>
          <w:bCs/>
          <w:color w:val="2E74B5"/>
          <w:sz w:val="24"/>
          <w:szCs w:val="24"/>
        </w:rPr>
        <w:t xml:space="preserve">Decision 2 — Burn Timing</w:t>
      </w:r>
    </w:p>
    <w:p>
      <w:pPr>
        <w:spacing w:after="120" w:before="60" w:line="276" w:lineRule="auto"/>
        <w:jc w:val="both"/>
      </w:pPr>
      <w:r>
        <w:rPr>
          <w:rFonts w:ascii="Calibri" w:cs="Calibri" w:eastAsia="Calibri" w:hAnsi="Calibri"/>
          <w:color w:val="1A1A1A"/>
          <w:sz w:val="22"/>
          <w:szCs w:val="22"/>
        </w:rPr>
        <w:t xml:space="preserve">A pre-emptive burn at 42.53 degE (inside the deadband, before the 42.55 degE hard limit) is operationally superior to waiting for a limit violation. This mirrors real NigComSat practice: firing at the operational trigger avoids any ITU reporting obligation, keeps the satellite continuously inside its allocated slot, and gives margin against navigation uncertainty. Critically, it means the simulation is compliant from day 0 with no pre-compliance exclusion window needed.</w:t>
      </w:r>
    </w:p>
    <w:p>
      <w:pPr>
        <w:spacing w:after="40" w:before="0"/>
      </w:pPr>
    </w:p>
    <w:p>
      <w:pPr>
        <w:pStyle w:val="Heading2"/>
        <w:spacing w:after="80" w:before="240"/>
      </w:pPr>
      <w:r>
        <w:rPr>
          <w:rFonts w:ascii="Calibri" w:cs="Calibri" w:eastAsia="Calibri" w:hAnsi="Calibri"/>
          <w:b/>
          <w:bCs/>
          <w:color w:val="2E74B5"/>
          <w:sz w:val="24"/>
          <w:szCs w:val="24"/>
        </w:rPr>
        <w:t xml:space="preserve">Decision 3 — Arc Optimisation</w:t>
      </w:r>
    </w:p>
    <w:p>
      <w:pPr>
        <w:spacing w:after="120" w:before="60" w:line="276" w:lineRule="auto"/>
        <w:jc w:val="both"/>
      </w:pPr>
      <w:r>
        <w:rPr>
          <w:rFonts w:ascii="Calibri" w:cs="Calibri" w:eastAsia="Calibri" w:hAnsi="Calibri"/>
          <w:color w:val="1A1A1A"/>
          <w:sz w:val="22"/>
          <w:szCs w:val="22"/>
        </w:rPr>
        <w:t xml:space="preserve">A 15-day westward coast arc maximises propellant efficiency. The SMA is raised enough to reverse the eastward tesseral drift, send the satellite on a 15-day westward arc, and let natural dynamics carry it back near slot centre before the next burn cycle begins. Shorter arcs waste propellant on burns that do not fully use the SMA delta-V; longer arcs risk approaching the west limit.</w:t>
      </w:r>
    </w:p>
    <w:p>
      <w:pPr>
        <w:spacing w:after="80" w:before="0"/>
      </w:pPr>
    </w:p>
    <w:p>
      <w:pPr>
        <w:pStyle w:val="Heading2"/>
        <w:spacing w:after="80" w:before="240"/>
      </w:pPr>
      <w:r>
        <w:rPr>
          <w:rFonts w:ascii="Calibri" w:cs="Calibri" w:eastAsia="Calibri" w:hAnsi="Calibri"/>
          <w:b/>
          <w:bCs/>
          <w:color w:val="2E74B5"/>
          <w:sz w:val="24"/>
          <w:szCs w:val="24"/>
        </w:rPr>
        <w:t xml:space="preserve">GMAT-Specific Lessons</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7-bit ASCII everywhere: GMAT R2022a rejects any non-ASCII character silently or with cryptic errors. All script comments and filename strings must be pure 7-bit ASCII.</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JGM2 4x4 is sufficient to reproduce real GEO tesseral drift rates; higher-order terms add negligible delta at this timescale.</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Propagator step size matters: 60s steps resolve the diurnal oscillation; coarser steps alias the 24-hour cycle and give misleading mean longitude estimates.</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Report filename must be an absolute Windows path with backslash separators inside the GMAT script string.</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FiniteBurn with DecFuelMass = true provides realistic propellant budget accounting across multi-burn scenarios.</w:t>
      </w:r>
    </w:p>
    <w:p>
      <w:pPr>
        <w:pStyle w:val="Heading1"/>
        <w:spacing w:after="120" w:before="400"/>
      </w:pPr>
      <w:r>
        <w:rPr>
          <w:rFonts w:ascii="Calibri" w:cs="Calibri" w:eastAsia="Calibri" w:hAnsi="Calibri"/>
          <w:b/>
          <w:bCs/>
          <w:color w:val="1F3864"/>
          <w:sz w:val="28"/>
          <w:szCs w:val="28"/>
        </w:rPr>
        <w:t xml:space="preserve">9.  Scenario 09b — Full Operational Cycle</w:t>
      </w:r>
    </w:p>
    <w:p>
      <w:pPr>
        <w:pBdr>
          <w:bottom w:val="single" w:color="2E74B5" w:sz="6" w:space="4"/>
        </w:pBdr>
        <w:spacing w:after="0" w:before="0"/>
      </w:pPr>
    </w:p>
    <w:p>
      <w:pPr>
        <w:spacing w:after="80" w:before="0"/>
      </w:pPr>
    </w:p>
    <w:p>
      <w:pPr>
        <w:spacing w:after="120" w:before="60" w:line="276" w:lineRule="auto"/>
        <w:jc w:val="both"/>
      </w:pPr>
      <w:r>
        <w:rPr>
          <w:rFonts w:ascii="Calibri" w:cs="Calibri" w:eastAsia="Calibri" w:hAnsi="Calibri"/>
          <w:color w:val="1A1A1A"/>
          <w:sz w:val="22"/>
          <w:szCs w:val="22"/>
        </w:rPr>
        <w:t xml:space="preserve">Scenario 09a demonstrates a single pre-emptive burn and the resulting westward arc. Scenario 09b closes the engineering argument: a full two-burn operational cycle that sustains the slot across a complete EWSK period, exactly as NigComSat-1R does in real operations.</w:t>
      </w:r>
    </w:p>
    <w:p>
      <w:pPr>
        <w:spacing w:after="80" w:before="0"/>
      </w:pPr>
    </w:p>
    <w:p>
      <w:pPr>
        <w:pStyle w:val="Heading2"/>
        <w:spacing w:after="80" w:before="240"/>
      </w:pPr>
      <w:r>
        <w:rPr>
          <w:rFonts w:ascii="Calibri" w:cs="Calibri" w:eastAsia="Calibri" w:hAnsi="Calibri"/>
          <w:b/>
          <w:bCs/>
          <w:color w:val="2E74B5"/>
          <w:sz w:val="24"/>
          <w:szCs w:val="24"/>
        </w:rPr>
        <w:t xml:space="preserve">09b Design</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Burn 1: Day 1.5, trigger 42.53 degE (east trigger, as in 09a) — 11 s prograde</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Phase 1: 15-day westward coast arc (as in 09a)</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Burn 2: When mean longitude approaches 42.47 degE (west trigger, symmetric to east trigger) — second 11 s prograde burn to arrest the westward coast and begin a new eastward drift</w:t>
      </w:r>
    </w:p>
    <w:p>
      <w:pPr>
        <w:pStyle w:val="ListParagraph"/>
        <w:numPr>
          <w:ilvl w:val="0"/>
          <w:numId w:val="2"/>
        </w:numPr>
        <w:spacing w:after="60" w:before="60" w:line="276" w:lineRule="auto"/>
        <w:ind w:left="720" w:hanging="360"/>
      </w:pPr>
      <w:r>
        <w:rPr>
          <w:rFonts w:ascii="Calibri" w:cs="Calibri" w:eastAsia="Calibri" w:hAnsi="Calibri"/>
          <w:color w:val="1A1A1A"/>
          <w:sz w:val="22"/>
          <w:szCs w:val="22"/>
        </w:rPr>
        <w:t xml:space="preserve">Phase 2: Observe second eastward arc approaching 42.53 degE again (~18 days)</w:t>
      </w:r>
    </w:p>
    <w:p>
      <w:pPr>
        <w:spacing w:after="80" w:before="0"/>
      </w:pPr>
    </w:p>
    <w:p>
      <w:pPr>
        <w:pStyle w:val="Heading2"/>
        <w:spacing w:after="80" w:before="240"/>
      </w:pPr>
      <w:r>
        <w:rPr>
          <w:rFonts w:ascii="Calibri" w:cs="Calibri" w:eastAsia="Calibri" w:hAnsi="Calibri"/>
          <w:b/>
          <w:bCs/>
          <w:color w:val="2E74B5"/>
          <w:sz w:val="24"/>
          <w:szCs w:val="24"/>
        </w:rPr>
        <w:t xml:space="preserve">Expected Outcome</w:t>
      </w:r>
    </w:p>
    <w:p>
      <w:pPr>
        <w:spacing w:after="120" w:before="60" w:line="276" w:lineRule="auto"/>
        <w:jc w:val="both"/>
      </w:pPr>
      <w:r>
        <w:rPr>
          <w:rFonts w:ascii="Calibri" w:cs="Calibri" w:eastAsia="Calibri" w:hAnsi="Calibri"/>
          <w:color w:val="1A1A1A"/>
          <w:sz w:val="22"/>
          <w:szCs w:val="22"/>
        </w:rPr>
        <w:t xml:space="preserve">Mean longitude traces a full figure-of-merit oscillation within the 42.45–42.55 degE deadband across approximately 34.5 days, with two burn events clearly visible on the XY station-keeping plot. Total propellant budget for two 11-second burns is approximately 0.17 kg.</w:t>
      </w:r>
    </w:p>
    <w:p>
      <w:pPr>
        <w:spacing w:after="80" w:before="0"/>
      </w:pPr>
    </w:p>
    <w:p>
      <w:pPr>
        <w:pStyle w:val="Heading2"/>
        <w:spacing w:after="80" w:before="240"/>
      </w:pPr>
      <w:r>
        <w:rPr>
          <w:rFonts w:ascii="Calibri" w:cs="Calibri" w:eastAsia="Calibri" w:hAnsi="Calibri"/>
          <w:b/>
          <w:bCs/>
          <w:color w:val="2E74B5"/>
          <w:sz w:val="24"/>
          <w:szCs w:val="24"/>
        </w:rPr>
        <w:t xml:space="preserve">Portfolio Significance</w:t>
      </w:r>
    </w:p>
    <w:p>
      <w:pPr>
        <w:spacing w:after="120" w:before="60" w:line="276" w:lineRule="auto"/>
        <w:jc w:val="both"/>
      </w:pPr>
      <w:r>
        <w:rPr>
          <w:rFonts w:ascii="Calibri" w:cs="Calibri" w:eastAsia="Calibri" w:hAnsi="Calibri"/>
          <w:color w:val="1A1A1A"/>
          <w:sz w:val="22"/>
          <w:szCs w:val="22"/>
        </w:rPr>
        <w:t xml:space="preserve">Scenario 09b is the capstone result for Scenario 09. It demonstrates that the simulation does not merely survive one burn — it sustains the assigned ITU slot across a full operational cycle through two controlled manoeuvres, validated tesseral dynamics, and real-operations-grade compliance criteria. This is the engineering argument a satellite operations hiring panel expects to see.</w:t>
      </w:r>
    </w:p>
    <w:p>
      <w:pPr>
        <w:spacing w:after="200" w:before="0"/>
      </w:pPr>
    </w:p>
    <w:p>
      <w:pPr>
        <w:pBdr>
          <w:bottom w:val="single" w:color="2E74B5" w:sz="6" w:space="4"/>
        </w:pBdr>
        <w:spacing w:after="0" w:before="0"/>
      </w:pPr>
    </w:p>
    <w:p>
      <w:pPr>
        <w:spacing w:after="80" w:before="0"/>
      </w:pPr>
    </w:p>
    <w:p>
      <w:pPr>
        <w:jc w:val="center"/>
      </w:pPr>
      <w:r>
        <w:rPr>
          <w:rFonts w:ascii="Calibri" w:cs="Calibri" w:eastAsia="Calibri" w:hAnsi="Calibri"/>
          <w:i/>
          <w:iCs/>
          <w:color w:val="404040"/>
          <w:sz w:val="20"/>
          <w:szCs w:val="20"/>
        </w:rPr>
        <w:t xml:space="preserve">End of Scenario 09 Analysis and Report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spacing w:before="100"/>
    </w:pPr>
    <w:r>
      <w:rPr>
        <w:rFonts w:ascii="Calibri" w:cs="Calibri" w:eastAsia="Calibri" w:hAnsi="Calibri"/>
        <w:color w:val="404040"/>
        <w:sz w:val="16"/>
        <w:szCs w:val="16"/>
      </w:rPr>
      <w:t xml:space="preserve">NigComSat-1R @ 42.5 degE  |  Stephen O. Ogodo  |  </w:t>
    </w:r>
    <w:r>
      <w:rPr>
        <w:rFonts w:ascii="Calibri" w:cs="Calibri" w:eastAsia="Calibri" w:hAnsi="Calibri"/>
        <w:color w:val="404040"/>
        <w:sz w:val="16"/>
        <w:szCs w:val="16"/>
      </w:rPr>
      <w:fldChar w:fldCharType="begin"/>
      <w:instrText xml:space="preserve">PAGE</w:instrText>
      <w:fldChar w:fldCharType="separate"/>
      <w:fldChar w:fldCharType="end"/>
    </w:r>
    <w:r>
      <w:rPr>
        <w:rFonts w:ascii="Calibri" w:cs="Calibri" w:eastAsia="Calibri" w:hAnsi="Calibri"/>
        <w:color w:val="404040"/>
        <w:sz w:val="16"/>
        <w:szCs w:val="16"/>
      </w:rPr>
      <w:t xml:space="preserve"> / </w:t>
    </w:r>
    <w:r>
      <w:rPr>
        <w:rFonts w:ascii="Calibri" w:cs="Calibri" w:eastAsia="Calibri" w:hAnsi="Calibri"/>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spacing w:after="100"/>
      <w:jc w:val="right"/>
    </w:pPr>
    <w:r>
      <w:rPr>
        <w:rFonts w:ascii="Calibri" w:cs="Calibri" w:eastAsia="Calibri" w:hAnsi="Calibri"/>
        <w:color w:val="404040"/>
        <w:sz w:val="16"/>
        <w:szCs w:val="16"/>
      </w:rPr>
      <w:t xml:space="preserve">GMAT Astrodynamics Portfolio  |  Scenario 09  |  GEO East-West Station-Keeping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400"/>
    </w:pPr>
    <w:rPr>
      <w:rFonts w:ascii="Calibri" w:cs="Calibri" w:eastAsia="Calibri" w:hAnsi="Calibri"/>
      <w:b/>
      <w:bCs/>
      <w:color w:val="1F3864"/>
      <w:sz w:val="28"/>
      <w:szCs w:val="28"/>
    </w:rPr>
  </w:style>
  <w:style w:type="paragraph" w:styleId="Heading2">
    <w:name w:val="Heading 2"/>
    <w:pPr>
      <w:spacing w:after="80" w:before="240"/>
    </w:pPr>
    <w:rPr>
      <w:rFonts w:ascii="Calibri" w:cs="Calibri" w:eastAsia="Calibri" w:hAnsi="Calibri"/>
      <w:b/>
      <w:bCs/>
      <w:color w:val="2E74B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2026-10-26T02:50:51.608Z</dcterms:created>
  <dcterms:modified xsi:type="dcterms:W3CDTF">2026-10-26T02:50:51.617Z</dcterms:modified>
</cp:coreProperties>
</file>

<file path=docProps/custom.xml><?xml version="1.0" encoding="utf-8"?>
<Properties xmlns="http://schemas.openxmlformats.org/officeDocument/2006/custom-properties" xmlns:vt="http://schemas.openxmlformats.org/officeDocument/2006/docPropsVTypes"/>
</file>