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7D7BB">
      <w:pPr>
        <w:spacing w:after="80"/>
      </w:pPr>
    </w:p>
    <w:p w14:paraId="184D4E9B">
      <w:pPr>
        <w:spacing w:after="80"/>
      </w:pPr>
    </w:p>
    <w:p w14:paraId="5CC44FA9">
      <w:pPr>
        <w:spacing w:after="80"/>
      </w:pPr>
    </w:p>
    <w:p w14:paraId="567A3081">
      <w:pPr>
        <w:spacing w:after="120"/>
        <w:jc w:val="center"/>
      </w:pPr>
      <w:r>
        <w:rPr>
          <w:b/>
          <w:bCs/>
          <w:color w:val="1F3864"/>
          <w:sz w:val="72"/>
          <w:szCs w:val="72"/>
        </w:rPr>
        <w:t>ILMOP</w:t>
      </w:r>
    </w:p>
    <w:p w14:paraId="3BC4B4FF">
      <w:pPr>
        <w:spacing w:after="240"/>
        <w:jc w:val="center"/>
      </w:pPr>
      <w:r>
        <w:rPr>
          <w:b/>
          <w:bCs/>
          <w:color w:val="2F5496"/>
          <w:sz w:val="36"/>
          <w:szCs w:val="36"/>
        </w:rPr>
        <w:t>Intelligent LEO Monitoring and Operation Platform</w:t>
      </w:r>
    </w:p>
    <w:p w14:paraId="29629F98">
      <w:pPr>
        <w:spacing w:after="480"/>
        <w:jc w:val="center"/>
      </w:pPr>
      <w:r>
        <w:rPr>
          <w:b/>
          <w:bCs/>
          <w:color w:val="1F3864"/>
          <w:sz w:val="48"/>
          <w:szCs w:val="48"/>
        </w:rPr>
        <w:t>Concept of Operations (ConOps)</w:t>
      </w:r>
    </w:p>
    <w:p w14:paraId="2486CB3D">
      <w:pPr>
        <w:spacing w:after="120"/>
        <w:jc w:val="center"/>
      </w:pPr>
      <w:r>
        <w:rPr>
          <w:color w:val="595959"/>
          <w:sz w:val="24"/>
          <w:szCs w:val="24"/>
        </w:rPr>
        <w:t>DOC-003 | Version 1.0 | 2026-09-08</w:t>
      </w:r>
    </w:p>
    <w:p w14:paraId="11F754C7">
      <w:pPr>
        <w:spacing w:after="60"/>
        <w:jc w:val="center"/>
      </w:pPr>
      <w:r>
        <w:rPr>
          <w:b/>
          <w:bCs/>
          <w:color w:val="1F3864"/>
          <w:sz w:val="26"/>
          <w:szCs w:val="26"/>
        </w:rPr>
        <w:t>Stephen Ogodo</w:t>
      </w:r>
    </w:p>
    <w:p w14:paraId="1A541067">
      <w:pPr>
        <w:spacing w:after="60"/>
        <w:jc w:val="center"/>
      </w:pPr>
      <w:r>
        <w:rPr>
          <w:color w:val="595959"/>
          <w:sz w:val="22"/>
          <w:szCs w:val="22"/>
        </w:rPr>
        <w:t>TerraNova Resilience Analytics Ltd / NEXYGENE</w:t>
      </w:r>
    </w:p>
    <w:p w14:paraId="6D9BD795">
      <w:pPr>
        <w:spacing w:after="480"/>
        <w:jc w:val="center"/>
      </w:pPr>
      <w:r>
        <w:rPr>
          <w:color w:val="595959"/>
          <w:sz w:val="22"/>
          <w:szCs w:val="22"/>
        </w:rPr>
        <w:t>PhD Researcher — OFDM Waveform for Satellite ISAC</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2700"/>
        <w:gridCol w:w="6600"/>
      </w:tblGrid>
      <w:tr w14:paraId="68D2A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700" w:type="dxa"/>
            <w:shd w:val="clear" w:color="auto" w:fill="D9E1F2"/>
            <w:tcMar>
              <w:top w:w="80" w:type="dxa"/>
              <w:left w:w="100" w:type="dxa"/>
              <w:bottom w:w="80" w:type="dxa"/>
              <w:right w:w="100" w:type="dxa"/>
            </w:tcMar>
          </w:tcPr>
          <w:p w14:paraId="63A03EE8">
            <w:pPr>
              <w:spacing w:after="0"/>
              <w:jc w:val="center"/>
            </w:pPr>
            <w:r>
              <w:rPr>
                <w:b/>
                <w:bCs/>
                <w:color w:val="1F3864"/>
                <w:sz w:val="20"/>
                <w:szCs w:val="20"/>
              </w:rPr>
              <w:t>Attribute</w:t>
            </w:r>
          </w:p>
        </w:tc>
        <w:tc>
          <w:tcPr>
            <w:tcW w:w="6600" w:type="dxa"/>
            <w:shd w:val="clear" w:color="auto" w:fill="D9E1F2"/>
            <w:tcMar>
              <w:top w:w="80" w:type="dxa"/>
              <w:left w:w="100" w:type="dxa"/>
              <w:bottom w:w="80" w:type="dxa"/>
              <w:right w:w="100" w:type="dxa"/>
            </w:tcMar>
          </w:tcPr>
          <w:p w14:paraId="2DD12C28">
            <w:pPr>
              <w:spacing w:after="0"/>
              <w:jc w:val="center"/>
            </w:pPr>
            <w:r>
              <w:rPr>
                <w:b/>
                <w:bCs/>
                <w:color w:val="1F3864"/>
                <w:sz w:val="20"/>
                <w:szCs w:val="20"/>
              </w:rPr>
              <w:t>Detail</w:t>
            </w:r>
          </w:p>
        </w:tc>
      </w:tr>
      <w:tr w14:paraId="3E7A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700" w:type="dxa"/>
            <w:shd w:val="clear" w:color="auto" w:fill="FFFFFF"/>
            <w:tcMar>
              <w:top w:w="60" w:type="dxa"/>
              <w:left w:w="100" w:type="dxa"/>
              <w:bottom w:w="60" w:type="dxa"/>
              <w:right w:w="100" w:type="dxa"/>
            </w:tcMar>
          </w:tcPr>
          <w:p w14:paraId="7E7C8E18">
            <w:pPr>
              <w:spacing w:after="0"/>
            </w:pPr>
            <w:r>
              <w:rPr>
                <w:b/>
                <w:bCs/>
                <w:sz w:val="20"/>
                <w:szCs w:val="20"/>
              </w:rPr>
              <w:t>Document ID</w:t>
            </w:r>
          </w:p>
        </w:tc>
        <w:tc>
          <w:tcPr>
            <w:tcW w:w="6600" w:type="dxa"/>
            <w:shd w:val="clear" w:color="auto" w:fill="FFFFFF"/>
            <w:tcMar>
              <w:top w:w="60" w:type="dxa"/>
              <w:left w:w="100" w:type="dxa"/>
              <w:bottom w:w="60" w:type="dxa"/>
              <w:right w:w="100" w:type="dxa"/>
            </w:tcMar>
          </w:tcPr>
          <w:p w14:paraId="4BFAA9B3">
            <w:pPr>
              <w:spacing w:after="0"/>
            </w:pPr>
            <w:r>
              <w:rPr>
                <w:sz w:val="20"/>
                <w:szCs w:val="20"/>
              </w:rPr>
              <w:t>DOC-003</w:t>
            </w:r>
          </w:p>
        </w:tc>
      </w:tr>
      <w:tr w14:paraId="02B0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700" w:type="dxa"/>
            <w:shd w:val="clear" w:color="auto" w:fill="FFFFFF"/>
            <w:tcMar>
              <w:top w:w="60" w:type="dxa"/>
              <w:left w:w="100" w:type="dxa"/>
              <w:bottom w:w="60" w:type="dxa"/>
              <w:right w:w="100" w:type="dxa"/>
            </w:tcMar>
          </w:tcPr>
          <w:p w14:paraId="56F978B7">
            <w:pPr>
              <w:spacing w:after="0"/>
            </w:pPr>
            <w:r>
              <w:rPr>
                <w:b/>
                <w:bCs/>
                <w:sz w:val="20"/>
                <w:szCs w:val="20"/>
              </w:rPr>
              <w:t>Title</w:t>
            </w:r>
          </w:p>
        </w:tc>
        <w:tc>
          <w:tcPr>
            <w:tcW w:w="6600" w:type="dxa"/>
            <w:shd w:val="clear" w:color="auto" w:fill="FFFFFF"/>
            <w:tcMar>
              <w:top w:w="60" w:type="dxa"/>
              <w:left w:w="100" w:type="dxa"/>
              <w:bottom w:w="60" w:type="dxa"/>
              <w:right w:w="100" w:type="dxa"/>
            </w:tcMar>
          </w:tcPr>
          <w:p w14:paraId="56607747">
            <w:pPr>
              <w:spacing w:after="0"/>
            </w:pPr>
            <w:r>
              <w:rPr>
                <w:sz w:val="20"/>
                <w:szCs w:val="20"/>
              </w:rPr>
              <w:t>Concept of Operations (ConOps)</w:t>
            </w:r>
          </w:p>
        </w:tc>
      </w:tr>
      <w:tr w14:paraId="3B3A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700" w:type="dxa"/>
            <w:shd w:val="clear" w:color="auto" w:fill="FFFFFF"/>
            <w:tcMar>
              <w:top w:w="60" w:type="dxa"/>
              <w:left w:w="100" w:type="dxa"/>
              <w:bottom w:w="60" w:type="dxa"/>
              <w:right w:w="100" w:type="dxa"/>
            </w:tcMar>
          </w:tcPr>
          <w:p w14:paraId="5F5A81C5">
            <w:pPr>
              <w:spacing w:after="0"/>
            </w:pPr>
            <w:r>
              <w:rPr>
                <w:b/>
                <w:bCs/>
                <w:sz w:val="20"/>
                <w:szCs w:val="20"/>
              </w:rPr>
              <w:t>Version</w:t>
            </w:r>
          </w:p>
        </w:tc>
        <w:tc>
          <w:tcPr>
            <w:tcW w:w="6600" w:type="dxa"/>
            <w:shd w:val="clear" w:color="auto" w:fill="FFFFFF"/>
            <w:tcMar>
              <w:top w:w="60" w:type="dxa"/>
              <w:left w:w="100" w:type="dxa"/>
              <w:bottom w:w="60" w:type="dxa"/>
              <w:right w:w="100" w:type="dxa"/>
            </w:tcMar>
          </w:tcPr>
          <w:p w14:paraId="1097571D">
            <w:pPr>
              <w:spacing w:after="0"/>
            </w:pPr>
            <w:r>
              <w:rPr>
                <w:sz w:val="20"/>
                <w:szCs w:val="20"/>
              </w:rPr>
              <w:t>1.0</w:t>
            </w:r>
          </w:p>
        </w:tc>
      </w:tr>
      <w:tr w14:paraId="30EB9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700" w:type="dxa"/>
            <w:shd w:val="clear" w:color="auto" w:fill="FFFFFF"/>
            <w:tcMar>
              <w:top w:w="60" w:type="dxa"/>
              <w:left w:w="100" w:type="dxa"/>
              <w:bottom w:w="60" w:type="dxa"/>
              <w:right w:w="100" w:type="dxa"/>
            </w:tcMar>
          </w:tcPr>
          <w:p w14:paraId="00405CC1">
            <w:pPr>
              <w:spacing w:after="0"/>
            </w:pPr>
            <w:r>
              <w:rPr>
                <w:b/>
                <w:bCs/>
                <w:sz w:val="20"/>
                <w:szCs w:val="20"/>
              </w:rPr>
              <w:t>Status</w:t>
            </w:r>
          </w:p>
        </w:tc>
        <w:tc>
          <w:tcPr>
            <w:tcW w:w="6600" w:type="dxa"/>
            <w:shd w:val="clear" w:color="auto" w:fill="FFFFFF"/>
            <w:tcMar>
              <w:top w:w="60" w:type="dxa"/>
              <w:left w:w="100" w:type="dxa"/>
              <w:bottom w:w="60" w:type="dxa"/>
              <w:right w:w="100" w:type="dxa"/>
            </w:tcMar>
          </w:tcPr>
          <w:p w14:paraId="4B4C7ADA">
            <w:pPr>
              <w:spacing w:after="0"/>
            </w:pPr>
            <w:r>
              <w:rPr>
                <w:sz w:val="20"/>
                <w:szCs w:val="20"/>
              </w:rPr>
              <w:t>Active</w:t>
            </w:r>
          </w:p>
        </w:tc>
      </w:tr>
      <w:tr w14:paraId="40D6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700" w:type="dxa"/>
            <w:shd w:val="clear" w:color="auto" w:fill="FFFFFF"/>
            <w:tcMar>
              <w:top w:w="60" w:type="dxa"/>
              <w:left w:w="100" w:type="dxa"/>
              <w:bottom w:w="60" w:type="dxa"/>
              <w:right w:w="100" w:type="dxa"/>
            </w:tcMar>
          </w:tcPr>
          <w:p w14:paraId="6A863552">
            <w:pPr>
              <w:spacing w:after="0"/>
            </w:pPr>
            <w:r>
              <w:rPr>
                <w:b/>
                <w:bCs/>
                <w:sz w:val="20"/>
                <w:szCs w:val="20"/>
              </w:rPr>
              <w:t>Date</w:t>
            </w:r>
          </w:p>
        </w:tc>
        <w:tc>
          <w:tcPr>
            <w:tcW w:w="6600" w:type="dxa"/>
            <w:shd w:val="clear" w:color="auto" w:fill="FFFFFF"/>
            <w:tcMar>
              <w:top w:w="60" w:type="dxa"/>
              <w:left w:w="100" w:type="dxa"/>
              <w:bottom w:w="60" w:type="dxa"/>
              <w:right w:w="100" w:type="dxa"/>
            </w:tcMar>
          </w:tcPr>
          <w:p w14:paraId="0B7BEE9F">
            <w:pPr>
              <w:spacing w:after="0"/>
            </w:pPr>
            <w:r>
              <w:rPr>
                <w:sz w:val="20"/>
                <w:szCs w:val="20"/>
              </w:rPr>
              <w:t>2026-09-08</w:t>
            </w:r>
          </w:p>
        </w:tc>
      </w:tr>
      <w:tr w14:paraId="20622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700" w:type="dxa"/>
            <w:shd w:val="clear" w:color="auto" w:fill="FFFFFF"/>
            <w:tcMar>
              <w:top w:w="60" w:type="dxa"/>
              <w:left w:w="100" w:type="dxa"/>
              <w:bottom w:w="60" w:type="dxa"/>
              <w:right w:w="100" w:type="dxa"/>
            </w:tcMar>
          </w:tcPr>
          <w:p w14:paraId="371922A5">
            <w:pPr>
              <w:spacing w:after="0"/>
            </w:pPr>
            <w:r>
              <w:rPr>
                <w:b/>
                <w:bCs/>
                <w:sz w:val="20"/>
                <w:szCs w:val="20"/>
              </w:rPr>
              <w:t>Author</w:t>
            </w:r>
          </w:p>
        </w:tc>
        <w:tc>
          <w:tcPr>
            <w:tcW w:w="6600" w:type="dxa"/>
            <w:shd w:val="clear" w:color="auto" w:fill="FFFFFF"/>
            <w:tcMar>
              <w:top w:w="60" w:type="dxa"/>
              <w:left w:w="100" w:type="dxa"/>
              <w:bottom w:w="60" w:type="dxa"/>
              <w:right w:w="100" w:type="dxa"/>
            </w:tcMar>
          </w:tcPr>
          <w:p w14:paraId="3641A1CE">
            <w:pPr>
              <w:spacing w:after="0"/>
            </w:pPr>
            <w:r>
              <w:rPr>
                <w:sz w:val="20"/>
                <w:szCs w:val="20"/>
              </w:rPr>
              <w:t>Stephen Ogodo</w:t>
            </w:r>
          </w:p>
        </w:tc>
      </w:tr>
      <w:tr w14:paraId="7BEB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700" w:type="dxa"/>
            <w:shd w:val="clear" w:color="auto" w:fill="FFFFFF"/>
            <w:tcMar>
              <w:top w:w="60" w:type="dxa"/>
              <w:left w:w="100" w:type="dxa"/>
              <w:bottom w:w="60" w:type="dxa"/>
              <w:right w:w="100" w:type="dxa"/>
            </w:tcMar>
          </w:tcPr>
          <w:p w14:paraId="0DD24E31">
            <w:pPr>
              <w:spacing w:after="0"/>
            </w:pPr>
            <w:r>
              <w:rPr>
                <w:b/>
                <w:bCs/>
                <w:sz w:val="20"/>
                <w:szCs w:val="20"/>
              </w:rPr>
              <w:t>Related documents</w:t>
            </w:r>
          </w:p>
        </w:tc>
        <w:tc>
          <w:tcPr>
            <w:tcW w:w="6600" w:type="dxa"/>
            <w:shd w:val="clear" w:color="auto" w:fill="FFFFFF"/>
            <w:tcMar>
              <w:top w:w="60" w:type="dxa"/>
              <w:left w:w="100" w:type="dxa"/>
              <w:bottom w:w="60" w:type="dxa"/>
              <w:right w:w="100" w:type="dxa"/>
            </w:tcMar>
          </w:tcPr>
          <w:p w14:paraId="5D427BCB">
            <w:pPr>
              <w:spacing w:after="0"/>
            </w:pPr>
            <w:r>
              <w:rPr>
                <w:sz w:val="20"/>
                <w:szCs w:val="20"/>
              </w:rPr>
              <w:t>DOC-007 ADD, ILMOP_Project_Tracker.md, ADR-001 to ADR-013</w:t>
            </w:r>
          </w:p>
        </w:tc>
      </w:tr>
    </w:tbl>
    <w:p w14:paraId="37951772">
      <w:r>
        <w:br w:type="page"/>
      </w:r>
    </w:p>
    <w:p w14:paraId="76D8A3B0">
      <w:pPr>
        <w:pStyle w:val="2"/>
        <w:spacing w:before="360" w:after="120"/>
      </w:pPr>
      <w:r>
        <w:t>1. Introduction</w:t>
      </w:r>
    </w:p>
    <w:p w14:paraId="2AF5AD8A">
      <w:pPr>
        <w:pStyle w:val="3"/>
        <w:spacing w:before="240" w:after="80"/>
      </w:pPr>
      <w:r>
        <w:t>1.1 Purpose</w:t>
      </w:r>
    </w:p>
    <w:p w14:paraId="70D7E980">
      <w:pPr>
        <w:spacing w:after="120"/>
        <w:jc w:val="both"/>
      </w:pPr>
      <w:r>
        <w:rPr>
          <w:sz w:val="22"/>
          <w:szCs w:val="22"/>
        </w:rPr>
        <w:t>This Concept of Operations document describes how the Intelligent LEO Monitoring and Operation Platform (ILMOP) is operated — by whom, under what conditions, in what modes, and according to what procedures. It is concerned with operational behaviour, not software implementation. Where the Architecture Design Document (DOC-007) describes what the system is built from, this ConOps describes what operators and researchers do with it.</w:t>
      </w:r>
    </w:p>
    <w:p w14:paraId="343E0D27">
      <w:pPr>
        <w:spacing w:after="120"/>
        <w:jc w:val="both"/>
      </w:pPr>
      <w:r>
        <w:rPr>
          <w:sz w:val="22"/>
          <w:szCs w:val="22"/>
        </w:rPr>
        <w:t>The primary audiences for this document are: satellite operators who will use ILMOP to monitor and command a LEO constellation; researchers who will use ILMOP as the ground segment for PhD waveform demonstrations; and reviewers (examiners, interviewers, collaborators) who need to understand what the platform does in operational terms before examining the technical implementation.</w:t>
      </w:r>
    </w:p>
    <w:p w14:paraId="78C4BFEF">
      <w:pPr>
        <w:pStyle w:val="3"/>
        <w:spacing w:before="240" w:after="80"/>
      </w:pPr>
      <w:r>
        <w:t>1.2 Scope</w:t>
      </w:r>
    </w:p>
    <w:p w14:paraId="66666468">
      <w:pPr>
        <w:spacing w:after="120"/>
        <w:jc w:val="both"/>
      </w:pPr>
      <w:r>
        <w:rPr>
          <w:sz w:val="22"/>
          <w:szCs w:val="22"/>
        </w:rPr>
        <w:t>This ConOps covers the full operational scope of ILMOP across all seven planned sprints, describing current capabilities (Sprints 1–4) and planned operational modes (Sprints 5–7) with clear distinctions between them. It covers four constellation scenarios of increasing complexity, four operational modes, and three PhD research demonstration operations. It does not cover software architecture, implementation details, or infrastructure configuration — those are covered in DOC-007 (ADD) and the ADR register.</w:t>
      </w:r>
    </w:p>
    <w:p w14:paraId="4C4504A8">
      <w:pPr>
        <w:pStyle w:val="3"/>
        <w:spacing w:before="240" w:after="80"/>
      </w:pPr>
      <w:r>
        <w:t>1.3 Definitions and abbreviations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2000"/>
        <w:gridCol w:w="7300"/>
      </w:tblGrid>
      <w:tr w14:paraId="79505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D9E1F2"/>
            <w:tcMar>
              <w:top w:w="80" w:type="dxa"/>
              <w:left w:w="100" w:type="dxa"/>
              <w:bottom w:w="80" w:type="dxa"/>
              <w:right w:w="100" w:type="dxa"/>
            </w:tcMar>
          </w:tcPr>
          <w:p w14:paraId="54F496FD">
            <w:pPr>
              <w:spacing w:after="0"/>
              <w:jc w:val="center"/>
            </w:pPr>
            <w:r>
              <w:rPr>
                <w:b/>
                <w:bCs/>
                <w:color w:val="1F3864"/>
                <w:sz w:val="20"/>
                <w:szCs w:val="20"/>
              </w:rPr>
              <w:t>Term</w:t>
            </w:r>
          </w:p>
        </w:tc>
        <w:tc>
          <w:tcPr>
            <w:tcW w:w="7300" w:type="dxa"/>
            <w:shd w:val="clear" w:color="auto" w:fill="D9E1F2"/>
            <w:tcMar>
              <w:top w:w="80" w:type="dxa"/>
              <w:left w:w="100" w:type="dxa"/>
              <w:bottom w:w="80" w:type="dxa"/>
              <w:right w:w="100" w:type="dxa"/>
            </w:tcMar>
          </w:tcPr>
          <w:p w14:paraId="29B4ACF3">
            <w:pPr>
              <w:spacing w:after="0"/>
              <w:jc w:val="center"/>
            </w:pPr>
            <w:r>
              <w:rPr>
                <w:b/>
                <w:bCs/>
                <w:color w:val="1F3864"/>
                <w:sz w:val="20"/>
                <w:szCs w:val="20"/>
              </w:rPr>
              <w:t>Definition</w:t>
            </w:r>
          </w:p>
        </w:tc>
      </w:tr>
      <w:tr w14:paraId="6730F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290A131B">
            <w:pPr>
              <w:spacing w:after="0"/>
            </w:pPr>
            <w:r>
              <w:rPr>
                <w:b/>
                <w:bCs/>
                <w:sz w:val="20"/>
                <w:szCs w:val="20"/>
              </w:rPr>
              <w:t>AOS</w:t>
            </w:r>
          </w:p>
        </w:tc>
        <w:tc>
          <w:tcPr>
            <w:tcW w:w="7300" w:type="dxa"/>
            <w:shd w:val="clear" w:color="auto" w:fill="FFFFFF"/>
            <w:tcMar>
              <w:top w:w="60" w:type="dxa"/>
              <w:left w:w="100" w:type="dxa"/>
              <w:bottom w:w="60" w:type="dxa"/>
              <w:right w:w="100" w:type="dxa"/>
            </w:tcMar>
          </w:tcPr>
          <w:p w14:paraId="41C9A39C">
            <w:pPr>
              <w:spacing w:after="0"/>
            </w:pPr>
            <w:r>
              <w:rPr>
                <w:sz w:val="20"/>
                <w:szCs w:val="20"/>
              </w:rPr>
              <w:t>Acquisition of Signal — the moment a ground antenna establishes a link with a satellite at the start of a contact window</w:t>
            </w:r>
          </w:p>
        </w:tc>
      </w:tr>
      <w:tr w14:paraId="3B7CD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3E28EDE5">
            <w:pPr>
              <w:spacing w:after="0"/>
            </w:pPr>
            <w:r>
              <w:rPr>
                <w:b/>
                <w:bCs/>
                <w:sz w:val="20"/>
                <w:szCs w:val="20"/>
              </w:rPr>
              <w:t>LOS</w:t>
            </w:r>
          </w:p>
        </w:tc>
        <w:tc>
          <w:tcPr>
            <w:tcW w:w="7300" w:type="dxa"/>
            <w:shd w:val="clear" w:color="auto" w:fill="FFFFFF"/>
            <w:tcMar>
              <w:top w:w="60" w:type="dxa"/>
              <w:left w:w="100" w:type="dxa"/>
              <w:bottom w:w="60" w:type="dxa"/>
              <w:right w:w="100" w:type="dxa"/>
            </w:tcMar>
          </w:tcPr>
          <w:p w14:paraId="26F3701E">
            <w:pPr>
              <w:spacing w:after="0"/>
            </w:pPr>
            <w:r>
              <w:rPr>
                <w:sz w:val="20"/>
                <w:szCs w:val="20"/>
              </w:rPr>
              <w:t>Loss of Signal — the moment a satellite passes below the ground antenna's minimum elevation angle, ending a contact window</w:t>
            </w:r>
          </w:p>
        </w:tc>
      </w:tr>
      <w:tr w14:paraId="0EDD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6F0C8EDD">
            <w:pPr>
              <w:spacing w:after="0"/>
            </w:pPr>
            <w:r>
              <w:rPr>
                <w:b/>
                <w:bCs/>
                <w:sz w:val="20"/>
                <w:szCs w:val="20"/>
              </w:rPr>
              <w:t>Contact window</w:t>
            </w:r>
          </w:p>
        </w:tc>
        <w:tc>
          <w:tcPr>
            <w:tcW w:w="7300" w:type="dxa"/>
            <w:shd w:val="clear" w:color="auto" w:fill="FFFFFF"/>
            <w:tcMar>
              <w:top w:w="60" w:type="dxa"/>
              <w:left w:w="100" w:type="dxa"/>
              <w:bottom w:w="60" w:type="dxa"/>
              <w:right w:w="100" w:type="dxa"/>
            </w:tcMar>
          </w:tcPr>
          <w:p w14:paraId="6E5C1ED3">
            <w:pPr>
              <w:spacing w:after="0"/>
            </w:pPr>
            <w:r>
              <w:rPr>
                <w:sz w:val="20"/>
                <w:szCs w:val="20"/>
              </w:rPr>
              <w:t>A period during which a satellite is above the minimum elevation angle of a ground station and two-way communication is possible</w:t>
            </w:r>
          </w:p>
        </w:tc>
      </w:tr>
      <w:tr w14:paraId="35435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30C1DFFF">
            <w:pPr>
              <w:spacing w:after="0"/>
            </w:pPr>
            <w:r>
              <w:rPr>
                <w:b/>
                <w:bCs/>
                <w:sz w:val="20"/>
                <w:szCs w:val="20"/>
              </w:rPr>
              <w:t>Eclipse</w:t>
            </w:r>
          </w:p>
        </w:tc>
        <w:tc>
          <w:tcPr>
            <w:tcW w:w="7300" w:type="dxa"/>
            <w:shd w:val="clear" w:color="auto" w:fill="FFFFFF"/>
            <w:tcMar>
              <w:top w:w="60" w:type="dxa"/>
              <w:left w:w="100" w:type="dxa"/>
              <w:bottom w:w="60" w:type="dxa"/>
              <w:right w:w="100" w:type="dxa"/>
            </w:tcMar>
          </w:tcPr>
          <w:p w14:paraId="33C90C39">
            <w:pPr>
              <w:spacing w:after="0"/>
            </w:pPr>
            <w:r>
              <w:rPr>
                <w:sz w:val="20"/>
                <w:szCs w:val="20"/>
              </w:rPr>
              <w:t>A period during which the satellite is in Earth's shadow and receives no solar power</w:t>
            </w:r>
          </w:p>
        </w:tc>
      </w:tr>
      <w:tr w14:paraId="28A1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1B644FAC">
            <w:pPr>
              <w:spacing w:after="0"/>
            </w:pPr>
            <w:r>
              <w:rPr>
                <w:b/>
                <w:bCs/>
                <w:sz w:val="20"/>
                <w:szCs w:val="20"/>
              </w:rPr>
              <w:t>Pass</w:t>
            </w:r>
          </w:p>
        </w:tc>
        <w:tc>
          <w:tcPr>
            <w:tcW w:w="7300" w:type="dxa"/>
            <w:shd w:val="clear" w:color="auto" w:fill="FFFFFF"/>
            <w:tcMar>
              <w:top w:w="60" w:type="dxa"/>
              <w:left w:w="100" w:type="dxa"/>
              <w:bottom w:w="60" w:type="dxa"/>
              <w:right w:w="100" w:type="dxa"/>
            </w:tcMar>
          </w:tcPr>
          <w:p w14:paraId="4AD71173">
            <w:pPr>
              <w:spacing w:after="0"/>
            </w:pPr>
            <w:r>
              <w:rPr>
                <w:sz w:val="20"/>
                <w:szCs w:val="20"/>
              </w:rPr>
              <w:t>Synonym for contact window — one complete AOS-to-LOS period</w:t>
            </w:r>
          </w:p>
        </w:tc>
      </w:tr>
      <w:tr w14:paraId="385C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503DBFE4">
            <w:pPr>
              <w:spacing w:after="0"/>
            </w:pPr>
            <w:r>
              <w:rPr>
                <w:b/>
                <w:bCs/>
                <w:sz w:val="20"/>
                <w:szCs w:val="20"/>
              </w:rPr>
              <w:t>RAAN</w:t>
            </w:r>
          </w:p>
        </w:tc>
        <w:tc>
          <w:tcPr>
            <w:tcW w:w="7300" w:type="dxa"/>
            <w:shd w:val="clear" w:color="auto" w:fill="FFFFFF"/>
            <w:tcMar>
              <w:top w:w="60" w:type="dxa"/>
              <w:left w:w="100" w:type="dxa"/>
              <w:bottom w:w="60" w:type="dxa"/>
              <w:right w:w="100" w:type="dxa"/>
            </w:tcMar>
          </w:tcPr>
          <w:p w14:paraId="0A8657A3">
            <w:pPr>
              <w:spacing w:after="0"/>
            </w:pPr>
            <w:r>
              <w:rPr>
                <w:sz w:val="20"/>
                <w:szCs w:val="20"/>
              </w:rPr>
              <w:t>Right Ascension of the Ascending Node — the orbital element that defines where an orbital plane crosses the equator going north</w:t>
            </w:r>
          </w:p>
        </w:tc>
      </w:tr>
      <w:tr w14:paraId="5A68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5CD1771C">
            <w:pPr>
              <w:spacing w:after="0"/>
            </w:pPr>
            <w:r>
              <w:rPr>
                <w:b/>
                <w:bCs/>
                <w:sz w:val="20"/>
                <w:szCs w:val="20"/>
              </w:rPr>
              <w:t>SGP4</w:t>
            </w:r>
          </w:p>
        </w:tc>
        <w:tc>
          <w:tcPr>
            <w:tcW w:w="7300" w:type="dxa"/>
            <w:shd w:val="clear" w:color="auto" w:fill="FFFFFF"/>
            <w:tcMar>
              <w:top w:w="60" w:type="dxa"/>
              <w:left w:w="100" w:type="dxa"/>
              <w:bottom w:w="60" w:type="dxa"/>
              <w:right w:w="100" w:type="dxa"/>
            </w:tcMar>
          </w:tcPr>
          <w:p w14:paraId="673AAF17">
            <w:pPr>
              <w:spacing w:after="0"/>
            </w:pPr>
            <w:r>
              <w:rPr>
                <w:sz w:val="20"/>
                <w:szCs w:val="20"/>
              </w:rPr>
              <w:t>Simplified General Perturbations 4 — the industry-standard orbit propagation algorithm used by ILMOP for operational position computation</w:t>
            </w:r>
          </w:p>
        </w:tc>
      </w:tr>
      <w:tr w14:paraId="2D70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78CD27EE">
            <w:pPr>
              <w:spacing w:after="0"/>
            </w:pPr>
            <w:r>
              <w:rPr>
                <w:b/>
                <w:bCs/>
                <w:sz w:val="20"/>
                <w:szCs w:val="20"/>
              </w:rPr>
              <w:t>HPOP</w:t>
            </w:r>
          </w:p>
        </w:tc>
        <w:tc>
          <w:tcPr>
            <w:tcW w:w="7300" w:type="dxa"/>
            <w:shd w:val="clear" w:color="auto" w:fill="FFFFFF"/>
            <w:tcMar>
              <w:top w:w="60" w:type="dxa"/>
              <w:left w:w="100" w:type="dxa"/>
              <w:bottom w:w="60" w:type="dxa"/>
              <w:right w:w="100" w:type="dxa"/>
            </w:tcMar>
          </w:tcPr>
          <w:p w14:paraId="7E6B8245">
            <w:pPr>
              <w:spacing w:after="0"/>
            </w:pPr>
            <w:r>
              <w:rPr>
                <w:sz w:val="20"/>
                <w:szCs w:val="20"/>
              </w:rPr>
              <w:t>High Precision Orbit Propagation — numerical integration using a full force model, used as the navigation truth reference for the PhD waveform validation pipeline</w:t>
            </w:r>
          </w:p>
        </w:tc>
      </w:tr>
      <w:tr w14:paraId="5C92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7229D924">
            <w:pPr>
              <w:spacing w:after="0"/>
            </w:pPr>
            <w:r>
              <w:rPr>
                <w:b/>
                <w:bCs/>
                <w:sz w:val="20"/>
                <w:szCs w:val="20"/>
              </w:rPr>
              <w:t>ISAC</w:t>
            </w:r>
          </w:p>
        </w:tc>
        <w:tc>
          <w:tcPr>
            <w:tcW w:w="7300" w:type="dxa"/>
            <w:shd w:val="clear" w:color="auto" w:fill="FFFFFF"/>
            <w:tcMar>
              <w:top w:w="60" w:type="dxa"/>
              <w:left w:w="100" w:type="dxa"/>
              <w:bottom w:w="60" w:type="dxa"/>
              <w:right w:w="100" w:type="dxa"/>
            </w:tcMar>
          </w:tcPr>
          <w:p w14:paraId="72F96752">
            <w:pPr>
              <w:spacing w:after="0"/>
            </w:pPr>
            <w:r>
              <w:rPr>
                <w:sz w:val="20"/>
                <w:szCs w:val="20"/>
              </w:rPr>
              <w:t>Integrated Sensing and Communication — the waveform design paradigm of the associated PhD research, using one OFDM waveform for communication, navigation, and remote sensing</w:t>
            </w:r>
          </w:p>
        </w:tc>
      </w:tr>
      <w:tr w14:paraId="5535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05051922">
            <w:pPr>
              <w:spacing w:after="0"/>
            </w:pPr>
            <w:r>
              <w:rPr>
                <w:b/>
                <w:bCs/>
                <w:sz w:val="20"/>
                <w:szCs w:val="20"/>
              </w:rPr>
              <w:t>TLE</w:t>
            </w:r>
          </w:p>
        </w:tc>
        <w:tc>
          <w:tcPr>
            <w:tcW w:w="7300" w:type="dxa"/>
            <w:shd w:val="clear" w:color="auto" w:fill="FFFFFF"/>
            <w:tcMar>
              <w:top w:w="60" w:type="dxa"/>
              <w:left w:w="100" w:type="dxa"/>
              <w:bottom w:w="60" w:type="dxa"/>
              <w:right w:w="100" w:type="dxa"/>
            </w:tcMar>
          </w:tcPr>
          <w:p w14:paraId="44858B19">
            <w:pPr>
              <w:spacing w:after="0"/>
            </w:pPr>
            <w:r>
              <w:rPr>
                <w:sz w:val="20"/>
                <w:szCs w:val="20"/>
              </w:rPr>
              <w:t>Two-Line Element set — a compact standard format for describing a satellite's orbit at a specific epoch, used as input to SGP4</w:t>
            </w:r>
          </w:p>
        </w:tc>
      </w:tr>
      <w:tr w14:paraId="71BE8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35985FCE">
            <w:pPr>
              <w:spacing w:after="0"/>
            </w:pPr>
            <w:r>
              <w:rPr>
                <w:b/>
                <w:bCs/>
                <w:sz w:val="20"/>
                <w:szCs w:val="20"/>
              </w:rPr>
              <w:t>Molniya</w:t>
            </w:r>
          </w:p>
        </w:tc>
        <w:tc>
          <w:tcPr>
            <w:tcW w:w="7300" w:type="dxa"/>
            <w:shd w:val="clear" w:color="auto" w:fill="FFFFFF"/>
            <w:tcMar>
              <w:top w:w="60" w:type="dxa"/>
              <w:left w:w="100" w:type="dxa"/>
              <w:bottom w:w="60" w:type="dxa"/>
              <w:right w:w="100" w:type="dxa"/>
            </w:tcMar>
          </w:tcPr>
          <w:p w14:paraId="408AAD96">
            <w:pPr>
              <w:spacing w:after="0"/>
            </w:pPr>
            <w:r>
              <w:rPr>
                <w:sz w:val="20"/>
                <w:szCs w:val="20"/>
              </w:rPr>
              <w:t>A highly elliptical orbit (HEO) with 63.4° inclination and eccentricity ~0.74, designed to provide persistent coverage of polar regions via extended apogee dwell</w:t>
            </w:r>
          </w:p>
        </w:tc>
      </w:tr>
      <w:tr w14:paraId="28962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6419EAC9">
            <w:pPr>
              <w:spacing w:after="0"/>
            </w:pPr>
            <w:r>
              <w:rPr>
                <w:b/>
                <w:bCs/>
                <w:sz w:val="20"/>
                <w:szCs w:val="20"/>
              </w:rPr>
              <w:t>Digital twin</w:t>
            </w:r>
          </w:p>
        </w:tc>
        <w:tc>
          <w:tcPr>
            <w:tcW w:w="7300" w:type="dxa"/>
            <w:shd w:val="clear" w:color="auto" w:fill="FFFFFF"/>
            <w:tcMar>
              <w:top w:w="60" w:type="dxa"/>
              <w:left w:w="100" w:type="dxa"/>
              <w:bottom w:w="60" w:type="dxa"/>
              <w:right w:w="100" w:type="dxa"/>
            </w:tcMar>
          </w:tcPr>
          <w:p w14:paraId="2D57C0E5">
            <w:pPr>
              <w:spacing w:after="0"/>
            </w:pPr>
            <w:r>
              <w:rPr>
                <w:sz w:val="20"/>
                <w:szCs w:val="20"/>
              </w:rPr>
              <w:t>A virtual model of the physical satellite that mirrors its state in real time, forecasts future states, and supports autonomous response within defined boundaries</w:t>
            </w:r>
          </w:p>
        </w:tc>
      </w:tr>
      <w:tr w14:paraId="64A03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4CB81DFA">
            <w:pPr>
              <w:spacing w:after="0"/>
            </w:pPr>
            <w:r>
              <w:rPr>
                <w:b/>
                <w:bCs/>
                <w:sz w:val="20"/>
                <w:szCs w:val="20"/>
              </w:rPr>
              <w:t>ILP</w:t>
            </w:r>
          </w:p>
        </w:tc>
        <w:tc>
          <w:tcPr>
            <w:tcW w:w="7300" w:type="dxa"/>
            <w:shd w:val="clear" w:color="auto" w:fill="FFFFFF"/>
            <w:tcMar>
              <w:top w:w="60" w:type="dxa"/>
              <w:left w:w="100" w:type="dxa"/>
              <w:bottom w:w="60" w:type="dxa"/>
              <w:right w:w="100" w:type="dxa"/>
            </w:tcMar>
          </w:tcPr>
          <w:p w14:paraId="0507EF35">
            <w:pPr>
              <w:spacing w:after="0"/>
            </w:pPr>
            <w:r>
              <w:rPr>
                <w:sz w:val="20"/>
                <w:szCs w:val="20"/>
              </w:rPr>
              <w:t>Integer Linear Programming — the mathematical optimisation technique used by the Sprint 7 ground station scheduler to assign contact windows</w:t>
            </w:r>
          </w:p>
        </w:tc>
      </w:tr>
    </w:tbl>
    <w:p w14:paraId="332A0174">
      <w:r>
        <w:br w:type="page"/>
      </w:r>
    </w:p>
    <w:p w14:paraId="36F7484E">
      <w:pPr>
        <w:pStyle w:val="2"/>
        <w:spacing w:before="360" w:after="120"/>
      </w:pPr>
      <w:r>
        <w:t>2. System Overview</w:t>
      </w:r>
    </w:p>
    <w:p w14:paraId="1060EB79">
      <w:pPr>
        <w:pStyle w:val="3"/>
        <w:spacing w:before="240" w:after="80"/>
      </w:pPr>
      <w:r>
        <w:t>2.1 What ILMOP is</w:t>
      </w:r>
    </w:p>
    <w:p w14:paraId="16DAC0DD">
      <w:pPr>
        <w:spacing w:after="120"/>
        <w:jc w:val="both"/>
      </w:pPr>
      <w:r>
        <w:rPr>
          <w:sz w:val="22"/>
          <w:szCs w:val="22"/>
        </w:rPr>
        <w:t>ILMOP is a full-stack, AI-assisted Mission Operations System for LEO satellite constellations. It performs the complete operational chain of modern commercial satellite operations: physics-accurate spacecraft simulation, real-time event streaming via Apache Kafka, time-series persistence in TimescaleDB, REST API delivery via FastAPI, real-time operator display via Streamlit, and anomaly detection via machine learning.</w:t>
      </w:r>
    </w:p>
    <w:p w14:paraId="2CA80E11">
      <w:pPr>
        <w:spacing w:after="120"/>
        <w:jc w:val="both"/>
      </w:pPr>
      <w:r>
        <w:rPr>
          <w:sz w:val="22"/>
          <w:szCs w:val="22"/>
        </w:rPr>
        <w:t>In operational terms, ILMOP is the ground-based software system through which a human operator monitors the health of one or more satellites, detects anomalies before they become failures, plans and uplinks commands, and retrieves downlinked payload data. In research terms, it is the operational ground segment through which the PhD OFDM waveform demonstrations are conducted, validated, and documented.</w:t>
      </w:r>
    </w:p>
    <w:p w14:paraId="7C7C876D">
      <w:pPr>
        <w:pStyle w:val="3"/>
        <w:spacing w:before="240" w:after="80"/>
      </w:pPr>
      <w:r>
        <w:t>2.2 The digital twin concept</w:t>
      </w:r>
    </w:p>
    <w:p w14:paraId="2B1579FD">
      <w:pPr>
        <w:spacing w:after="120"/>
        <w:jc w:val="both"/>
      </w:pPr>
      <w:r>
        <w:rPr>
          <w:sz w:val="22"/>
          <w:szCs w:val="22"/>
        </w:rPr>
        <w:t>ILMOP implements the spacecraft digital twin concept at four levels of maturity across its seven sprints:</w:t>
      </w:r>
    </w:p>
    <w:p w14:paraId="6AE74700">
      <w:pPr>
        <w:pStyle w:val="16"/>
        <w:numPr>
          <w:ilvl w:val="0"/>
          <w:numId w:val="1"/>
        </w:numPr>
        <w:spacing w:after="60"/>
      </w:pPr>
      <w:r>
        <w:rPr>
          <w:sz w:val="22"/>
          <w:szCs w:val="22"/>
        </w:rPr>
        <w:t>Digital shadow (Sprints 1–2): telemetry flows one way — from the satellite simulator to storage. The virtual model mirrors the physical satellite's state but does not influence it.</w:t>
      </w:r>
    </w:p>
    <w:p w14:paraId="6123317F">
      <w:pPr>
        <w:pStyle w:val="16"/>
        <w:numPr>
          <w:ilvl w:val="0"/>
          <w:numId w:val="1"/>
        </w:numPr>
        <w:spacing w:after="60"/>
      </w:pPr>
      <w:r>
        <w:rPr>
          <w:sz w:val="22"/>
          <w:szCs w:val="22"/>
        </w:rPr>
        <w:t>Digital twin (Sprints 3–4): bidirectional data flow. Telemetry flows from satellite to ground; commands flow from ground to satellite. The platform's API and dashboard give operators a gateway for action, not just observation.</w:t>
      </w:r>
    </w:p>
    <w:p w14:paraId="01132BA4">
      <w:pPr>
        <w:pStyle w:val="16"/>
        <w:numPr>
          <w:ilvl w:val="0"/>
          <w:numId w:val="1"/>
        </w:numPr>
        <w:spacing w:after="60"/>
      </w:pPr>
      <w:r>
        <w:rPr>
          <w:sz w:val="22"/>
          <w:szCs w:val="22"/>
        </w:rPr>
        <w:t>Predictive twin (Sprint 5): the AI/ML layer forecasts future satellite states. The anomaly detection service identifies degradation trends before threshold alarms fire. The platform proposes responses rather than just recording events.</w:t>
      </w:r>
    </w:p>
    <w:p w14:paraId="40204D3B">
      <w:pPr>
        <w:pStyle w:val="16"/>
        <w:numPr>
          <w:ilvl w:val="0"/>
          <w:numId w:val="1"/>
        </w:numPr>
        <w:spacing w:after="60"/>
      </w:pPr>
      <w:r>
        <w:rPr>
          <w:sz w:val="22"/>
          <w:szCs w:val="22"/>
        </w:rPr>
        <w:t>Autonomous twin (Sprints 6–7): the ground station scheduler automates contact window planning. The system acts within defined autonomous boundaries — scheduling contacts, deferring non-critical payload operations — and escalates decisions outside those boundaries to the operator.</w:t>
      </w:r>
    </w:p>
    <w:p w14:paraId="2F8725E9">
      <w:pPr>
        <w:spacing w:after="80"/>
      </w:pPr>
    </w:p>
    <w:p w14:paraId="6F6A1281">
      <w:pPr>
        <w:spacing w:after="120"/>
        <w:jc w:val="both"/>
      </w:pPr>
      <w:r>
        <w:rPr>
          <w:sz w:val="22"/>
          <w:szCs w:val="22"/>
        </w:rPr>
        <w:t>The transition from shadow to twin to predictive to autonomous is not merely a feature progression. It represents a change in the operational relationship between the human operator and the platform: from observer to collaborator to supervisor.</w:t>
      </w:r>
    </w:p>
    <w:p w14:paraId="3639407C">
      <w:pPr>
        <w:pStyle w:val="3"/>
        <w:spacing w:before="240" w:after="80"/>
      </w:pPr>
      <w:r>
        <w:t>2.3 Operational environment</w:t>
      </w:r>
    </w:p>
    <w:p w14:paraId="48AC85E9">
      <w:pPr>
        <w:spacing w:after="120"/>
        <w:jc w:val="both"/>
      </w:pPr>
      <w:r>
        <w:rPr>
          <w:sz w:val="22"/>
          <w:szCs w:val="22"/>
        </w:rPr>
        <w:t>ILMOP operates in two environments depending on the development phase. In Sprints 1–5, all services run locally on a Windows development machine with Docker Compose managing infrastructure (Kafka, TimescaleDB, Redis). In Sprint 7, the platform migrates to Azure AKS with managed cloud services, retaining the same application code through environment variable configuration.</w:t>
      </w:r>
    </w:p>
    <w:p w14:paraId="10F6268E">
      <w:pPr>
        <w:spacing w:after="120"/>
        <w:jc w:val="both"/>
      </w:pPr>
      <w:r>
        <w:rPr>
          <w:sz w:val="22"/>
          <w:szCs w:val="22"/>
        </w:rPr>
        <w:t>The satellite simulator substitutes for a real spacecraft. In a production deployment with real satellites, the simulator would be replaced by a telemetry ingestion service receiving CCSDS frames from a ground antenna via the Space Link Extension (SLE) protocol. No other component of the architecture requires modification for this transition — this is a deliberate consequence of the event-driven, schema-first design.</w:t>
      </w:r>
    </w:p>
    <w:p w14:paraId="4534CD62">
      <w:r>
        <w:br w:type="page"/>
      </w:r>
    </w:p>
    <w:p w14:paraId="14A8A24A">
      <w:pPr>
        <w:pStyle w:val="2"/>
        <w:spacing w:before="360" w:after="120"/>
      </w:pPr>
      <w:r>
        <w:t>3. Operational Context and Problem Statement</w:t>
      </w:r>
    </w:p>
    <w:p w14:paraId="394A2FB6">
      <w:pPr>
        <w:pStyle w:val="3"/>
        <w:spacing w:before="240" w:after="80"/>
      </w:pPr>
      <w:r>
        <w:t>3.1 The LEO constellation operations challenge</w:t>
      </w:r>
    </w:p>
    <w:p w14:paraId="35155582">
      <w:pPr>
        <w:spacing w:after="120"/>
        <w:jc w:val="both"/>
      </w:pPr>
      <w:r>
        <w:rPr>
          <w:sz w:val="22"/>
          <w:szCs w:val="22"/>
        </w:rPr>
        <w:t>Legacy satellite operations were designed for geosynchronous (GEO) satellites: one or a small number of spacecraft, continuously visible from a ground station, with relatively stable orbits and long contact windows. A small team of operators could manage a GEO fleet manually — monitoring telemetry, planning commands, and responding to anomalies on a human timescale.</w:t>
      </w:r>
    </w:p>
    <w:p w14:paraId="714FAFC8">
      <w:pPr>
        <w:spacing w:after="120"/>
        <w:jc w:val="both"/>
      </w:pPr>
      <w:r>
        <w:rPr>
          <w:sz w:val="22"/>
          <w:szCs w:val="22"/>
        </w:rPr>
        <w:t>Modern LEO constellations invalidate all of these assumptions. A 24-satellite constellation at 550 km altitude generates 24 × 86,400 = 2,073,600 telemetry records per day at 1 Hz cadence. Each satellite is visible from any single ground station for only 5–10 minutes per 95-minute orbit. Contact windows arrive and depart faster than a human team can plan manually. Anomalies must be detected in the telemetry stream, not reported by operators who noticed something unusual.</w:t>
      </w:r>
    </w:p>
    <w:p w14:paraId="280B6DB8">
      <w:pPr>
        <w:spacing w:after="120"/>
        <w:jc w:val="both"/>
      </w:pPr>
      <w:r>
        <w:rPr>
          <w:sz w:val="22"/>
          <w:szCs w:val="22"/>
        </w:rPr>
        <w:t>The consequence is that modern LEO mission operations require software that is event-driven (telemetry is a continuous stream, not a periodic report), AI-assisted (anomaly detection must be automated), and scalable (the same architecture must handle 1 satellite and 24 without redesign). ILMOP is built around these requirements from its first sprint.</w:t>
      </w:r>
    </w:p>
    <w:p w14:paraId="77A2C581">
      <w:pPr>
        <w:pStyle w:val="3"/>
        <w:spacing w:before="240" w:after="80"/>
      </w:pPr>
      <w:r>
        <w:t>3.2 Why the physics of the simulator matter operationally</w:t>
      </w:r>
    </w:p>
    <w:p w14:paraId="253FDC73">
      <w:pPr>
        <w:spacing w:after="120"/>
        <w:jc w:val="both"/>
      </w:pPr>
      <w:r>
        <w:rPr>
          <w:sz w:val="22"/>
          <w:szCs w:val="22"/>
        </w:rPr>
        <w:t>ILMOP's satellite simulator does not use random-walk models for battery and temperature. It uses eclipse-aware physical models: the battery discharges when the satellite is in Earth's shadow (no solar power), charges in sunlight, and the solar panel output is exactly zero during eclipse. The temperature follows a first-order thermal lag toward separate eclipse and sunlight equilibrium targets.</w:t>
      </w:r>
    </w:p>
    <w:p w14:paraId="579BF08C">
      <w:pPr>
        <w:spacing w:after="120"/>
        <w:jc w:val="both"/>
      </w:pPr>
      <w:r>
        <w:rPr>
          <w:sz w:val="22"/>
          <w:szCs w:val="22"/>
        </w:rPr>
        <w:t>This matters operationally because the anomaly detection model (Sprint 5) trains on this simulator data. A model trained on random-walk telemetry learns no pattern — there is nothing to learn. A model trained on eclipse-correlated telemetry learns that a battery declining during sunlight passes is anomalous, that a temperature that fails to recover from eclipse is anomalous, that a satellite whose solar panel output is non-zero in eclipse is anomalous. The physical correlation is the operational signal that makes AI-assisted anomaly detection possible.</w:t>
      </w:r>
    </w:p>
    <w:p w14:paraId="3D3D4FE4">
      <w:r>
        <w:br w:type="page"/>
      </w:r>
    </w:p>
    <w:p w14:paraId="6C76A391">
      <w:pPr>
        <w:pStyle w:val="2"/>
        <w:spacing w:before="360" w:after="120"/>
      </w:pPr>
      <w:r>
        <w:t>4. Operational Stakeholders and Roles</w:t>
      </w:r>
    </w:p>
    <w:p w14:paraId="64E7D2C9">
      <w:pPr>
        <w:spacing w:after="120"/>
        <w:jc w:val="both"/>
      </w:pPr>
      <w:r>
        <w:rPr>
          <w:sz w:val="22"/>
          <w:szCs w:val="22"/>
        </w:rPr>
        <w:t>ILMOP defines four operational roles. In the current single-developer research context, one person fills all four. In a team or commercial deployment, these roles would be assigned to different personnel.</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2500"/>
        <w:gridCol w:w="4600"/>
        <w:gridCol w:w="2200"/>
      </w:tblGrid>
      <w:tr w14:paraId="0E49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500" w:type="dxa"/>
            <w:shd w:val="clear" w:color="auto" w:fill="D9E1F2"/>
            <w:tcMar>
              <w:top w:w="80" w:type="dxa"/>
              <w:left w:w="100" w:type="dxa"/>
              <w:bottom w:w="80" w:type="dxa"/>
              <w:right w:w="100" w:type="dxa"/>
            </w:tcMar>
          </w:tcPr>
          <w:p w14:paraId="54F119EA">
            <w:pPr>
              <w:spacing w:after="0"/>
              <w:jc w:val="center"/>
            </w:pPr>
            <w:r>
              <w:rPr>
                <w:b/>
                <w:bCs/>
                <w:color w:val="1F3864"/>
                <w:sz w:val="20"/>
                <w:szCs w:val="20"/>
              </w:rPr>
              <w:t>Role</w:t>
            </w:r>
          </w:p>
        </w:tc>
        <w:tc>
          <w:tcPr>
            <w:tcW w:w="4600" w:type="dxa"/>
            <w:shd w:val="clear" w:color="auto" w:fill="D9E1F2"/>
            <w:tcMar>
              <w:top w:w="80" w:type="dxa"/>
              <w:left w:w="100" w:type="dxa"/>
              <w:bottom w:w="80" w:type="dxa"/>
              <w:right w:w="100" w:type="dxa"/>
            </w:tcMar>
          </w:tcPr>
          <w:p w14:paraId="7ECB3566">
            <w:pPr>
              <w:spacing w:after="0"/>
              <w:jc w:val="center"/>
            </w:pPr>
            <w:r>
              <w:rPr>
                <w:b/>
                <w:bCs/>
                <w:color w:val="1F3864"/>
                <w:sz w:val="20"/>
                <w:szCs w:val="20"/>
              </w:rPr>
              <w:t>Primary responsibilities</w:t>
            </w:r>
          </w:p>
        </w:tc>
        <w:tc>
          <w:tcPr>
            <w:tcW w:w="2200" w:type="dxa"/>
            <w:shd w:val="clear" w:color="auto" w:fill="D9E1F2"/>
            <w:tcMar>
              <w:top w:w="80" w:type="dxa"/>
              <w:left w:w="100" w:type="dxa"/>
              <w:bottom w:w="80" w:type="dxa"/>
              <w:right w:w="100" w:type="dxa"/>
            </w:tcMar>
          </w:tcPr>
          <w:p w14:paraId="16BF9EF7">
            <w:pPr>
              <w:spacing w:after="0"/>
              <w:jc w:val="center"/>
            </w:pPr>
            <w:r>
              <w:rPr>
                <w:b/>
                <w:bCs/>
                <w:color w:val="1F3864"/>
                <w:sz w:val="20"/>
                <w:szCs w:val="20"/>
              </w:rPr>
              <w:t>System access</w:t>
            </w:r>
          </w:p>
        </w:tc>
      </w:tr>
      <w:tr w14:paraId="07CD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500" w:type="dxa"/>
            <w:shd w:val="clear" w:color="auto" w:fill="FFFFFF"/>
            <w:tcMar>
              <w:top w:w="60" w:type="dxa"/>
              <w:left w:w="100" w:type="dxa"/>
              <w:bottom w:w="60" w:type="dxa"/>
              <w:right w:w="100" w:type="dxa"/>
            </w:tcMar>
          </w:tcPr>
          <w:p w14:paraId="5618B600">
            <w:pPr>
              <w:spacing w:after="0"/>
            </w:pPr>
            <w:r>
              <w:rPr>
                <w:b/>
                <w:bCs/>
                <w:sz w:val="20"/>
                <w:szCs w:val="20"/>
              </w:rPr>
              <w:t>Satellite Operator</w:t>
            </w:r>
          </w:p>
        </w:tc>
        <w:tc>
          <w:tcPr>
            <w:tcW w:w="4600" w:type="dxa"/>
            <w:shd w:val="clear" w:color="auto" w:fill="FFFFFF"/>
            <w:tcMar>
              <w:top w:w="60" w:type="dxa"/>
              <w:left w:w="100" w:type="dxa"/>
              <w:bottom w:w="60" w:type="dxa"/>
              <w:right w:w="100" w:type="dxa"/>
            </w:tcMar>
          </w:tcPr>
          <w:p w14:paraId="24C7E72D">
            <w:pPr>
              <w:spacing w:after="0"/>
            </w:pPr>
            <w:r>
              <w:rPr>
                <w:sz w:val="20"/>
                <w:szCs w:val="20"/>
              </w:rPr>
              <w:t>Monitor live telemetry; acknowledge and respond to alarms; review and approve proposed commands; manage contact windows; escalate unresolved anomalies</w:t>
            </w:r>
          </w:p>
        </w:tc>
        <w:tc>
          <w:tcPr>
            <w:tcW w:w="2200" w:type="dxa"/>
            <w:shd w:val="clear" w:color="auto" w:fill="FFFFFF"/>
            <w:tcMar>
              <w:top w:w="60" w:type="dxa"/>
              <w:left w:w="100" w:type="dxa"/>
              <w:bottom w:w="60" w:type="dxa"/>
              <w:right w:w="100" w:type="dxa"/>
            </w:tcMar>
          </w:tcPr>
          <w:p w14:paraId="340473D8">
            <w:pPr>
              <w:spacing w:after="0"/>
            </w:pPr>
            <w:r>
              <w:rPr>
                <w:sz w:val="20"/>
                <w:szCs w:val="20"/>
              </w:rPr>
              <w:t>Streamlit dashboard, command approval interface</w:t>
            </w:r>
          </w:p>
        </w:tc>
      </w:tr>
      <w:tr w14:paraId="52BE3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500" w:type="dxa"/>
            <w:shd w:val="clear" w:color="auto" w:fill="FFFFFF"/>
            <w:tcMar>
              <w:top w:w="60" w:type="dxa"/>
              <w:left w:w="100" w:type="dxa"/>
              <w:bottom w:w="60" w:type="dxa"/>
              <w:right w:w="100" w:type="dxa"/>
            </w:tcMar>
          </w:tcPr>
          <w:p w14:paraId="4D1E6A90">
            <w:pPr>
              <w:spacing w:after="0"/>
            </w:pPr>
            <w:r>
              <w:rPr>
                <w:b/>
                <w:bCs/>
                <w:sz w:val="20"/>
                <w:szCs w:val="20"/>
              </w:rPr>
              <w:t>System Administrator</w:t>
            </w:r>
          </w:p>
        </w:tc>
        <w:tc>
          <w:tcPr>
            <w:tcW w:w="4600" w:type="dxa"/>
            <w:shd w:val="clear" w:color="auto" w:fill="FFFFFF"/>
            <w:tcMar>
              <w:top w:w="60" w:type="dxa"/>
              <w:left w:w="100" w:type="dxa"/>
              <w:bottom w:w="60" w:type="dxa"/>
              <w:right w:w="100" w:type="dxa"/>
            </w:tcMar>
          </w:tcPr>
          <w:p w14:paraId="31A46F33">
            <w:pPr>
              <w:spacing w:after="0"/>
            </w:pPr>
            <w:r>
              <w:rPr>
                <w:sz w:val="20"/>
                <w:szCs w:val="20"/>
              </w:rPr>
              <w:t>Manage infrastructure (Kafka, TimescaleDB, Redis, Docker); configure ground station parameters; manage user access; monitor pipeline health and consumer lag</w:t>
            </w:r>
          </w:p>
        </w:tc>
        <w:tc>
          <w:tcPr>
            <w:tcW w:w="2200" w:type="dxa"/>
            <w:shd w:val="clear" w:color="auto" w:fill="FFFFFF"/>
            <w:tcMar>
              <w:top w:w="60" w:type="dxa"/>
              <w:left w:w="100" w:type="dxa"/>
              <w:bottom w:w="60" w:type="dxa"/>
              <w:right w:w="100" w:type="dxa"/>
            </w:tcMar>
          </w:tcPr>
          <w:p w14:paraId="1D160C28">
            <w:pPr>
              <w:spacing w:after="0"/>
            </w:pPr>
            <w:r>
              <w:rPr>
                <w:sz w:val="20"/>
                <w:szCs w:val="20"/>
              </w:rPr>
              <w:t>Docker Compose, infrastructure configs, monitoring dashboards</w:t>
            </w:r>
          </w:p>
        </w:tc>
      </w:tr>
      <w:tr w14:paraId="7652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500" w:type="dxa"/>
            <w:shd w:val="clear" w:color="auto" w:fill="FFFFFF"/>
            <w:tcMar>
              <w:top w:w="60" w:type="dxa"/>
              <w:left w:w="100" w:type="dxa"/>
              <w:bottom w:w="60" w:type="dxa"/>
              <w:right w:w="100" w:type="dxa"/>
            </w:tcMar>
          </w:tcPr>
          <w:p w14:paraId="38A76D67">
            <w:pPr>
              <w:spacing w:after="0"/>
            </w:pPr>
            <w:r>
              <w:rPr>
                <w:b/>
                <w:bCs/>
                <w:sz w:val="20"/>
                <w:szCs w:val="20"/>
              </w:rPr>
              <w:t>Data Analyst / ML Engineer</w:t>
            </w:r>
          </w:p>
        </w:tc>
        <w:tc>
          <w:tcPr>
            <w:tcW w:w="4600" w:type="dxa"/>
            <w:shd w:val="clear" w:color="auto" w:fill="FFFFFF"/>
            <w:tcMar>
              <w:top w:w="60" w:type="dxa"/>
              <w:left w:w="100" w:type="dxa"/>
              <w:bottom w:w="60" w:type="dxa"/>
              <w:right w:w="100" w:type="dxa"/>
            </w:tcMar>
          </w:tcPr>
          <w:p w14:paraId="02AEC2F3">
            <w:pPr>
              <w:spacing w:after="0"/>
            </w:pPr>
            <w:r>
              <w:rPr>
                <w:sz w:val="20"/>
                <w:szCs w:val="20"/>
              </w:rPr>
              <w:t>Generate training datasets; train and evaluate anomaly detection models; track experiments in MLflow; promote models to production; analyse telemetry trends</w:t>
            </w:r>
          </w:p>
        </w:tc>
        <w:tc>
          <w:tcPr>
            <w:tcW w:w="2200" w:type="dxa"/>
            <w:shd w:val="clear" w:color="auto" w:fill="FFFFFF"/>
            <w:tcMar>
              <w:top w:w="60" w:type="dxa"/>
              <w:left w:w="100" w:type="dxa"/>
              <w:bottom w:w="60" w:type="dxa"/>
              <w:right w:w="100" w:type="dxa"/>
            </w:tcMar>
          </w:tcPr>
          <w:p w14:paraId="691144E1">
            <w:pPr>
              <w:spacing w:after="0"/>
            </w:pPr>
            <w:r>
              <w:rPr>
                <w:sz w:val="20"/>
                <w:szCs w:val="20"/>
              </w:rPr>
              <w:t>TimescaleDB direct query, MLflow UI, FastAPI</w:t>
            </w:r>
          </w:p>
        </w:tc>
      </w:tr>
      <w:tr w14:paraId="2EF1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500" w:type="dxa"/>
            <w:shd w:val="clear" w:color="auto" w:fill="FFFFFF"/>
            <w:tcMar>
              <w:top w:w="60" w:type="dxa"/>
              <w:left w:w="100" w:type="dxa"/>
              <w:bottom w:w="60" w:type="dxa"/>
              <w:right w:w="100" w:type="dxa"/>
            </w:tcMar>
          </w:tcPr>
          <w:p w14:paraId="1DE6E043">
            <w:pPr>
              <w:spacing w:after="0"/>
            </w:pPr>
            <w:r>
              <w:rPr>
                <w:b/>
                <w:bCs/>
                <w:sz w:val="20"/>
                <w:szCs w:val="20"/>
              </w:rPr>
              <w:t>PhD Researcher</w:t>
            </w:r>
          </w:p>
        </w:tc>
        <w:tc>
          <w:tcPr>
            <w:tcW w:w="4600" w:type="dxa"/>
            <w:shd w:val="clear" w:color="auto" w:fill="FFFFFF"/>
            <w:tcMar>
              <w:top w:w="60" w:type="dxa"/>
              <w:left w:w="100" w:type="dxa"/>
              <w:bottom w:w="60" w:type="dxa"/>
              <w:right w:w="100" w:type="dxa"/>
            </w:tcMar>
          </w:tcPr>
          <w:p w14:paraId="65E43965">
            <w:pPr>
              <w:spacing w:after="0"/>
            </w:pPr>
            <w:r>
              <w:rPr>
                <w:sz w:val="20"/>
                <w:szCs w:val="20"/>
              </w:rPr>
              <w:t>Configure constellation scenarios for waveform demonstrations; access navigation truth reference (HPOP model); validate OFDM ranging residuals against orbital truth; generate coverage statistics for remote sensing demonstrations</w:t>
            </w:r>
          </w:p>
        </w:tc>
        <w:tc>
          <w:tcPr>
            <w:tcW w:w="2200" w:type="dxa"/>
            <w:shd w:val="clear" w:color="auto" w:fill="FFFFFF"/>
            <w:tcMar>
              <w:top w:w="60" w:type="dxa"/>
              <w:left w:w="100" w:type="dxa"/>
              <w:bottom w:w="60" w:type="dxa"/>
              <w:right w:w="100" w:type="dxa"/>
            </w:tcMar>
          </w:tcPr>
          <w:p w14:paraId="0F644534">
            <w:pPr>
              <w:spacing w:after="0"/>
            </w:pPr>
            <w:r>
              <w:rPr>
                <w:sz w:val="20"/>
                <w:szCs w:val="20"/>
              </w:rPr>
              <w:t>FastAPI, NavigationTruthModel, ConstellationManager, coverage analytics</w:t>
            </w:r>
          </w:p>
        </w:tc>
      </w:tr>
    </w:tbl>
    <w:p w14:paraId="0F557B03">
      <w:pPr>
        <w:spacing w:after="80"/>
      </w:pPr>
    </w:p>
    <w:p w14:paraId="4411B409">
      <w:pPr>
        <w:spacing w:after="120"/>
        <w:jc w:val="both"/>
      </w:pPr>
      <w:r>
        <w:rPr>
          <w:sz w:val="22"/>
          <w:szCs w:val="22"/>
        </w:rPr>
        <w:t>One cross-cutting principle governs all roles: AI models propose, humans dispose. No automated system in ILMOP sends commands, changes satellite configuration, or modifies schedules without human or tightly scoped automated policy approval. This is not a limitation to be engineered around — it is the correct design for a system operating real (or research-representative) spacecraft.</w:t>
      </w:r>
    </w:p>
    <w:p w14:paraId="41BAF48F">
      <w:r>
        <w:br w:type="page"/>
      </w:r>
    </w:p>
    <w:p w14:paraId="08946280">
      <w:pPr>
        <w:pStyle w:val="2"/>
        <w:spacing w:before="360" w:after="120"/>
      </w:pPr>
      <w:r>
        <w:t>5. Operational Philosophy</w:t>
      </w:r>
    </w:p>
    <w:p w14:paraId="75D617BD">
      <w:pPr>
        <w:pStyle w:val="3"/>
        <w:spacing w:before="240" w:after="80"/>
      </w:pPr>
      <w:r>
        <w:t>5.1 Human-in-the-loop by default</w:t>
      </w:r>
    </w:p>
    <w:p w14:paraId="7026B338">
      <w:pPr>
        <w:spacing w:after="120"/>
        <w:jc w:val="both"/>
      </w:pPr>
      <w:r>
        <w:rPr>
          <w:sz w:val="22"/>
          <w:szCs w:val="22"/>
        </w:rPr>
        <w:t>ILMOP's operational philosophy places human judgment at every decision boundary that affects satellite safety or mission success. The anomaly detection service flags and recommends — it does not command. The ground station scheduler proposes a contact plan — operators review and approve it. Commands move through an explicit approval chain (requested → approved → uplinked) with a human or tightly scoped automated policy at the approval step.</w:t>
      </w:r>
    </w:p>
    <w:p w14:paraId="67CA373F">
      <w:pPr>
        <w:spacing w:after="120"/>
        <w:jc w:val="both"/>
      </w:pPr>
      <w:r>
        <w:rPr>
          <w:sz w:val="22"/>
          <w:szCs w:val="22"/>
        </w:rPr>
        <w:t>This philosophy relaxes progressively as the platform matures and as operator confidence in specific automated behaviours grows. In Sprint 7, certain low-risk autonomous actions — rescheduling a non-critical contact window, deferring a payload operation that conflicts with a higher-priority satellite — may be authorised without per-instance human approval. High-consequence decisions (safe-mode commands, orbit manoeuvres, payload power cycling) always require explicit operator approval regardless of automation level.</w:t>
      </w:r>
    </w:p>
    <w:p w14:paraId="1071BC5C">
      <w:pPr>
        <w:pStyle w:val="3"/>
        <w:spacing w:before="240" w:after="80"/>
      </w:pPr>
      <w:r>
        <w:t>5.2 Event-driven, asynchronous operations</w:t>
      </w:r>
    </w:p>
    <w:p w14:paraId="29483E95">
      <w:pPr>
        <w:spacing w:after="120"/>
        <w:jc w:val="both"/>
      </w:pPr>
      <w:r>
        <w:rPr>
          <w:sz w:val="22"/>
          <w:szCs w:val="22"/>
        </w:rPr>
        <w:t>ILMOP does not operate on a polling model. Services do not periodically query each other for updates. Every telemetry record, every alarm, every command state transition is an event published to a Kafka topic and consumed independently by every service that needs it. This means:</w:t>
      </w:r>
    </w:p>
    <w:p w14:paraId="53E1D9F2">
      <w:pPr>
        <w:pStyle w:val="16"/>
        <w:numPr>
          <w:ilvl w:val="0"/>
          <w:numId w:val="1"/>
        </w:numPr>
        <w:spacing w:after="60"/>
      </w:pPr>
      <w:r>
        <w:rPr>
          <w:sz w:val="22"/>
          <w:szCs w:val="22"/>
        </w:rPr>
        <w:t>Adding a new consumer (a payload analytics service, a third-party monitoring integration, the PhD navigation validator) requires no change to any existing service — it simply subscribes to the relevant topic.</w:t>
      </w:r>
    </w:p>
    <w:p w14:paraId="6313BC3B">
      <w:pPr>
        <w:pStyle w:val="16"/>
        <w:numPr>
          <w:ilvl w:val="0"/>
          <w:numId w:val="1"/>
        </w:numPr>
        <w:spacing w:after="60"/>
      </w:pPr>
      <w:r>
        <w:rPr>
          <w:sz w:val="22"/>
          <w:szCs w:val="22"/>
        </w:rPr>
        <w:t>A slow consumer (for example, the ML model scoring service during a period of high computational load) does not block or slow other consumers. Each consumer group processes events at its own rate.</w:t>
      </w:r>
    </w:p>
    <w:p w14:paraId="2B71C416">
      <w:pPr>
        <w:pStyle w:val="16"/>
        <w:numPr>
          <w:ilvl w:val="0"/>
          <w:numId w:val="1"/>
        </w:numPr>
        <w:spacing w:after="60"/>
      </w:pPr>
      <w:r>
        <w:rPr>
          <w:sz w:val="22"/>
          <w:szCs w:val="22"/>
        </w:rPr>
        <w:t>Replay is always available. If the anomaly detection model is retrained with improved features, it can reprocess the last week of telemetry from the beginning of the Kafka topic without any special data pipeline work.</w:t>
      </w:r>
    </w:p>
    <w:p w14:paraId="6FBA146E">
      <w:pPr>
        <w:spacing w:after="80"/>
      </w:pPr>
    </w:p>
    <w:p w14:paraId="1DBBF9F5">
      <w:pPr>
        <w:pStyle w:val="3"/>
        <w:spacing w:before="240" w:after="80"/>
      </w:pPr>
      <w:r>
        <w:t>5.3 Orbit-type separation</w:t>
      </w:r>
    </w:p>
    <w:p w14:paraId="40740A5C">
      <w:pPr>
        <w:spacing w:after="120"/>
        <w:jc w:val="both"/>
      </w:pPr>
      <w:r>
        <w:rPr>
          <w:sz w:val="22"/>
          <w:szCs w:val="22"/>
        </w:rPr>
        <w:t>ILMOP maintains a strict operational and analytical separation between LEO circular orbit operations (Scenarios 1–3) and Molniya HEO operations (Scenario 4). This separation is not administrative — it is physically motivated.</w:t>
      </w:r>
    </w:p>
    <w:p w14:paraId="4B46C992">
      <w:pPr>
        <w:spacing w:after="120"/>
        <w:jc w:val="both"/>
      </w:pPr>
      <w:r>
        <w:rPr>
          <w:sz w:val="22"/>
          <w:szCs w:val="22"/>
        </w:rPr>
        <w:t>LEO circular satellites and Molniya HEO satellites have incompatible telemetry signatures. A Molniya satellite at apogee spends up to 8 hours in continuous sunlight at 39,750 km altitude — its battery stays fully charged, its temperature is stable, its contact window with a high-latitude ground station lasts hours rather than minutes. Training one anomaly detection model on both data types produces a confused baseline that fits neither orbit correctly. Each orbit type has its own anomaly detection model, its own MLflow experiment, and its own TimescaleDB query filter. The operator dashboard distinguishes orbit types by visual colour coding.</w:t>
      </w:r>
    </w:p>
    <w:p w14:paraId="716D7AB8">
      <w:r>
        <w:br w:type="page"/>
      </w:r>
    </w:p>
    <w:p w14:paraId="6A0E6A7F">
      <w:pPr>
        <w:pStyle w:val="2"/>
        <w:spacing w:before="360" w:after="120"/>
      </w:pPr>
      <w:r>
        <w:t>6. Constellation Scenarios</w:t>
      </w:r>
    </w:p>
    <w:p w14:paraId="1C1BA43E">
      <w:pPr>
        <w:spacing w:after="120"/>
        <w:jc w:val="both"/>
      </w:pPr>
      <w:r>
        <w:rPr>
          <w:sz w:val="22"/>
          <w:szCs w:val="22"/>
        </w:rPr>
        <w:t>ILMOP supports four operational scenarios of increasing complexity. Each is defined by a YAML configuration file in config/constellations/ and launched by the demo runner:</w:t>
      </w:r>
    </w:p>
    <w:p w14:paraId="654EDE26">
      <w:pPr>
        <w:spacing w:before="80" w:after="120"/>
        <w:ind w:left="720"/>
      </w:pPr>
      <w:r>
        <w:rPr>
          <w:rFonts w:ascii="Courier New" w:hAnsi="Courier New" w:eastAsia="Courier New" w:cs="Courier New"/>
          <w:sz w:val="20"/>
          <w:szCs w:val="20"/>
        </w:rPr>
        <w:t>python run_demo.py --scenario N --speed M</w:t>
      </w:r>
    </w:p>
    <w:p w14:paraId="303B2143">
      <w:pPr>
        <w:spacing w:after="120"/>
        <w:jc w:val="both"/>
      </w:pPr>
      <w:r>
        <w:rPr>
          <w:sz w:val="22"/>
          <w:szCs w:val="22"/>
        </w:rPr>
        <w:t>The --speed parameter controls the ratio of simulated time to wall-clock time. At --speed 60, one real second produces 60 seconds of simulated telemetry — enabling one week of training data to be generated in approximately 2.8 hours. All four scenarios support this parameter.</w:t>
      </w:r>
    </w:p>
    <w:p w14:paraId="7BF4AD65">
      <w:pPr>
        <w:pStyle w:val="3"/>
        <w:spacing w:before="240" w:after="80"/>
      </w:pPr>
      <w:r>
        <w:t>6.1 Scenario 1 — Single satellite</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3000"/>
        <w:gridCol w:w="6300"/>
      </w:tblGrid>
      <w:tr w14:paraId="7553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D9E1F2"/>
            <w:tcMar>
              <w:top w:w="80" w:type="dxa"/>
              <w:left w:w="100" w:type="dxa"/>
              <w:bottom w:w="80" w:type="dxa"/>
              <w:right w:w="100" w:type="dxa"/>
            </w:tcMar>
          </w:tcPr>
          <w:p w14:paraId="1B4A5B99">
            <w:pPr>
              <w:spacing w:after="0"/>
              <w:jc w:val="center"/>
            </w:pPr>
            <w:r>
              <w:rPr>
                <w:b/>
                <w:bCs/>
                <w:color w:val="1F3864"/>
                <w:sz w:val="20"/>
                <w:szCs w:val="20"/>
              </w:rPr>
              <w:t>Parameter</w:t>
            </w:r>
          </w:p>
        </w:tc>
        <w:tc>
          <w:tcPr>
            <w:tcW w:w="6300" w:type="dxa"/>
            <w:shd w:val="clear" w:color="auto" w:fill="D9E1F2"/>
            <w:tcMar>
              <w:top w:w="80" w:type="dxa"/>
              <w:left w:w="100" w:type="dxa"/>
              <w:bottom w:w="80" w:type="dxa"/>
              <w:right w:w="100" w:type="dxa"/>
            </w:tcMar>
          </w:tcPr>
          <w:p w14:paraId="48113944">
            <w:pPr>
              <w:spacing w:after="0"/>
              <w:jc w:val="center"/>
            </w:pPr>
            <w:r>
              <w:rPr>
                <w:b/>
                <w:bCs/>
                <w:color w:val="1F3864"/>
                <w:sz w:val="20"/>
                <w:szCs w:val="20"/>
              </w:rPr>
              <w:t>Value</w:t>
            </w:r>
          </w:p>
        </w:tc>
      </w:tr>
      <w:tr w14:paraId="4618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02AD15BC">
            <w:pPr>
              <w:spacing w:after="0"/>
            </w:pPr>
            <w:r>
              <w:rPr>
                <w:b/>
                <w:bCs/>
                <w:sz w:val="20"/>
                <w:szCs w:val="20"/>
              </w:rPr>
              <w:t>Satellites</w:t>
            </w:r>
          </w:p>
        </w:tc>
        <w:tc>
          <w:tcPr>
            <w:tcW w:w="6300" w:type="dxa"/>
            <w:shd w:val="clear" w:color="auto" w:fill="FFFFFF"/>
            <w:tcMar>
              <w:top w:w="60" w:type="dxa"/>
              <w:left w:w="100" w:type="dxa"/>
              <w:bottom w:w="60" w:type="dxa"/>
              <w:right w:w="100" w:type="dxa"/>
            </w:tcMar>
          </w:tcPr>
          <w:p w14:paraId="0446ED22">
            <w:pPr>
              <w:spacing w:after="0"/>
            </w:pPr>
            <w:r>
              <w:rPr>
                <w:sz w:val="20"/>
                <w:szCs w:val="20"/>
              </w:rPr>
              <w:t>1</w:t>
            </w:r>
          </w:p>
        </w:tc>
      </w:tr>
      <w:tr w14:paraId="09CFA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639D64DB">
            <w:pPr>
              <w:spacing w:after="0"/>
            </w:pPr>
            <w:r>
              <w:rPr>
                <w:b/>
                <w:bCs/>
                <w:sz w:val="20"/>
                <w:szCs w:val="20"/>
              </w:rPr>
              <w:t>Orbit type</w:t>
            </w:r>
          </w:p>
        </w:tc>
        <w:tc>
          <w:tcPr>
            <w:tcW w:w="6300" w:type="dxa"/>
            <w:shd w:val="clear" w:color="auto" w:fill="FFFFFF"/>
            <w:tcMar>
              <w:top w:w="60" w:type="dxa"/>
              <w:left w:w="100" w:type="dxa"/>
              <w:bottom w:w="60" w:type="dxa"/>
              <w:right w:w="100" w:type="dxa"/>
            </w:tcMar>
          </w:tcPr>
          <w:p w14:paraId="43AB3C68">
            <w:pPr>
              <w:spacing w:after="0"/>
            </w:pPr>
            <w:r>
              <w:rPr>
                <w:sz w:val="20"/>
                <w:szCs w:val="20"/>
              </w:rPr>
              <w:t>LEO circular, 550 km altitude, 51.6° inclination</w:t>
            </w:r>
          </w:p>
        </w:tc>
      </w:tr>
      <w:tr w14:paraId="58850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74122CA1">
            <w:pPr>
              <w:spacing w:after="0"/>
            </w:pPr>
            <w:r>
              <w:rPr>
                <w:b/>
                <w:bCs/>
                <w:sz w:val="20"/>
                <w:szCs w:val="20"/>
              </w:rPr>
              <w:t>Orbital period</w:t>
            </w:r>
          </w:p>
        </w:tc>
        <w:tc>
          <w:tcPr>
            <w:tcW w:w="6300" w:type="dxa"/>
            <w:shd w:val="clear" w:color="auto" w:fill="FFFFFF"/>
            <w:tcMar>
              <w:top w:w="60" w:type="dxa"/>
              <w:left w:w="100" w:type="dxa"/>
              <w:bottom w:w="60" w:type="dxa"/>
              <w:right w:w="100" w:type="dxa"/>
            </w:tcMar>
          </w:tcPr>
          <w:p w14:paraId="733D164F">
            <w:pPr>
              <w:spacing w:after="0"/>
            </w:pPr>
            <w:r>
              <w:rPr>
                <w:sz w:val="20"/>
                <w:szCs w:val="20"/>
              </w:rPr>
              <w:t>~95.5 minutes</w:t>
            </w:r>
          </w:p>
        </w:tc>
      </w:tr>
      <w:tr w14:paraId="2095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4DDF809D">
            <w:pPr>
              <w:spacing w:after="0"/>
            </w:pPr>
            <w:r>
              <w:rPr>
                <w:b/>
                <w:bCs/>
                <w:sz w:val="20"/>
                <w:szCs w:val="20"/>
              </w:rPr>
              <w:t>Eclipse fraction</w:t>
            </w:r>
          </w:p>
        </w:tc>
        <w:tc>
          <w:tcPr>
            <w:tcW w:w="6300" w:type="dxa"/>
            <w:shd w:val="clear" w:color="auto" w:fill="FFFFFF"/>
            <w:tcMar>
              <w:top w:w="60" w:type="dxa"/>
              <w:left w:w="100" w:type="dxa"/>
              <w:bottom w:w="60" w:type="dxa"/>
              <w:right w:w="100" w:type="dxa"/>
            </w:tcMar>
          </w:tcPr>
          <w:p w14:paraId="229A0D11">
            <w:pPr>
              <w:spacing w:after="0"/>
            </w:pPr>
            <w:r>
              <w:rPr>
                <w:sz w:val="20"/>
                <w:szCs w:val="20"/>
              </w:rPr>
              <w:t>~33% per orbit</w:t>
            </w:r>
          </w:p>
        </w:tc>
      </w:tr>
      <w:tr w14:paraId="4076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3417BD69">
            <w:pPr>
              <w:spacing w:after="0"/>
            </w:pPr>
            <w:r>
              <w:rPr>
                <w:b/>
                <w:bCs/>
                <w:sz w:val="20"/>
                <w:szCs w:val="20"/>
              </w:rPr>
              <w:t>Contact frequency</w:t>
            </w:r>
          </w:p>
        </w:tc>
        <w:tc>
          <w:tcPr>
            <w:tcW w:w="6300" w:type="dxa"/>
            <w:shd w:val="clear" w:color="auto" w:fill="FFFFFF"/>
            <w:tcMar>
              <w:top w:w="60" w:type="dxa"/>
              <w:left w:w="100" w:type="dxa"/>
              <w:bottom w:w="60" w:type="dxa"/>
              <w:right w:w="100" w:type="dxa"/>
            </w:tcMar>
          </w:tcPr>
          <w:p w14:paraId="117615A9">
            <w:pPr>
              <w:spacing w:after="0"/>
            </w:pPr>
            <w:r>
              <w:rPr>
                <w:sz w:val="20"/>
                <w:szCs w:val="20"/>
              </w:rPr>
              <w:t>One pass per ~95 minutes per ground station</w:t>
            </w:r>
          </w:p>
        </w:tc>
      </w:tr>
      <w:tr w14:paraId="49B8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64CF14E9">
            <w:pPr>
              <w:spacing w:after="0"/>
            </w:pPr>
            <w:r>
              <w:rPr>
                <w:b/>
                <w:bCs/>
                <w:sz w:val="20"/>
                <w:szCs w:val="20"/>
              </w:rPr>
              <w:t>Contact duration</w:t>
            </w:r>
          </w:p>
        </w:tc>
        <w:tc>
          <w:tcPr>
            <w:tcW w:w="6300" w:type="dxa"/>
            <w:shd w:val="clear" w:color="auto" w:fill="FFFFFF"/>
            <w:tcMar>
              <w:top w:w="60" w:type="dxa"/>
              <w:left w:w="100" w:type="dxa"/>
              <w:bottom w:w="60" w:type="dxa"/>
              <w:right w:w="100" w:type="dxa"/>
            </w:tcMar>
          </w:tcPr>
          <w:p w14:paraId="2F982C30">
            <w:pPr>
              <w:spacing w:after="0"/>
            </w:pPr>
            <w:r>
              <w:rPr>
                <w:sz w:val="20"/>
                <w:szCs w:val="20"/>
              </w:rPr>
              <w:t>5–10 minutes per pass</w:t>
            </w:r>
          </w:p>
        </w:tc>
      </w:tr>
      <w:tr w14:paraId="7AA4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4E99409C">
            <w:pPr>
              <w:spacing w:after="0"/>
            </w:pPr>
            <w:r>
              <w:rPr>
                <w:b/>
                <w:bCs/>
                <w:sz w:val="20"/>
                <w:szCs w:val="20"/>
              </w:rPr>
              <w:t>ML model</w:t>
            </w:r>
          </w:p>
        </w:tc>
        <w:tc>
          <w:tcPr>
            <w:tcW w:w="6300" w:type="dxa"/>
            <w:shd w:val="clear" w:color="auto" w:fill="FFFFFF"/>
            <w:tcMar>
              <w:top w:w="60" w:type="dxa"/>
              <w:left w:w="100" w:type="dxa"/>
              <w:bottom w:w="60" w:type="dxa"/>
              <w:right w:w="100" w:type="dxa"/>
            </w:tcMar>
          </w:tcPr>
          <w:p w14:paraId="5CAAEC79">
            <w:pPr>
              <w:spacing w:after="0"/>
            </w:pPr>
            <w:r>
              <w:rPr>
                <w:sz w:val="20"/>
                <w:szCs w:val="20"/>
              </w:rPr>
              <w:t>LEO_CIRCULAR baseline — trained on Scenario 1 data as initial model</w:t>
            </w:r>
          </w:p>
        </w:tc>
      </w:tr>
      <w:tr w14:paraId="1B5B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7358FECE">
            <w:pPr>
              <w:spacing w:after="0"/>
            </w:pPr>
            <w:r>
              <w:rPr>
                <w:b/>
                <w:bCs/>
                <w:sz w:val="20"/>
                <w:szCs w:val="20"/>
              </w:rPr>
              <w:t>Primary purpose</w:t>
            </w:r>
          </w:p>
        </w:tc>
        <w:tc>
          <w:tcPr>
            <w:tcW w:w="6300" w:type="dxa"/>
            <w:shd w:val="clear" w:color="auto" w:fill="FFFFFF"/>
            <w:tcMar>
              <w:top w:w="60" w:type="dxa"/>
              <w:left w:w="100" w:type="dxa"/>
              <w:bottom w:w="60" w:type="dxa"/>
              <w:right w:w="100" w:type="dxa"/>
            </w:tcMar>
          </w:tcPr>
          <w:p w14:paraId="22239CC8">
            <w:pPr>
              <w:spacing w:after="0"/>
            </w:pPr>
            <w:r>
              <w:rPr>
                <w:sz w:val="20"/>
                <w:szCs w:val="20"/>
              </w:rPr>
              <w:t xml:space="preserve">Pipeline validation; anomaly detection baseline training; communication </w:t>
            </w:r>
            <w:r>
              <w:rPr>
                <w:rFonts w:hint="default"/>
                <w:sz w:val="20"/>
                <w:szCs w:val="20"/>
                <w:lang w:val="en-GB"/>
              </w:rPr>
              <w:t xml:space="preserve">and navigation </w:t>
            </w:r>
            <w:r>
              <w:rPr>
                <w:sz w:val="20"/>
                <w:szCs w:val="20"/>
              </w:rPr>
              <w:t>demonstration baseline</w:t>
            </w:r>
          </w:p>
        </w:tc>
      </w:tr>
    </w:tbl>
    <w:p w14:paraId="3D8D5CCF">
      <w:pPr>
        <w:spacing w:after="80"/>
      </w:pPr>
    </w:p>
    <w:p w14:paraId="33116CA6">
      <w:pPr>
        <w:spacing w:after="120"/>
        <w:jc w:val="both"/>
      </w:pPr>
      <w:r>
        <w:rPr>
          <w:sz w:val="22"/>
          <w:szCs w:val="22"/>
        </w:rPr>
        <w:t>Scenario 1 is the operational baseline from which all subsequent scenarios are extensions. It establishes the telemetry pattern — regular eclipse cycling, battery charge and discharge with the orbital period, thermal oscillation — that the anomaly detection model learns as normal. Any operational scenario involving a single satellite, whether for initial platform testing, PhD communication demonstration, or baseline model training, uses Scenario 1.</w:t>
      </w:r>
    </w:p>
    <w:p w14:paraId="57CD47EC">
      <w:pPr>
        <w:pStyle w:val="3"/>
        <w:spacing w:before="240" w:after="80"/>
      </w:pPr>
      <w:r>
        <w:t>6.2 Scenario 2 — Single-plane LEO constellation (6 satellites)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3000"/>
        <w:gridCol w:w="6300"/>
      </w:tblGrid>
      <w:tr w14:paraId="629A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D9E1F2"/>
            <w:tcMar>
              <w:top w:w="80" w:type="dxa"/>
              <w:left w:w="100" w:type="dxa"/>
              <w:bottom w:w="80" w:type="dxa"/>
              <w:right w:w="100" w:type="dxa"/>
            </w:tcMar>
          </w:tcPr>
          <w:p w14:paraId="42F9D566">
            <w:pPr>
              <w:spacing w:after="0"/>
              <w:jc w:val="center"/>
            </w:pPr>
            <w:r>
              <w:rPr>
                <w:b/>
                <w:bCs/>
                <w:color w:val="1F3864"/>
                <w:sz w:val="20"/>
                <w:szCs w:val="20"/>
              </w:rPr>
              <w:t>Parameter</w:t>
            </w:r>
          </w:p>
        </w:tc>
        <w:tc>
          <w:tcPr>
            <w:tcW w:w="6300" w:type="dxa"/>
            <w:shd w:val="clear" w:color="auto" w:fill="D9E1F2"/>
            <w:tcMar>
              <w:top w:w="80" w:type="dxa"/>
              <w:left w:w="100" w:type="dxa"/>
              <w:bottom w:w="80" w:type="dxa"/>
              <w:right w:w="100" w:type="dxa"/>
            </w:tcMar>
          </w:tcPr>
          <w:p w14:paraId="2AF23A61">
            <w:pPr>
              <w:spacing w:after="0"/>
              <w:jc w:val="center"/>
            </w:pPr>
            <w:r>
              <w:rPr>
                <w:b/>
                <w:bCs/>
                <w:color w:val="1F3864"/>
                <w:sz w:val="20"/>
                <w:szCs w:val="20"/>
              </w:rPr>
              <w:t>Value</w:t>
            </w:r>
          </w:p>
        </w:tc>
      </w:tr>
      <w:tr w14:paraId="1C69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7474DD92">
            <w:pPr>
              <w:spacing w:after="0"/>
            </w:pPr>
            <w:r>
              <w:rPr>
                <w:b/>
                <w:bCs/>
                <w:sz w:val="20"/>
                <w:szCs w:val="20"/>
              </w:rPr>
              <w:t>Satellites</w:t>
            </w:r>
          </w:p>
        </w:tc>
        <w:tc>
          <w:tcPr>
            <w:tcW w:w="6300" w:type="dxa"/>
            <w:shd w:val="clear" w:color="auto" w:fill="FFFFFF"/>
            <w:tcMar>
              <w:top w:w="60" w:type="dxa"/>
              <w:left w:w="100" w:type="dxa"/>
              <w:bottom w:w="60" w:type="dxa"/>
              <w:right w:w="100" w:type="dxa"/>
            </w:tcMar>
          </w:tcPr>
          <w:p w14:paraId="29249985">
            <w:pPr>
              <w:spacing w:after="0"/>
            </w:pPr>
            <w:r>
              <w:rPr>
                <w:sz w:val="20"/>
                <w:szCs w:val="20"/>
              </w:rPr>
              <w:t>6 (SAT-A1 through SAT-A6)</w:t>
            </w:r>
          </w:p>
        </w:tc>
      </w:tr>
      <w:tr w14:paraId="0602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5347878B">
            <w:pPr>
              <w:spacing w:after="0"/>
            </w:pPr>
            <w:r>
              <w:rPr>
                <w:b/>
                <w:bCs/>
                <w:sz w:val="20"/>
                <w:szCs w:val="20"/>
              </w:rPr>
              <w:t>Orbit type</w:t>
            </w:r>
          </w:p>
        </w:tc>
        <w:tc>
          <w:tcPr>
            <w:tcW w:w="6300" w:type="dxa"/>
            <w:shd w:val="clear" w:color="auto" w:fill="FFFFFF"/>
            <w:tcMar>
              <w:top w:w="60" w:type="dxa"/>
              <w:left w:w="100" w:type="dxa"/>
              <w:bottom w:w="60" w:type="dxa"/>
              <w:right w:w="100" w:type="dxa"/>
            </w:tcMar>
          </w:tcPr>
          <w:p w14:paraId="4A2DD453">
            <w:pPr>
              <w:spacing w:after="0"/>
            </w:pPr>
            <w:r>
              <w:rPr>
                <w:sz w:val="20"/>
                <w:szCs w:val="20"/>
              </w:rPr>
              <w:t>LEO circular, 550 km, 53° inclination</w:t>
            </w:r>
          </w:p>
        </w:tc>
      </w:tr>
      <w:tr w14:paraId="6800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25C97D60">
            <w:pPr>
              <w:spacing w:after="0"/>
            </w:pPr>
            <w:r>
              <w:rPr>
                <w:b/>
                <w:bCs/>
                <w:sz w:val="20"/>
                <w:szCs w:val="20"/>
              </w:rPr>
              <w:t>Plane configuration</w:t>
            </w:r>
          </w:p>
        </w:tc>
        <w:tc>
          <w:tcPr>
            <w:tcW w:w="6300" w:type="dxa"/>
            <w:shd w:val="clear" w:color="auto" w:fill="FFFFFF"/>
            <w:tcMar>
              <w:top w:w="60" w:type="dxa"/>
              <w:left w:w="100" w:type="dxa"/>
              <w:bottom w:w="60" w:type="dxa"/>
              <w:right w:w="100" w:type="dxa"/>
            </w:tcMar>
          </w:tcPr>
          <w:p w14:paraId="65234E14">
            <w:pPr>
              <w:spacing w:after="0"/>
            </w:pPr>
            <w:r>
              <w:rPr>
                <w:sz w:val="20"/>
                <w:szCs w:val="20"/>
              </w:rPr>
              <w:t>1 orbital plane, RAAN = 45°, satellites spaced 60° in mean anomaly</w:t>
            </w:r>
          </w:p>
        </w:tc>
      </w:tr>
      <w:tr w14:paraId="58610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730F1017">
            <w:pPr>
              <w:spacing w:after="0"/>
            </w:pPr>
            <w:r>
              <w:rPr>
                <w:b/>
                <w:bCs/>
                <w:sz w:val="20"/>
                <w:szCs w:val="20"/>
              </w:rPr>
              <w:t>Contact frequency</w:t>
            </w:r>
          </w:p>
        </w:tc>
        <w:tc>
          <w:tcPr>
            <w:tcW w:w="6300" w:type="dxa"/>
            <w:shd w:val="clear" w:color="auto" w:fill="FFFFFF"/>
            <w:tcMar>
              <w:top w:w="60" w:type="dxa"/>
              <w:left w:w="100" w:type="dxa"/>
              <w:bottom w:w="60" w:type="dxa"/>
              <w:right w:w="100" w:type="dxa"/>
            </w:tcMar>
          </w:tcPr>
          <w:p w14:paraId="574B8C84">
            <w:pPr>
              <w:spacing w:after="0"/>
            </w:pPr>
            <w:r>
              <w:rPr>
                <w:sz w:val="20"/>
                <w:szCs w:val="20"/>
              </w:rPr>
              <w:t>One pass per ~16 minutes per ground station (6× improvement over Scenario 1)</w:t>
            </w:r>
          </w:p>
        </w:tc>
      </w:tr>
      <w:tr w14:paraId="45104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3DFC39DF">
            <w:pPr>
              <w:spacing w:after="0"/>
            </w:pPr>
            <w:r>
              <w:rPr>
                <w:rFonts w:hint="default"/>
              </w:rPr>
              <w:t xml:space="preserve">Simultaneous visibility </w:t>
            </w:r>
            <w:bookmarkStart w:id="0" w:name="_GoBack"/>
            <w:bookmarkEnd w:id="0"/>
          </w:p>
        </w:tc>
        <w:tc>
          <w:tcPr>
            <w:tcW w:w="6300" w:type="dxa"/>
            <w:shd w:val="clear" w:color="auto" w:fill="FFFFFF"/>
            <w:tcMar>
              <w:top w:w="60" w:type="dxa"/>
              <w:left w:w="100" w:type="dxa"/>
              <w:bottom w:w="60" w:type="dxa"/>
              <w:right w:w="100" w:type="dxa"/>
            </w:tcMar>
          </w:tcPr>
          <w:p w14:paraId="1EB49B1B">
            <w:pPr>
              <w:spacing w:after="0"/>
            </w:pPr>
            <w:r>
              <w:rPr>
                <w:rFonts w:hint="default"/>
              </w:rPr>
              <w:t xml:space="preserve"> Typically 1 satellite per pass; brief dual-satellite overlap (~5 min) </w:t>
            </w:r>
          </w:p>
        </w:tc>
      </w:tr>
      <w:tr w14:paraId="68C9B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08C3FAD9">
            <w:pPr>
              <w:spacing w:after="0"/>
            </w:pPr>
            <w:r>
              <w:rPr>
                <w:b/>
                <w:bCs/>
                <w:sz w:val="20"/>
                <w:szCs w:val="20"/>
              </w:rPr>
              <w:t>ML model</w:t>
            </w:r>
          </w:p>
        </w:tc>
        <w:tc>
          <w:tcPr>
            <w:tcW w:w="6300" w:type="dxa"/>
            <w:shd w:val="clear" w:color="auto" w:fill="FFFFFF"/>
            <w:tcMar>
              <w:top w:w="60" w:type="dxa"/>
              <w:left w:w="100" w:type="dxa"/>
              <w:bottom w:w="60" w:type="dxa"/>
              <w:right w:w="100" w:type="dxa"/>
            </w:tcMar>
          </w:tcPr>
          <w:p w14:paraId="190D822D">
            <w:pPr>
              <w:spacing w:after="0"/>
            </w:pPr>
            <w:r>
              <w:rPr>
                <w:sz w:val="20"/>
                <w:szCs w:val="20"/>
              </w:rPr>
              <w:t>LEO_CIRCULAR model extended with 6-satellite training data</w:t>
            </w:r>
          </w:p>
        </w:tc>
      </w:tr>
      <w:tr w14:paraId="045C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049D67C0">
            <w:pPr>
              <w:spacing w:after="0"/>
            </w:pPr>
            <w:r>
              <w:rPr>
                <w:b/>
                <w:bCs/>
                <w:sz w:val="20"/>
                <w:szCs w:val="20"/>
              </w:rPr>
              <w:t>Primary purpose</w:t>
            </w:r>
          </w:p>
        </w:tc>
        <w:tc>
          <w:tcPr>
            <w:tcW w:w="6300" w:type="dxa"/>
            <w:shd w:val="clear" w:color="auto" w:fill="FFFFFF"/>
            <w:tcMar>
              <w:top w:w="60" w:type="dxa"/>
              <w:left w:w="100" w:type="dxa"/>
              <w:bottom w:w="60" w:type="dxa"/>
              <w:right w:w="100" w:type="dxa"/>
            </w:tcMar>
          </w:tcPr>
          <w:p w14:paraId="2924FE98">
            <w:pPr>
              <w:spacing w:after="0"/>
            </w:pPr>
            <w:r>
              <w:rPr>
                <w:sz w:val="20"/>
                <w:szCs w:val="20"/>
              </w:rPr>
              <w:t>Navigation demonstration; contact frequency improvement; multi-satellite coordination</w:t>
            </w:r>
          </w:p>
        </w:tc>
      </w:tr>
    </w:tbl>
    <w:p w14:paraId="5AEB6E6C">
      <w:pPr>
        <w:spacing w:after="80"/>
      </w:pPr>
    </w:p>
    <w:p w14:paraId="1294B3F7">
      <w:pPr>
        <w:spacing w:after="120"/>
        <w:jc w:val="both"/>
        <w:rPr>
          <w:rFonts w:hint="default"/>
          <w:sz w:val="22"/>
          <w:szCs w:val="22"/>
        </w:rPr>
      </w:pPr>
      <w:r>
        <w:rPr>
          <w:rFonts w:hint="default"/>
          <w:sz w:val="22"/>
          <w:szCs w:val="22"/>
        </w:rPr>
        <w:t>With six satellites spaced 60° apart in a single orbital plane, the 37°</w:t>
      </w:r>
      <w:r>
        <w:rPr>
          <w:rFonts w:hint="default"/>
          <w:sz w:val="22"/>
          <w:szCs w:val="22"/>
          <w:lang w:val="en-GB"/>
        </w:rPr>
        <w:t xml:space="preserve"> </w:t>
      </w:r>
      <w:r>
        <w:rPr>
          <w:rFonts w:hint="default"/>
          <w:sz w:val="22"/>
          <w:szCs w:val="22"/>
        </w:rPr>
        <w:t>ground visibility arc at 550 km altitude means 1–2 satellites are visible per pass window. The navigation demonstration uses Doppler shift and ranging measurements accumulated across sequential satellite passes to demonstrate the OFDM waveform's navigation capability — consistent with the LEO Doppler navigation heritage of the TRANSIT system but using a modern integrated OFDM signal design.</w:t>
      </w:r>
    </w:p>
    <w:p w14:paraId="6E1AC9D7">
      <w:pPr>
        <w:spacing w:after="120"/>
        <w:jc w:val="both"/>
      </w:pPr>
      <w:r>
        <w:rPr>
          <w:sz w:val="22"/>
          <w:szCs w:val="22"/>
        </w:rPr>
        <w:t>The navigation validation pipeline compares the OFDM position fix against the HPOP NavigationTruthModel (1–10 metre accuracy) rather than against SGP4 (100–500 metre accuracy). This distinction is operationally important: claiming sub-100-metre navigation accuracy against a 300-metre truth reference is not scientifically defensible. The HPOP model is invoked only for navigation validation, not for routine operational orbit computation.</w:t>
      </w:r>
    </w:p>
    <w:p w14:paraId="5B23E016">
      <w:pPr>
        <w:pStyle w:val="3"/>
        <w:spacing w:before="240" w:after="80"/>
      </w:pPr>
      <w:r>
        <w:t>6.3 Scenario 3 — Multi-plane LEO constellation (24 satellites, 4 × 6)</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3000"/>
        <w:gridCol w:w="6300"/>
      </w:tblGrid>
      <w:tr w14:paraId="79F7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D9E1F2"/>
            <w:tcMar>
              <w:top w:w="80" w:type="dxa"/>
              <w:left w:w="100" w:type="dxa"/>
              <w:bottom w:w="80" w:type="dxa"/>
              <w:right w:w="100" w:type="dxa"/>
            </w:tcMar>
          </w:tcPr>
          <w:p w14:paraId="2A1EE758">
            <w:pPr>
              <w:spacing w:after="0"/>
              <w:jc w:val="center"/>
            </w:pPr>
            <w:r>
              <w:rPr>
                <w:b/>
                <w:bCs/>
                <w:color w:val="1F3864"/>
                <w:sz w:val="20"/>
                <w:szCs w:val="20"/>
              </w:rPr>
              <w:t>Parameter</w:t>
            </w:r>
          </w:p>
        </w:tc>
        <w:tc>
          <w:tcPr>
            <w:tcW w:w="6300" w:type="dxa"/>
            <w:shd w:val="clear" w:color="auto" w:fill="D9E1F2"/>
            <w:tcMar>
              <w:top w:w="80" w:type="dxa"/>
              <w:left w:w="100" w:type="dxa"/>
              <w:bottom w:w="80" w:type="dxa"/>
              <w:right w:w="100" w:type="dxa"/>
            </w:tcMar>
          </w:tcPr>
          <w:p w14:paraId="011E5D2A">
            <w:pPr>
              <w:spacing w:after="0"/>
              <w:jc w:val="center"/>
            </w:pPr>
            <w:r>
              <w:rPr>
                <w:b/>
                <w:bCs/>
                <w:color w:val="1F3864"/>
                <w:sz w:val="20"/>
                <w:szCs w:val="20"/>
              </w:rPr>
              <w:t>Value</w:t>
            </w:r>
          </w:p>
        </w:tc>
      </w:tr>
      <w:tr w14:paraId="3DE0F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4BF97528">
            <w:pPr>
              <w:spacing w:after="0"/>
            </w:pPr>
            <w:r>
              <w:rPr>
                <w:b/>
                <w:bCs/>
                <w:sz w:val="20"/>
                <w:szCs w:val="20"/>
              </w:rPr>
              <w:t>Satellites</w:t>
            </w:r>
          </w:p>
        </w:tc>
        <w:tc>
          <w:tcPr>
            <w:tcW w:w="6300" w:type="dxa"/>
            <w:shd w:val="clear" w:color="auto" w:fill="FFFFFF"/>
            <w:tcMar>
              <w:top w:w="60" w:type="dxa"/>
              <w:left w:w="100" w:type="dxa"/>
              <w:bottom w:w="60" w:type="dxa"/>
              <w:right w:w="100" w:type="dxa"/>
            </w:tcMar>
          </w:tcPr>
          <w:p w14:paraId="3A40E18E">
            <w:pPr>
              <w:spacing w:after="0"/>
            </w:pPr>
            <w:r>
              <w:rPr>
                <w:sz w:val="20"/>
                <w:szCs w:val="20"/>
              </w:rPr>
              <w:t>24 (SAT-A1 to SAT-D6)</w:t>
            </w:r>
          </w:p>
        </w:tc>
      </w:tr>
      <w:tr w14:paraId="0948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585C62BC">
            <w:pPr>
              <w:spacing w:after="0"/>
            </w:pPr>
            <w:r>
              <w:rPr>
                <w:b/>
                <w:bCs/>
                <w:sz w:val="20"/>
                <w:szCs w:val="20"/>
              </w:rPr>
              <w:t>Orbit type</w:t>
            </w:r>
          </w:p>
        </w:tc>
        <w:tc>
          <w:tcPr>
            <w:tcW w:w="6300" w:type="dxa"/>
            <w:shd w:val="clear" w:color="auto" w:fill="FFFFFF"/>
            <w:tcMar>
              <w:top w:w="60" w:type="dxa"/>
              <w:left w:w="100" w:type="dxa"/>
              <w:bottom w:w="60" w:type="dxa"/>
              <w:right w:w="100" w:type="dxa"/>
            </w:tcMar>
          </w:tcPr>
          <w:p w14:paraId="6BB432E7">
            <w:pPr>
              <w:spacing w:after="0"/>
            </w:pPr>
            <w:r>
              <w:rPr>
                <w:sz w:val="20"/>
                <w:szCs w:val="20"/>
              </w:rPr>
              <w:t>LEO circular, 550 km, 53° inclination</w:t>
            </w:r>
          </w:p>
        </w:tc>
      </w:tr>
      <w:tr w14:paraId="3260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424354CD">
            <w:pPr>
              <w:spacing w:after="0"/>
            </w:pPr>
            <w:r>
              <w:rPr>
                <w:b/>
                <w:bCs/>
                <w:sz w:val="20"/>
                <w:szCs w:val="20"/>
              </w:rPr>
              <w:t>Plane configuration</w:t>
            </w:r>
          </w:p>
        </w:tc>
        <w:tc>
          <w:tcPr>
            <w:tcW w:w="6300" w:type="dxa"/>
            <w:shd w:val="clear" w:color="auto" w:fill="FFFFFF"/>
            <w:tcMar>
              <w:top w:w="60" w:type="dxa"/>
              <w:left w:w="100" w:type="dxa"/>
              <w:bottom w:w="60" w:type="dxa"/>
              <w:right w:w="100" w:type="dxa"/>
            </w:tcMar>
          </w:tcPr>
          <w:p w14:paraId="74771E4F">
            <w:pPr>
              <w:spacing w:after="0"/>
            </w:pPr>
            <w:r>
              <w:rPr>
                <w:sz w:val="20"/>
                <w:szCs w:val="20"/>
              </w:rPr>
              <w:t>4 orbital planes at RAAN 0°, 90°, 180°, 270°; 6 satellites per plane, 60° spacing</w:t>
            </w:r>
          </w:p>
        </w:tc>
      </w:tr>
      <w:tr w14:paraId="0040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43A8769E">
            <w:pPr>
              <w:spacing w:after="0"/>
            </w:pPr>
            <w:r>
              <w:rPr>
                <w:b/>
                <w:bCs/>
                <w:sz w:val="20"/>
                <w:szCs w:val="20"/>
              </w:rPr>
              <w:t>Contact frequency</w:t>
            </w:r>
          </w:p>
        </w:tc>
        <w:tc>
          <w:tcPr>
            <w:tcW w:w="6300" w:type="dxa"/>
            <w:shd w:val="clear" w:color="auto" w:fill="FFFFFF"/>
            <w:tcMar>
              <w:top w:w="60" w:type="dxa"/>
              <w:left w:w="100" w:type="dxa"/>
              <w:bottom w:w="60" w:type="dxa"/>
              <w:right w:w="100" w:type="dxa"/>
            </w:tcMar>
          </w:tcPr>
          <w:p w14:paraId="5C94D54D">
            <w:pPr>
              <w:spacing w:after="0"/>
            </w:pPr>
            <w:r>
              <w:rPr>
                <w:sz w:val="20"/>
                <w:szCs w:val="20"/>
              </w:rPr>
              <w:t>Multiple passes per hour from any ground station; near-continuous coverage with a 5-station network</w:t>
            </w:r>
          </w:p>
        </w:tc>
      </w:tr>
      <w:tr w14:paraId="04811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1B0B2D6F">
            <w:pPr>
              <w:spacing w:after="0"/>
            </w:pPr>
            <w:r>
              <w:rPr>
                <w:b/>
                <w:bCs/>
                <w:sz w:val="20"/>
                <w:szCs w:val="20"/>
              </w:rPr>
              <w:t>Antenna conflicts</w:t>
            </w:r>
          </w:p>
        </w:tc>
        <w:tc>
          <w:tcPr>
            <w:tcW w:w="6300" w:type="dxa"/>
            <w:shd w:val="clear" w:color="auto" w:fill="FFFFFF"/>
            <w:tcMar>
              <w:top w:w="60" w:type="dxa"/>
              <w:left w:w="100" w:type="dxa"/>
              <w:bottom w:w="60" w:type="dxa"/>
              <w:right w:w="100" w:type="dxa"/>
            </w:tcMar>
          </w:tcPr>
          <w:p w14:paraId="700490AD">
            <w:pPr>
              <w:spacing w:after="0"/>
            </w:pPr>
            <w:r>
              <w:rPr>
                <w:sz w:val="20"/>
                <w:szCs w:val="20"/>
              </w:rPr>
              <w:t>Multiple satellites simultaneously visible from the same station — scheduling conflicts requiring ILP resolution (Sprint 7)</w:t>
            </w:r>
          </w:p>
        </w:tc>
      </w:tr>
      <w:tr w14:paraId="02A0F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2A3A5658">
            <w:pPr>
              <w:spacing w:after="0"/>
            </w:pPr>
            <w:r>
              <w:rPr>
                <w:b/>
                <w:bCs/>
                <w:sz w:val="20"/>
                <w:szCs w:val="20"/>
              </w:rPr>
              <w:t>ML model</w:t>
            </w:r>
          </w:p>
        </w:tc>
        <w:tc>
          <w:tcPr>
            <w:tcW w:w="6300" w:type="dxa"/>
            <w:shd w:val="clear" w:color="auto" w:fill="FFFFFF"/>
            <w:tcMar>
              <w:top w:w="60" w:type="dxa"/>
              <w:left w:w="100" w:type="dxa"/>
              <w:bottom w:w="60" w:type="dxa"/>
              <w:right w:w="100" w:type="dxa"/>
            </w:tcMar>
          </w:tcPr>
          <w:p w14:paraId="43B379F9">
            <w:pPr>
              <w:spacing w:after="0"/>
            </w:pPr>
            <w:r>
              <w:rPr>
                <w:sz w:val="20"/>
                <w:szCs w:val="20"/>
              </w:rPr>
              <w:t>LEO_CIRCULAR production model trained on full 24-satellite dataset</w:t>
            </w:r>
          </w:p>
        </w:tc>
      </w:tr>
      <w:tr w14:paraId="76F1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0B4A59EB">
            <w:pPr>
              <w:spacing w:after="0"/>
            </w:pPr>
            <w:r>
              <w:rPr>
                <w:b/>
                <w:bCs/>
                <w:sz w:val="20"/>
                <w:szCs w:val="20"/>
              </w:rPr>
              <w:t>Primary purpose</w:t>
            </w:r>
          </w:p>
        </w:tc>
        <w:tc>
          <w:tcPr>
            <w:tcW w:w="6300" w:type="dxa"/>
            <w:shd w:val="clear" w:color="auto" w:fill="FFFFFF"/>
            <w:tcMar>
              <w:top w:w="60" w:type="dxa"/>
              <w:left w:w="100" w:type="dxa"/>
              <w:bottom w:w="60" w:type="dxa"/>
              <w:right w:w="100" w:type="dxa"/>
            </w:tcMar>
          </w:tcPr>
          <w:p w14:paraId="378EED0F">
            <w:pPr>
              <w:spacing w:after="0"/>
            </w:pPr>
            <w:r>
              <w:rPr>
                <w:sz w:val="20"/>
                <w:szCs w:val="20"/>
              </w:rPr>
              <w:t>Operational scale demonstration; ground station scheduling; anomaly detection at constellation scale; remote sensing mid-latitude coverage</w:t>
            </w:r>
          </w:p>
        </w:tc>
      </w:tr>
    </w:tbl>
    <w:p w14:paraId="1948DFDC">
      <w:pPr>
        <w:spacing w:after="80"/>
      </w:pPr>
    </w:p>
    <w:p w14:paraId="45F768BC">
      <w:pPr>
        <w:spacing w:after="120"/>
        <w:jc w:val="both"/>
      </w:pPr>
      <w:r>
        <w:rPr>
          <w:sz w:val="22"/>
          <w:szCs w:val="22"/>
        </w:rPr>
        <w:t>Scenario 3 is the primary operational scale demonstration. The 4 × 6 constellation with 90° RAAN separation produces near-global coverage between ±53° latitude. At this scale, the ground station scheduler (Sprint 7) faces a genuine combinatorial optimisation problem: multiple satellites from different planes are simultaneously visible from the same antenna, but one antenna can serve only one satellite at a time. The ILP scheduler resolves conflicts by maximising weighted contact time subject to the one-satellite-per-antenna constraint, publishing the resulting schedule as a Kafka event stream.</w:t>
      </w:r>
    </w:p>
    <w:p w14:paraId="440EC994">
      <w:pPr>
        <w:spacing w:after="120"/>
        <w:jc w:val="both"/>
      </w:pPr>
      <w:r>
        <w:rPr>
          <w:sz w:val="22"/>
          <w:szCs w:val="22"/>
        </w:rPr>
        <w:t>This scenario also provides the richest training dataset for the anomaly detection model. With 24 satellites generating telemetry simultaneously, the model learns the distribution of normal behaviour across a full constellation — including the inter-plane variation in eclipse timing, contact duration, and thermal profiles that results from the different RAANs. A satellite deviating from its plane's normal pattern is detectable against this richer baseline.</w:t>
      </w:r>
    </w:p>
    <w:p w14:paraId="4BD88EDA">
      <w:pPr>
        <w:pStyle w:val="3"/>
        <w:spacing w:before="240" w:after="80"/>
      </w:pPr>
      <w:r>
        <w:t>6.4 Scenario 4 — Molniya HEO polar constellation (standalone)</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3000"/>
        <w:gridCol w:w="6300"/>
      </w:tblGrid>
      <w:tr w14:paraId="330F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D9E1F2"/>
            <w:tcMar>
              <w:top w:w="80" w:type="dxa"/>
              <w:left w:w="100" w:type="dxa"/>
              <w:bottom w:w="80" w:type="dxa"/>
              <w:right w:w="100" w:type="dxa"/>
            </w:tcMar>
          </w:tcPr>
          <w:p w14:paraId="43BB0CFA">
            <w:pPr>
              <w:spacing w:after="0"/>
              <w:jc w:val="center"/>
            </w:pPr>
            <w:r>
              <w:rPr>
                <w:b/>
                <w:bCs/>
                <w:color w:val="1F3864"/>
                <w:sz w:val="20"/>
                <w:szCs w:val="20"/>
              </w:rPr>
              <w:t>Parameter</w:t>
            </w:r>
          </w:p>
        </w:tc>
        <w:tc>
          <w:tcPr>
            <w:tcW w:w="6300" w:type="dxa"/>
            <w:shd w:val="clear" w:color="auto" w:fill="D9E1F2"/>
            <w:tcMar>
              <w:top w:w="80" w:type="dxa"/>
              <w:left w:w="100" w:type="dxa"/>
              <w:bottom w:w="80" w:type="dxa"/>
              <w:right w:w="100" w:type="dxa"/>
            </w:tcMar>
          </w:tcPr>
          <w:p w14:paraId="6C21D8C1">
            <w:pPr>
              <w:spacing w:after="0"/>
              <w:jc w:val="center"/>
            </w:pPr>
            <w:r>
              <w:rPr>
                <w:b/>
                <w:bCs/>
                <w:color w:val="1F3864"/>
                <w:sz w:val="20"/>
                <w:szCs w:val="20"/>
              </w:rPr>
              <w:t>Value</w:t>
            </w:r>
          </w:p>
        </w:tc>
      </w:tr>
      <w:tr w14:paraId="1A15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010E9BB4">
            <w:pPr>
              <w:spacing w:after="0"/>
            </w:pPr>
            <w:r>
              <w:rPr>
                <w:b/>
                <w:bCs/>
                <w:sz w:val="20"/>
                <w:szCs w:val="20"/>
              </w:rPr>
              <w:t>Satellites</w:t>
            </w:r>
          </w:p>
        </w:tc>
        <w:tc>
          <w:tcPr>
            <w:tcW w:w="6300" w:type="dxa"/>
            <w:shd w:val="clear" w:color="auto" w:fill="FFFFFF"/>
            <w:tcMar>
              <w:top w:w="60" w:type="dxa"/>
              <w:left w:w="100" w:type="dxa"/>
              <w:bottom w:w="60" w:type="dxa"/>
              <w:right w:w="100" w:type="dxa"/>
            </w:tcMar>
          </w:tcPr>
          <w:p w14:paraId="0AE4A918">
            <w:pPr>
              <w:spacing w:after="0"/>
            </w:pPr>
            <w:r>
              <w:rPr>
                <w:sz w:val="20"/>
                <w:szCs w:val="20"/>
              </w:rPr>
              <w:t>6 (SAT-M1 through SAT-M6)</w:t>
            </w:r>
          </w:p>
        </w:tc>
      </w:tr>
      <w:tr w14:paraId="1116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5430971F">
            <w:pPr>
              <w:spacing w:after="0"/>
            </w:pPr>
            <w:r>
              <w:rPr>
                <w:b/>
                <w:bCs/>
                <w:sz w:val="20"/>
                <w:szCs w:val="20"/>
              </w:rPr>
              <w:t>Orbit type</w:t>
            </w:r>
          </w:p>
        </w:tc>
        <w:tc>
          <w:tcPr>
            <w:tcW w:w="6300" w:type="dxa"/>
            <w:shd w:val="clear" w:color="auto" w:fill="FFFFFF"/>
            <w:tcMar>
              <w:top w:w="60" w:type="dxa"/>
              <w:left w:w="100" w:type="dxa"/>
              <w:bottom w:w="60" w:type="dxa"/>
              <w:right w:w="100" w:type="dxa"/>
            </w:tcMar>
          </w:tcPr>
          <w:p w14:paraId="79D7CDDB">
            <w:pPr>
              <w:spacing w:after="0"/>
            </w:pPr>
            <w:r>
              <w:rPr>
                <w:sz w:val="20"/>
                <w:szCs w:val="20"/>
              </w:rPr>
              <w:t>HEO Molniya — inclination 63.4°, eccentricity 0.74, argument of perigee 270°</w:t>
            </w:r>
          </w:p>
        </w:tc>
      </w:tr>
      <w:tr w14:paraId="5E88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78AF4D68">
            <w:pPr>
              <w:spacing w:after="0"/>
            </w:pPr>
            <w:r>
              <w:rPr>
                <w:b/>
                <w:bCs/>
                <w:sz w:val="20"/>
                <w:szCs w:val="20"/>
              </w:rPr>
              <w:t>Apogee altitude</w:t>
            </w:r>
          </w:p>
        </w:tc>
        <w:tc>
          <w:tcPr>
            <w:tcW w:w="6300" w:type="dxa"/>
            <w:shd w:val="clear" w:color="auto" w:fill="FFFFFF"/>
            <w:tcMar>
              <w:top w:w="60" w:type="dxa"/>
              <w:left w:w="100" w:type="dxa"/>
              <w:bottom w:w="60" w:type="dxa"/>
              <w:right w:w="100" w:type="dxa"/>
            </w:tcMar>
          </w:tcPr>
          <w:p w14:paraId="2009178B">
            <w:pPr>
              <w:spacing w:after="0"/>
            </w:pPr>
            <w:r>
              <w:rPr>
                <w:sz w:val="20"/>
                <w:szCs w:val="20"/>
              </w:rPr>
              <w:t>39,750 km (over northern hemisphere)</w:t>
            </w:r>
          </w:p>
        </w:tc>
      </w:tr>
      <w:tr w14:paraId="32035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6B60E72D">
            <w:pPr>
              <w:spacing w:after="0"/>
            </w:pPr>
            <w:r>
              <w:rPr>
                <w:b/>
                <w:bCs/>
                <w:sz w:val="20"/>
                <w:szCs w:val="20"/>
              </w:rPr>
              <w:t>Perigee altitude</w:t>
            </w:r>
          </w:p>
        </w:tc>
        <w:tc>
          <w:tcPr>
            <w:tcW w:w="6300" w:type="dxa"/>
            <w:shd w:val="clear" w:color="auto" w:fill="FFFFFF"/>
            <w:tcMar>
              <w:top w:w="60" w:type="dxa"/>
              <w:left w:w="100" w:type="dxa"/>
              <w:bottom w:w="60" w:type="dxa"/>
              <w:right w:w="100" w:type="dxa"/>
            </w:tcMar>
          </w:tcPr>
          <w:p w14:paraId="7EC8CEEB">
            <w:pPr>
              <w:spacing w:after="0"/>
            </w:pPr>
            <w:r>
              <w:rPr>
                <w:sz w:val="20"/>
                <w:szCs w:val="20"/>
              </w:rPr>
              <w:t>500 km</w:t>
            </w:r>
          </w:p>
        </w:tc>
      </w:tr>
      <w:tr w14:paraId="4223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72F35924">
            <w:pPr>
              <w:spacing w:after="0"/>
            </w:pPr>
            <w:r>
              <w:rPr>
                <w:b/>
                <w:bCs/>
                <w:sz w:val="20"/>
                <w:szCs w:val="20"/>
              </w:rPr>
              <w:t>Orbital period</w:t>
            </w:r>
          </w:p>
        </w:tc>
        <w:tc>
          <w:tcPr>
            <w:tcW w:w="6300" w:type="dxa"/>
            <w:shd w:val="clear" w:color="auto" w:fill="FFFFFF"/>
            <w:tcMar>
              <w:top w:w="60" w:type="dxa"/>
              <w:left w:w="100" w:type="dxa"/>
              <w:bottom w:w="60" w:type="dxa"/>
              <w:right w:w="100" w:type="dxa"/>
            </w:tcMar>
          </w:tcPr>
          <w:p w14:paraId="753BCAE2">
            <w:pPr>
              <w:spacing w:after="0"/>
            </w:pPr>
            <w:r>
              <w:rPr>
                <w:sz w:val="20"/>
                <w:szCs w:val="20"/>
              </w:rPr>
              <w:t>~12 hours (2 orbits per day)</w:t>
            </w:r>
          </w:p>
        </w:tc>
      </w:tr>
      <w:tr w14:paraId="00B4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31982E90">
            <w:pPr>
              <w:spacing w:after="0"/>
            </w:pPr>
            <w:r>
              <w:rPr>
                <w:b/>
                <w:bCs/>
                <w:sz w:val="20"/>
                <w:szCs w:val="20"/>
              </w:rPr>
              <w:t>Apogee dwell</w:t>
            </w:r>
          </w:p>
        </w:tc>
        <w:tc>
          <w:tcPr>
            <w:tcW w:w="6300" w:type="dxa"/>
            <w:shd w:val="clear" w:color="auto" w:fill="FFFFFF"/>
            <w:tcMar>
              <w:top w:w="60" w:type="dxa"/>
              <w:left w:w="100" w:type="dxa"/>
              <w:bottom w:w="60" w:type="dxa"/>
              <w:right w:w="100" w:type="dxa"/>
            </w:tcMar>
          </w:tcPr>
          <w:p w14:paraId="44D67E62">
            <w:pPr>
              <w:spacing w:after="0"/>
            </w:pPr>
            <w:r>
              <w:rPr>
                <w:sz w:val="20"/>
                <w:szCs w:val="20"/>
              </w:rPr>
              <w:t>~8 of 12 hours near apogee (satellite moves slowly)</w:t>
            </w:r>
          </w:p>
        </w:tc>
      </w:tr>
      <w:tr w14:paraId="3861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1B08AC93">
            <w:pPr>
              <w:spacing w:after="0"/>
            </w:pPr>
            <w:r>
              <w:rPr>
                <w:b/>
                <w:bCs/>
                <w:sz w:val="20"/>
                <w:szCs w:val="20"/>
              </w:rPr>
              <w:t>Contact duration</w:t>
            </w:r>
          </w:p>
        </w:tc>
        <w:tc>
          <w:tcPr>
            <w:tcW w:w="6300" w:type="dxa"/>
            <w:shd w:val="clear" w:color="auto" w:fill="FFFFFF"/>
            <w:tcMar>
              <w:top w:w="60" w:type="dxa"/>
              <w:left w:w="100" w:type="dxa"/>
              <w:bottom w:w="60" w:type="dxa"/>
              <w:right w:w="100" w:type="dxa"/>
            </w:tcMar>
          </w:tcPr>
          <w:p w14:paraId="5E8D166B">
            <w:pPr>
              <w:spacing w:after="0"/>
            </w:pPr>
            <w:r>
              <w:rPr>
                <w:sz w:val="20"/>
                <w:szCs w:val="20"/>
              </w:rPr>
              <w:t>Up to 8 continuous hours from Svalbard (78°N) or Fairbanks (65°N)</w:t>
            </w:r>
          </w:p>
        </w:tc>
      </w:tr>
      <w:tr w14:paraId="5928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317C41C9">
            <w:pPr>
              <w:spacing w:after="0"/>
            </w:pPr>
            <w:r>
              <w:rPr>
                <w:b/>
                <w:bCs/>
                <w:sz w:val="20"/>
                <w:szCs w:val="20"/>
              </w:rPr>
              <w:t>Eclipse fraction</w:t>
            </w:r>
          </w:p>
        </w:tc>
        <w:tc>
          <w:tcPr>
            <w:tcW w:w="6300" w:type="dxa"/>
            <w:shd w:val="clear" w:color="auto" w:fill="FFFFFF"/>
            <w:tcMar>
              <w:top w:w="60" w:type="dxa"/>
              <w:left w:w="100" w:type="dxa"/>
              <w:bottom w:w="60" w:type="dxa"/>
              <w:right w:w="100" w:type="dxa"/>
            </w:tcMar>
          </w:tcPr>
          <w:p w14:paraId="1DDADD81">
            <w:pPr>
              <w:spacing w:after="0"/>
            </w:pPr>
            <w:r>
              <w:rPr>
                <w:sz w:val="20"/>
                <w:szCs w:val="20"/>
              </w:rPr>
              <w:t>~5–15% (much lower than LEO — satellite mostly in sunlight at high altitude)</w:t>
            </w:r>
          </w:p>
        </w:tc>
      </w:tr>
      <w:tr w14:paraId="093A6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078212B3">
            <w:pPr>
              <w:spacing w:after="0"/>
            </w:pPr>
            <w:r>
              <w:rPr>
                <w:b/>
                <w:bCs/>
                <w:sz w:val="20"/>
                <w:szCs w:val="20"/>
              </w:rPr>
              <w:t>Primary ground stations</w:t>
            </w:r>
          </w:p>
        </w:tc>
        <w:tc>
          <w:tcPr>
            <w:tcW w:w="6300" w:type="dxa"/>
            <w:shd w:val="clear" w:color="auto" w:fill="FFFFFF"/>
            <w:tcMar>
              <w:top w:w="60" w:type="dxa"/>
              <w:left w:w="100" w:type="dxa"/>
              <w:bottom w:w="60" w:type="dxa"/>
              <w:right w:w="100" w:type="dxa"/>
            </w:tcMar>
          </w:tcPr>
          <w:p w14:paraId="39919C9B">
            <w:pPr>
              <w:spacing w:after="0"/>
            </w:pPr>
            <w:r>
              <w:rPr>
                <w:sz w:val="20"/>
                <w:szCs w:val="20"/>
              </w:rPr>
              <w:t>Svalbard (78.2°N, 15.4°E) and Fairbanks (64.8°N, 147.7°W)</w:t>
            </w:r>
          </w:p>
        </w:tc>
      </w:tr>
      <w:tr w14:paraId="17E7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654173ED">
            <w:pPr>
              <w:spacing w:after="0"/>
            </w:pPr>
            <w:r>
              <w:rPr>
                <w:b/>
                <w:bCs/>
                <w:sz w:val="20"/>
                <w:szCs w:val="20"/>
              </w:rPr>
              <w:t>ML model</w:t>
            </w:r>
          </w:p>
        </w:tc>
        <w:tc>
          <w:tcPr>
            <w:tcW w:w="6300" w:type="dxa"/>
            <w:shd w:val="clear" w:color="auto" w:fill="FFFFFF"/>
            <w:tcMar>
              <w:top w:w="60" w:type="dxa"/>
              <w:left w:w="100" w:type="dxa"/>
              <w:bottom w:w="60" w:type="dxa"/>
              <w:right w:w="100" w:type="dxa"/>
            </w:tcMar>
          </w:tcPr>
          <w:p w14:paraId="35169620">
            <w:pPr>
              <w:spacing w:after="0"/>
            </w:pPr>
            <w:r>
              <w:rPr>
                <w:sz w:val="20"/>
                <w:szCs w:val="20"/>
              </w:rPr>
              <w:t>HEO_MOLNIYA — separate model, never trained on LEO data</w:t>
            </w:r>
          </w:p>
        </w:tc>
      </w:tr>
      <w:tr w14:paraId="4394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32F7E2A1">
            <w:pPr>
              <w:spacing w:after="0"/>
            </w:pPr>
            <w:r>
              <w:rPr>
                <w:b/>
                <w:bCs/>
                <w:sz w:val="20"/>
                <w:szCs w:val="20"/>
              </w:rPr>
              <w:t>Primary purpose</w:t>
            </w:r>
          </w:p>
        </w:tc>
        <w:tc>
          <w:tcPr>
            <w:tcW w:w="6300" w:type="dxa"/>
            <w:shd w:val="clear" w:color="auto" w:fill="FFFFFF"/>
            <w:tcMar>
              <w:top w:w="60" w:type="dxa"/>
              <w:left w:w="100" w:type="dxa"/>
              <w:bottom w:w="60" w:type="dxa"/>
              <w:right w:w="100" w:type="dxa"/>
            </w:tcMar>
          </w:tcPr>
          <w:p w14:paraId="532FEC62">
            <w:pPr>
              <w:spacing w:after="0"/>
            </w:pPr>
            <w:r>
              <w:rPr>
                <w:sz w:val="20"/>
                <w:szCs w:val="20"/>
              </w:rPr>
              <w:t>Polar coverage demonstration; long-dwell remote sensing; antenna handover demonstration; standalone HEO operations concept</w:t>
            </w:r>
          </w:p>
        </w:tc>
      </w:tr>
    </w:tbl>
    <w:p w14:paraId="5A5D5B51">
      <w:pPr>
        <w:spacing w:after="80"/>
      </w:pPr>
    </w:p>
    <w:p w14:paraId="0FC42C22">
      <w:pPr>
        <w:spacing w:after="120"/>
        <w:jc w:val="both"/>
      </w:pPr>
      <w:r>
        <w:rPr>
          <w:sz w:val="22"/>
          <w:szCs w:val="22"/>
        </w:rPr>
        <w:t>Scenario 4 is operated as a completely independent mission. It never runs concurrently with Scenarios 1–3 in the same ML training context, and its telemetry is stored in TimescaleDB with orbit_type = 'HEO_MOLNIYA' to prevent any cross-contamination of training data.</w:t>
      </w:r>
    </w:p>
    <w:p w14:paraId="2006EAA4">
      <w:pPr>
        <w:spacing w:after="120"/>
        <w:jc w:val="both"/>
      </w:pPr>
      <w:r>
        <w:rPr>
          <w:sz w:val="22"/>
          <w:szCs w:val="22"/>
        </w:rPr>
        <w:t>The 63.4° inclination is not arbitrary — it is the critical angle at which the J2 Earth oblateness perturbation produces zero net precession of the argument of perigee, keeping the apogee permanently fixed over the northern hemisphere. Any other inclination causes the apogee to drift away from the north over months. This is why every real Molniya satellite and every ILMOP Scenario 4 satellite uses exactly 63.4°.</w:t>
      </w:r>
    </w:p>
    <w:p w14:paraId="1166F895">
      <w:pPr>
        <w:spacing w:after="120"/>
        <w:jc w:val="both"/>
      </w:pPr>
      <w:r>
        <w:rPr>
          <w:sz w:val="22"/>
          <w:szCs w:val="22"/>
        </w:rPr>
        <w:t>The operational advantage of long-dwell contact is demonstrated by the Scenario 4 dashboard: a Molniya satellite at apogee moves slowly enough that an operator can plan an entire day's commanding within a single 8-hour contact window, rather than managing multiple short 5–10 minute LEO passes. Antenna handover — transferring a contact from Svalbard to Fairbanks as one satellite descends toward perigee — is demonstrated with the 6-satellite spacing (60° mean anomaly separation) that ensures a second satellite is always rising to apogee as the first descends.</w:t>
      </w:r>
    </w:p>
    <w:p w14:paraId="266E62A3">
      <w:pPr>
        <w:spacing w:after="120"/>
        <w:jc w:val="both"/>
      </w:pPr>
      <w:r>
        <w:rPr>
          <w:sz w:val="22"/>
          <w:szCs w:val="22"/>
        </w:rPr>
        <w:t>For the PhD remote sensing demonstration, the Molniya apogee dwell provides extended observation time over a fixed polar ground target. The satellite moves slowly enough overhead that backscatter accumulation over many seconds or minutes is geometrically coherent — a significant advantage over LEO remote sensing where the satellite sweeps across a target in seconds.</w:t>
      </w:r>
    </w:p>
    <w:p w14:paraId="309E83DE">
      <w:r>
        <w:br w:type="page"/>
      </w:r>
    </w:p>
    <w:p w14:paraId="0DECACC3">
      <w:pPr>
        <w:pStyle w:val="2"/>
        <w:spacing w:before="360" w:after="120"/>
      </w:pPr>
      <w:r>
        <w:t>7. Operational Modes</w:t>
      </w:r>
    </w:p>
    <w:p w14:paraId="4A53D059">
      <w:pPr>
        <w:spacing w:after="120"/>
        <w:jc w:val="both"/>
      </w:pPr>
      <w:r>
        <w:rPr>
          <w:sz w:val="22"/>
          <w:szCs w:val="22"/>
        </w:rPr>
        <w:t>ILMOP operates in five distinct modes. Transitions between modes are triggered by specific conditions (anomaly detection, operator command, scheduled events). The current mode is always visible in the operator dashboard status header.</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2200"/>
        <w:gridCol w:w="3200"/>
        <w:gridCol w:w="3900"/>
      </w:tblGrid>
      <w:tr w14:paraId="61FA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200" w:type="dxa"/>
            <w:shd w:val="clear" w:color="auto" w:fill="D9E1F2"/>
            <w:tcMar>
              <w:top w:w="80" w:type="dxa"/>
              <w:left w:w="100" w:type="dxa"/>
              <w:bottom w:w="80" w:type="dxa"/>
              <w:right w:w="100" w:type="dxa"/>
            </w:tcMar>
          </w:tcPr>
          <w:p w14:paraId="024E8109">
            <w:pPr>
              <w:spacing w:after="0"/>
              <w:jc w:val="center"/>
            </w:pPr>
            <w:r>
              <w:rPr>
                <w:b/>
                <w:bCs/>
                <w:color w:val="1F3864"/>
                <w:sz w:val="20"/>
                <w:szCs w:val="20"/>
              </w:rPr>
              <w:t>Mode</w:t>
            </w:r>
          </w:p>
        </w:tc>
        <w:tc>
          <w:tcPr>
            <w:tcW w:w="3200" w:type="dxa"/>
            <w:shd w:val="clear" w:color="auto" w:fill="D9E1F2"/>
            <w:tcMar>
              <w:top w:w="80" w:type="dxa"/>
              <w:left w:w="100" w:type="dxa"/>
              <w:bottom w:w="80" w:type="dxa"/>
              <w:right w:w="100" w:type="dxa"/>
            </w:tcMar>
          </w:tcPr>
          <w:p w14:paraId="22A752AD">
            <w:pPr>
              <w:spacing w:after="0"/>
              <w:jc w:val="center"/>
            </w:pPr>
            <w:r>
              <w:rPr>
                <w:b/>
                <w:bCs/>
                <w:color w:val="1F3864"/>
                <w:sz w:val="20"/>
                <w:szCs w:val="20"/>
              </w:rPr>
              <w:t>Trigger</w:t>
            </w:r>
          </w:p>
        </w:tc>
        <w:tc>
          <w:tcPr>
            <w:tcW w:w="3900" w:type="dxa"/>
            <w:shd w:val="clear" w:color="auto" w:fill="D9E1F2"/>
            <w:tcMar>
              <w:top w:w="80" w:type="dxa"/>
              <w:left w:w="100" w:type="dxa"/>
              <w:bottom w:w="80" w:type="dxa"/>
              <w:right w:w="100" w:type="dxa"/>
            </w:tcMar>
          </w:tcPr>
          <w:p w14:paraId="02A962FC">
            <w:pPr>
              <w:spacing w:after="0"/>
              <w:jc w:val="center"/>
            </w:pPr>
            <w:r>
              <w:rPr>
                <w:b/>
                <w:bCs/>
                <w:color w:val="1F3864"/>
                <w:sz w:val="20"/>
                <w:szCs w:val="20"/>
              </w:rPr>
              <w:t>Key characteristics</w:t>
            </w:r>
          </w:p>
        </w:tc>
      </w:tr>
      <w:tr w14:paraId="4706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200" w:type="dxa"/>
            <w:shd w:val="clear" w:color="auto" w:fill="FFFFFF"/>
            <w:tcMar>
              <w:top w:w="60" w:type="dxa"/>
              <w:left w:w="100" w:type="dxa"/>
              <w:bottom w:w="60" w:type="dxa"/>
              <w:right w:w="100" w:type="dxa"/>
            </w:tcMar>
          </w:tcPr>
          <w:p w14:paraId="4D9DE28B">
            <w:pPr>
              <w:spacing w:after="0"/>
            </w:pPr>
            <w:r>
              <w:rPr>
                <w:b/>
                <w:bCs/>
                <w:sz w:val="20"/>
                <w:szCs w:val="20"/>
              </w:rPr>
              <w:t>Normal operations</w:t>
            </w:r>
          </w:p>
        </w:tc>
        <w:tc>
          <w:tcPr>
            <w:tcW w:w="3200" w:type="dxa"/>
            <w:shd w:val="clear" w:color="auto" w:fill="FFFFFF"/>
            <w:tcMar>
              <w:top w:w="60" w:type="dxa"/>
              <w:left w:w="100" w:type="dxa"/>
              <w:bottom w:w="60" w:type="dxa"/>
              <w:right w:w="100" w:type="dxa"/>
            </w:tcMar>
          </w:tcPr>
          <w:p w14:paraId="25E197B4">
            <w:pPr>
              <w:spacing w:after="0"/>
            </w:pPr>
            <w:r>
              <w:rPr>
                <w:sz w:val="20"/>
                <w:szCs w:val="20"/>
              </w:rPr>
              <w:t>Default — no anomalies detected, all services healthy</w:t>
            </w:r>
          </w:p>
        </w:tc>
        <w:tc>
          <w:tcPr>
            <w:tcW w:w="3900" w:type="dxa"/>
            <w:shd w:val="clear" w:color="auto" w:fill="FFFFFF"/>
            <w:tcMar>
              <w:top w:w="60" w:type="dxa"/>
              <w:left w:w="100" w:type="dxa"/>
              <w:bottom w:w="60" w:type="dxa"/>
              <w:right w:w="100" w:type="dxa"/>
            </w:tcMar>
          </w:tcPr>
          <w:p w14:paraId="230A3936">
            <w:pPr>
              <w:spacing w:after="0"/>
            </w:pPr>
            <w:r>
              <w:rPr>
                <w:sz w:val="20"/>
                <w:szCs w:val="20"/>
              </w:rPr>
              <w:t>Continuous telemetry monitoring; contact windows as scheduled; anomaly detection active; dashboard updates at configured refresh rate</w:t>
            </w:r>
          </w:p>
        </w:tc>
      </w:tr>
      <w:tr w14:paraId="3707E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200" w:type="dxa"/>
            <w:shd w:val="clear" w:color="auto" w:fill="FFFFFF"/>
            <w:tcMar>
              <w:top w:w="60" w:type="dxa"/>
              <w:left w:w="100" w:type="dxa"/>
              <w:bottom w:w="60" w:type="dxa"/>
              <w:right w:w="100" w:type="dxa"/>
            </w:tcMar>
          </w:tcPr>
          <w:p w14:paraId="65105252">
            <w:pPr>
              <w:spacing w:after="0"/>
            </w:pPr>
            <w:r>
              <w:rPr>
                <w:b/>
                <w:bCs/>
                <w:sz w:val="20"/>
                <w:szCs w:val="20"/>
              </w:rPr>
              <w:t>Contact window mode</w:t>
            </w:r>
          </w:p>
        </w:tc>
        <w:tc>
          <w:tcPr>
            <w:tcW w:w="3200" w:type="dxa"/>
            <w:shd w:val="clear" w:color="auto" w:fill="FFFFFF"/>
            <w:tcMar>
              <w:top w:w="60" w:type="dxa"/>
              <w:left w:w="100" w:type="dxa"/>
              <w:bottom w:w="60" w:type="dxa"/>
              <w:right w:w="100" w:type="dxa"/>
            </w:tcMar>
          </w:tcPr>
          <w:p w14:paraId="32500909">
            <w:pPr>
              <w:spacing w:after="0"/>
            </w:pPr>
            <w:r>
              <w:rPr>
                <w:sz w:val="20"/>
                <w:szCs w:val="20"/>
              </w:rPr>
              <w:t>AOS detected (satellite above minimum elevation angle of a scheduled ground station)</w:t>
            </w:r>
          </w:p>
        </w:tc>
        <w:tc>
          <w:tcPr>
            <w:tcW w:w="3900" w:type="dxa"/>
            <w:shd w:val="clear" w:color="auto" w:fill="FFFFFF"/>
            <w:tcMar>
              <w:top w:w="60" w:type="dxa"/>
              <w:left w:w="100" w:type="dxa"/>
              <w:bottom w:w="60" w:type="dxa"/>
              <w:right w:w="100" w:type="dxa"/>
            </w:tcMar>
          </w:tcPr>
          <w:p w14:paraId="2AD90079">
            <w:pPr>
              <w:spacing w:after="0"/>
            </w:pPr>
            <w:r>
              <w:rPr>
                <w:sz w:val="20"/>
                <w:szCs w:val="20"/>
              </w:rPr>
              <w:t>Telemetry downlink active; command uplink available; CPU utilisation elevated; downlink and uplink rates non-zero; operator notified</w:t>
            </w:r>
          </w:p>
        </w:tc>
      </w:tr>
      <w:tr w14:paraId="13F61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200" w:type="dxa"/>
            <w:shd w:val="clear" w:color="auto" w:fill="FFFFFF"/>
            <w:tcMar>
              <w:top w:w="60" w:type="dxa"/>
              <w:left w:w="100" w:type="dxa"/>
              <w:bottom w:w="60" w:type="dxa"/>
              <w:right w:w="100" w:type="dxa"/>
            </w:tcMar>
          </w:tcPr>
          <w:p w14:paraId="40411FFF">
            <w:pPr>
              <w:spacing w:after="0"/>
            </w:pPr>
            <w:r>
              <w:rPr>
                <w:b/>
                <w:bCs/>
                <w:sz w:val="20"/>
                <w:szCs w:val="20"/>
              </w:rPr>
              <w:t>Anomaly response mode</w:t>
            </w:r>
          </w:p>
        </w:tc>
        <w:tc>
          <w:tcPr>
            <w:tcW w:w="3200" w:type="dxa"/>
            <w:shd w:val="clear" w:color="auto" w:fill="FFFFFF"/>
            <w:tcMar>
              <w:top w:w="60" w:type="dxa"/>
              <w:left w:w="100" w:type="dxa"/>
              <w:bottom w:w="60" w:type="dxa"/>
              <w:right w:w="100" w:type="dxa"/>
            </w:tcMar>
          </w:tcPr>
          <w:p w14:paraId="396876D7">
            <w:pPr>
              <w:spacing w:after="0"/>
            </w:pPr>
            <w:r>
              <w:rPr>
                <w:sz w:val="20"/>
                <w:szCs w:val="20"/>
              </w:rPr>
              <w:t>Anomaly detection service flags a WARNING or CRITICAL severity alarm</w:t>
            </w:r>
          </w:p>
        </w:tc>
        <w:tc>
          <w:tcPr>
            <w:tcW w:w="3900" w:type="dxa"/>
            <w:shd w:val="clear" w:color="auto" w:fill="FFFFFF"/>
            <w:tcMar>
              <w:top w:w="60" w:type="dxa"/>
              <w:left w:w="100" w:type="dxa"/>
              <w:bottom w:w="60" w:type="dxa"/>
              <w:right w:w="100" w:type="dxa"/>
            </w:tcMar>
          </w:tcPr>
          <w:p w14:paraId="25D3FBB9">
            <w:pPr>
              <w:spacing w:after="0"/>
            </w:pPr>
            <w:r>
              <w:rPr>
                <w:sz w:val="20"/>
                <w:szCs w:val="20"/>
              </w:rPr>
              <w:t>Alarm panel activated in dashboard; operator notification sent; anomaly record written to database; response procedure initiated</w:t>
            </w:r>
          </w:p>
        </w:tc>
      </w:tr>
      <w:tr w14:paraId="7EB78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200" w:type="dxa"/>
            <w:shd w:val="clear" w:color="auto" w:fill="FFFFFF"/>
            <w:tcMar>
              <w:top w:w="60" w:type="dxa"/>
              <w:left w:w="100" w:type="dxa"/>
              <w:bottom w:w="60" w:type="dxa"/>
              <w:right w:w="100" w:type="dxa"/>
            </w:tcMar>
          </w:tcPr>
          <w:p w14:paraId="49B5FD9A">
            <w:pPr>
              <w:spacing w:after="0"/>
            </w:pPr>
            <w:r>
              <w:rPr>
                <w:b/>
                <w:bCs/>
                <w:sz w:val="20"/>
                <w:szCs w:val="20"/>
              </w:rPr>
              <w:t>Safe mode</w:t>
            </w:r>
          </w:p>
        </w:tc>
        <w:tc>
          <w:tcPr>
            <w:tcW w:w="3200" w:type="dxa"/>
            <w:shd w:val="clear" w:color="auto" w:fill="FFFFFF"/>
            <w:tcMar>
              <w:top w:w="60" w:type="dxa"/>
              <w:left w:w="100" w:type="dxa"/>
              <w:bottom w:w="60" w:type="dxa"/>
              <w:right w:w="100" w:type="dxa"/>
            </w:tcMar>
          </w:tcPr>
          <w:p w14:paraId="3A9B5B58">
            <w:pPr>
              <w:spacing w:after="0"/>
            </w:pPr>
            <w:r>
              <w:rPr>
                <w:sz w:val="20"/>
                <w:szCs w:val="20"/>
              </w:rPr>
              <w:t>Battery SoC below critical threshold; thermal exceedance; on-board fault detection triggers</w:t>
            </w:r>
          </w:p>
        </w:tc>
        <w:tc>
          <w:tcPr>
            <w:tcW w:w="3900" w:type="dxa"/>
            <w:shd w:val="clear" w:color="auto" w:fill="FFFFFF"/>
            <w:tcMar>
              <w:top w:w="60" w:type="dxa"/>
              <w:left w:w="100" w:type="dxa"/>
              <w:bottom w:w="60" w:type="dxa"/>
              <w:right w:w="100" w:type="dxa"/>
            </w:tcMar>
          </w:tcPr>
          <w:p w14:paraId="523FEF67">
            <w:pPr>
              <w:spacing w:after="0"/>
            </w:pPr>
            <w:r>
              <w:rPr>
                <w:sz w:val="20"/>
                <w:szCs w:val="20"/>
              </w:rPr>
              <w:t>Non-essential payload operations suspended; satellite in minimum-power configuration; all available contact windows prioritised for safe-mode telemetry and recovery commanding</w:t>
            </w:r>
          </w:p>
        </w:tc>
      </w:tr>
      <w:tr w14:paraId="7AFDB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200" w:type="dxa"/>
            <w:shd w:val="clear" w:color="auto" w:fill="FFFFFF"/>
            <w:tcMar>
              <w:top w:w="60" w:type="dxa"/>
              <w:left w:w="100" w:type="dxa"/>
              <w:bottom w:w="60" w:type="dxa"/>
              <w:right w:w="100" w:type="dxa"/>
            </w:tcMar>
          </w:tcPr>
          <w:p w14:paraId="0EFFA4FB">
            <w:pPr>
              <w:spacing w:after="0"/>
            </w:pPr>
            <w:r>
              <w:rPr>
                <w:b/>
                <w:bCs/>
                <w:sz w:val="20"/>
                <w:szCs w:val="20"/>
              </w:rPr>
              <w:t>Training / demonstration mode</w:t>
            </w:r>
          </w:p>
        </w:tc>
        <w:tc>
          <w:tcPr>
            <w:tcW w:w="3200" w:type="dxa"/>
            <w:shd w:val="clear" w:color="auto" w:fill="FFFFFF"/>
            <w:tcMar>
              <w:top w:w="60" w:type="dxa"/>
              <w:left w:w="100" w:type="dxa"/>
              <w:bottom w:w="60" w:type="dxa"/>
              <w:right w:w="100" w:type="dxa"/>
            </w:tcMar>
          </w:tcPr>
          <w:p w14:paraId="68C671F5">
            <w:pPr>
              <w:spacing w:after="0"/>
            </w:pPr>
            <w:r>
              <w:rPr>
                <w:sz w:val="20"/>
                <w:szCs w:val="20"/>
              </w:rPr>
              <w:t>Explicit operator command (--speed &gt; 1 or scenario selection)</w:t>
            </w:r>
          </w:p>
        </w:tc>
        <w:tc>
          <w:tcPr>
            <w:tcW w:w="3900" w:type="dxa"/>
            <w:shd w:val="clear" w:color="auto" w:fill="FFFFFF"/>
            <w:tcMar>
              <w:top w:w="60" w:type="dxa"/>
              <w:left w:w="100" w:type="dxa"/>
              <w:bottom w:w="60" w:type="dxa"/>
              <w:right w:w="100" w:type="dxa"/>
            </w:tcMar>
          </w:tcPr>
          <w:p w14:paraId="3DCEE133">
            <w:pPr>
              <w:spacing w:after="0"/>
            </w:pPr>
            <w:r>
              <w:rPr>
                <w:sz w:val="20"/>
                <w:szCs w:val="20"/>
              </w:rPr>
              <w:t>Simulator running at accelerated time; data flowing to TimescaleDB for training dataset accumulation or PhD demonstration data capture; normal anomaly detection suspended or operating in monitoring-only mode</w:t>
            </w:r>
          </w:p>
        </w:tc>
      </w:tr>
    </w:tbl>
    <w:p w14:paraId="307220C2">
      <w:r>
        <w:br w:type="page"/>
      </w:r>
    </w:p>
    <w:p w14:paraId="244D6A17">
      <w:pPr>
        <w:pStyle w:val="2"/>
        <w:spacing w:before="360" w:after="120"/>
      </w:pPr>
      <w:r>
        <w:t>8. Normal Operations</w:t>
      </w:r>
    </w:p>
    <w:p w14:paraId="5A91F349">
      <w:pPr>
        <w:pStyle w:val="3"/>
        <w:spacing w:before="240" w:after="80"/>
      </w:pPr>
      <w:r>
        <w:t>8.1 Continuous monitoring</w:t>
      </w:r>
    </w:p>
    <w:p w14:paraId="77EE443C">
      <w:pPr>
        <w:spacing w:after="120"/>
        <w:jc w:val="both"/>
      </w:pPr>
      <w:r>
        <w:rPr>
          <w:sz w:val="22"/>
          <w:szCs w:val="22"/>
        </w:rPr>
        <w:t>In normal operations, the following activities occur continuously without operator intervention:</w:t>
      </w:r>
    </w:p>
    <w:p w14:paraId="5151D62A">
      <w:pPr>
        <w:pStyle w:val="16"/>
        <w:numPr>
          <w:ilvl w:val="0"/>
          <w:numId w:val="1"/>
        </w:numPr>
        <w:spacing w:after="60"/>
      </w:pPr>
      <w:r>
        <w:rPr>
          <w:sz w:val="22"/>
          <w:szCs w:val="22"/>
        </w:rPr>
        <w:t>The satellite simulator generates one Telemetry record per second per satellite and publishes it to the Kafka topic telemetry.{satellite_id}.</w:t>
      </w:r>
    </w:p>
    <w:p w14:paraId="7709D530">
      <w:pPr>
        <w:pStyle w:val="16"/>
        <w:numPr>
          <w:ilvl w:val="0"/>
          <w:numId w:val="1"/>
        </w:numPr>
        <w:spacing w:after="60"/>
      </w:pPr>
      <w:r>
        <w:rPr>
          <w:sz w:val="22"/>
          <w:szCs w:val="22"/>
        </w:rPr>
        <w:t>The TimescaleDB sink consumes each record, validates it against the Pydantic Telemetry schema, and writes it to the telemetry hypertable in batches of 50 records or every 5 seconds, whichever occurs first.</w:t>
      </w:r>
    </w:p>
    <w:p w14:paraId="39394089">
      <w:pPr>
        <w:pStyle w:val="16"/>
        <w:numPr>
          <w:ilvl w:val="0"/>
          <w:numId w:val="1"/>
        </w:numPr>
        <w:spacing w:after="60"/>
      </w:pPr>
      <w:r>
        <w:rPr>
          <w:sz w:val="22"/>
          <w:szCs w:val="22"/>
        </w:rPr>
        <w:t>The anomaly detection service scores each incoming record and publishes an Alarm record to alarms.{satellite_id} if the Isolation Forest anomaly score exceeds the configured threshold.</w:t>
      </w:r>
    </w:p>
    <w:p w14:paraId="17B2F814">
      <w:pPr>
        <w:pStyle w:val="16"/>
        <w:numPr>
          <w:ilvl w:val="0"/>
          <w:numId w:val="1"/>
        </w:numPr>
        <w:spacing w:after="60"/>
      </w:pPr>
      <w:r>
        <w:rPr>
          <w:sz w:val="22"/>
          <w:szCs w:val="22"/>
        </w:rPr>
        <w:t>The Redis cache stores the latest telemetry record for each satellite with a 5-second TTL, enabling the dashboard to display current status at sub-second latency without querying TimescaleDB on every refresh.</w:t>
      </w:r>
    </w:p>
    <w:p w14:paraId="420DB353">
      <w:pPr>
        <w:pStyle w:val="16"/>
        <w:numPr>
          <w:ilvl w:val="0"/>
          <w:numId w:val="1"/>
        </w:numPr>
        <w:spacing w:after="60"/>
      </w:pPr>
      <w:r>
        <w:rPr>
          <w:sz w:val="22"/>
          <w:szCs w:val="22"/>
        </w:rPr>
        <w:t>The Streamlit dashboard auto-refreshes at the configured interval (default 2 seconds), calling GET /telemetry/{satellite_id}/latest for the live status row and GET /telemetry/{satellite_id}/summary for the trending charts.</w:t>
      </w:r>
    </w:p>
    <w:p w14:paraId="40DA13F7">
      <w:pPr>
        <w:spacing w:after="80"/>
      </w:pPr>
    </w:p>
    <w:p w14:paraId="5E843194">
      <w:pPr>
        <w:pStyle w:val="3"/>
        <w:spacing w:before="240" w:after="80"/>
      </w:pPr>
      <w:r>
        <w:t>8.2 Operator responsibilities in normal mode</w:t>
      </w:r>
    </w:p>
    <w:p w14:paraId="2AE94E05">
      <w:pPr>
        <w:spacing w:after="120"/>
        <w:jc w:val="both"/>
      </w:pPr>
      <w:r>
        <w:rPr>
          <w:sz w:val="22"/>
          <w:szCs w:val="22"/>
        </w:rPr>
        <w:t>In normal mode, operator responsibilities are primarily supervisory:</w:t>
      </w:r>
    </w:p>
    <w:p w14:paraId="1A9F11F8">
      <w:pPr>
        <w:pStyle w:val="16"/>
        <w:numPr>
          <w:ilvl w:val="0"/>
          <w:numId w:val="1"/>
        </w:numPr>
        <w:spacing w:after="60"/>
      </w:pPr>
      <w:r>
        <w:rPr>
          <w:sz w:val="22"/>
          <w:szCs w:val="22"/>
        </w:rPr>
        <w:t>Review the dashboard alarm panel at least once per contact window cycle (~95 minutes for Scenario 1) to confirm no unacknowledged alarms are present.</w:t>
      </w:r>
    </w:p>
    <w:p w14:paraId="41DEE127">
      <w:pPr>
        <w:pStyle w:val="16"/>
        <w:numPr>
          <w:ilvl w:val="0"/>
          <w:numId w:val="1"/>
        </w:numPr>
        <w:spacing w:after="60"/>
      </w:pPr>
      <w:r>
        <w:rPr>
          <w:sz w:val="22"/>
          <w:szCs w:val="22"/>
        </w:rPr>
        <w:t>Review the trending charts daily for gradual drift in key health indicators: battery state-of-charge trend over multiple orbits, thermal profile variation, CPU utilisation baseline.</w:t>
      </w:r>
    </w:p>
    <w:p w14:paraId="7CB82FDA">
      <w:pPr>
        <w:pStyle w:val="16"/>
        <w:numPr>
          <w:ilvl w:val="0"/>
          <w:numId w:val="1"/>
        </w:numPr>
        <w:spacing w:after="60"/>
      </w:pPr>
      <w:r>
        <w:rPr>
          <w:sz w:val="22"/>
          <w:szCs w:val="22"/>
        </w:rPr>
        <w:t>Review the upcoming contact schedule (Sprint 7) to confirm no scheduling conflicts require manual resolution.</w:t>
      </w:r>
    </w:p>
    <w:p w14:paraId="20C7E28F">
      <w:pPr>
        <w:pStyle w:val="16"/>
        <w:numPr>
          <w:ilvl w:val="0"/>
          <w:numId w:val="1"/>
        </w:numPr>
        <w:spacing w:after="60"/>
      </w:pPr>
      <w:r>
        <w:rPr>
          <w:sz w:val="22"/>
          <w:szCs w:val="22"/>
        </w:rPr>
        <w:t>Acknowledge and close resolved alarms — the alarm panel distinguishes between active, acknowledged, and resolved states.</w:t>
      </w:r>
    </w:p>
    <w:p w14:paraId="0D8EDE1D">
      <w:pPr>
        <w:spacing w:after="80"/>
      </w:pPr>
    </w:p>
    <w:p w14:paraId="4212C2E3">
      <w:pPr>
        <w:pStyle w:val="3"/>
        <w:spacing w:before="240" w:after="80"/>
      </w:pPr>
      <w:r>
        <w:t>8.3 Typical operational day timeline</w:t>
      </w:r>
    </w:p>
    <w:p w14:paraId="15FECC7E">
      <w:pPr>
        <w:spacing w:after="120"/>
        <w:jc w:val="both"/>
      </w:pPr>
      <w:r>
        <w:rPr>
          <w:sz w:val="22"/>
          <w:szCs w:val="22"/>
        </w:rPr>
        <w:t>The following timeline describes a typical operational day for Scenario 3 (24 satellites). Scenario 1 and 2 operations follow the same structure at reduced scale.</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1800"/>
        <w:gridCol w:w="7500"/>
      </w:tblGrid>
      <w:tr w14:paraId="550F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1800" w:type="dxa"/>
            <w:shd w:val="clear" w:color="auto" w:fill="D9E1F2"/>
            <w:tcMar>
              <w:top w:w="80" w:type="dxa"/>
              <w:left w:w="100" w:type="dxa"/>
              <w:bottom w:w="80" w:type="dxa"/>
              <w:right w:w="100" w:type="dxa"/>
            </w:tcMar>
          </w:tcPr>
          <w:p w14:paraId="651F0E18">
            <w:pPr>
              <w:spacing w:after="0"/>
              <w:jc w:val="center"/>
            </w:pPr>
            <w:r>
              <w:rPr>
                <w:b/>
                <w:bCs/>
                <w:color w:val="1F3864"/>
                <w:sz w:val="20"/>
                <w:szCs w:val="20"/>
              </w:rPr>
              <w:t>Time</w:t>
            </w:r>
          </w:p>
        </w:tc>
        <w:tc>
          <w:tcPr>
            <w:tcW w:w="7500" w:type="dxa"/>
            <w:shd w:val="clear" w:color="auto" w:fill="D9E1F2"/>
            <w:tcMar>
              <w:top w:w="80" w:type="dxa"/>
              <w:left w:w="100" w:type="dxa"/>
              <w:bottom w:w="80" w:type="dxa"/>
              <w:right w:w="100" w:type="dxa"/>
            </w:tcMar>
          </w:tcPr>
          <w:p w14:paraId="1598302E">
            <w:pPr>
              <w:spacing w:after="0"/>
              <w:jc w:val="center"/>
            </w:pPr>
            <w:r>
              <w:rPr>
                <w:b/>
                <w:bCs/>
                <w:color w:val="1F3864"/>
                <w:sz w:val="20"/>
                <w:szCs w:val="20"/>
              </w:rPr>
              <w:t>Activity</w:t>
            </w:r>
          </w:p>
        </w:tc>
      </w:tr>
      <w:tr w14:paraId="2887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1800" w:type="dxa"/>
            <w:shd w:val="clear" w:color="auto" w:fill="FFFFFF"/>
            <w:tcMar>
              <w:top w:w="60" w:type="dxa"/>
              <w:left w:w="100" w:type="dxa"/>
              <w:bottom w:w="60" w:type="dxa"/>
              <w:right w:w="100" w:type="dxa"/>
            </w:tcMar>
          </w:tcPr>
          <w:p w14:paraId="2EACDF6D">
            <w:pPr>
              <w:spacing w:after="0"/>
            </w:pPr>
            <w:r>
              <w:rPr>
                <w:b/>
                <w:bCs/>
                <w:sz w:val="20"/>
                <w:szCs w:val="20"/>
              </w:rPr>
              <w:t>00:00 UTC</w:t>
            </w:r>
          </w:p>
        </w:tc>
        <w:tc>
          <w:tcPr>
            <w:tcW w:w="7500" w:type="dxa"/>
            <w:shd w:val="clear" w:color="auto" w:fill="FFFFFF"/>
            <w:tcMar>
              <w:top w:w="60" w:type="dxa"/>
              <w:left w:w="100" w:type="dxa"/>
              <w:bottom w:w="60" w:type="dxa"/>
              <w:right w:w="100" w:type="dxa"/>
            </w:tcMar>
          </w:tcPr>
          <w:p w14:paraId="1BC88A9B">
            <w:pPr>
              <w:spacing w:after="0"/>
            </w:pPr>
            <w:r>
              <w:rPr>
                <w:sz w:val="20"/>
                <w:szCs w:val="20"/>
              </w:rPr>
              <w:t>Automated daily health summary generated: fleet-wide battery SoH trends, anomaly count for past 24 hours, contact schedule compliance rate</w:t>
            </w:r>
          </w:p>
        </w:tc>
      </w:tr>
      <w:tr w14:paraId="34207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1800" w:type="dxa"/>
            <w:shd w:val="clear" w:color="auto" w:fill="FFFFFF"/>
            <w:tcMar>
              <w:top w:w="60" w:type="dxa"/>
              <w:left w:w="100" w:type="dxa"/>
              <w:bottom w:w="60" w:type="dxa"/>
              <w:right w:w="100" w:type="dxa"/>
            </w:tcMar>
          </w:tcPr>
          <w:p w14:paraId="12A857AA">
            <w:pPr>
              <w:spacing w:after="0"/>
            </w:pPr>
            <w:r>
              <w:rPr>
                <w:b/>
                <w:bCs/>
                <w:sz w:val="20"/>
                <w:szCs w:val="20"/>
              </w:rPr>
              <w:t>Continuous</w:t>
            </w:r>
          </w:p>
        </w:tc>
        <w:tc>
          <w:tcPr>
            <w:tcW w:w="7500" w:type="dxa"/>
            <w:shd w:val="clear" w:color="auto" w:fill="FFFFFF"/>
            <w:tcMar>
              <w:top w:w="60" w:type="dxa"/>
              <w:left w:w="100" w:type="dxa"/>
              <w:bottom w:w="60" w:type="dxa"/>
              <w:right w:w="100" w:type="dxa"/>
            </w:tcMar>
          </w:tcPr>
          <w:p w14:paraId="7ACB2C36">
            <w:pPr>
              <w:spacing w:after="0"/>
            </w:pPr>
            <w:r>
              <w:rPr>
                <w:sz w:val="20"/>
                <w:szCs w:val="20"/>
              </w:rPr>
              <w:t>Telemetry ingestion, anomaly scoring, TimescaleDB writes, dashboard refresh — all automated, no operator action required unless an alarm fires</w:t>
            </w:r>
          </w:p>
        </w:tc>
      </w:tr>
      <w:tr w14:paraId="44ED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1800" w:type="dxa"/>
            <w:shd w:val="clear" w:color="auto" w:fill="FFFFFF"/>
            <w:tcMar>
              <w:top w:w="60" w:type="dxa"/>
              <w:left w:w="100" w:type="dxa"/>
              <w:bottom w:w="60" w:type="dxa"/>
              <w:right w:w="100" w:type="dxa"/>
            </w:tcMar>
          </w:tcPr>
          <w:p w14:paraId="3C28D762">
            <w:pPr>
              <w:spacing w:after="0"/>
            </w:pPr>
            <w:r>
              <w:rPr>
                <w:b/>
                <w:bCs/>
                <w:sz w:val="20"/>
                <w:szCs w:val="20"/>
              </w:rPr>
              <w:t>Per contact cycle (~95 min)</w:t>
            </w:r>
          </w:p>
        </w:tc>
        <w:tc>
          <w:tcPr>
            <w:tcW w:w="7500" w:type="dxa"/>
            <w:shd w:val="clear" w:color="auto" w:fill="FFFFFF"/>
            <w:tcMar>
              <w:top w:w="60" w:type="dxa"/>
              <w:left w:w="100" w:type="dxa"/>
              <w:bottom w:w="60" w:type="dxa"/>
              <w:right w:w="100" w:type="dxa"/>
            </w:tcMar>
          </w:tcPr>
          <w:p w14:paraId="6DFF084D">
            <w:pPr>
              <w:spacing w:after="0"/>
            </w:pPr>
            <w:r>
              <w:rPr>
                <w:sz w:val="20"/>
                <w:szCs w:val="20"/>
              </w:rPr>
              <w:t>One or more satellites complete a pass. Operator reviews the contact report: telemetry volume downlinked, commands uplinked and confirmed, any anomalies detected during the pass</w:t>
            </w:r>
          </w:p>
        </w:tc>
      </w:tr>
      <w:tr w14:paraId="42E5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1800" w:type="dxa"/>
            <w:shd w:val="clear" w:color="auto" w:fill="FFFFFF"/>
            <w:tcMar>
              <w:top w:w="60" w:type="dxa"/>
              <w:left w:w="100" w:type="dxa"/>
              <w:bottom w:w="60" w:type="dxa"/>
              <w:right w:w="100" w:type="dxa"/>
            </w:tcMar>
          </w:tcPr>
          <w:p w14:paraId="18B5BF12">
            <w:pPr>
              <w:spacing w:after="0"/>
            </w:pPr>
            <w:r>
              <w:rPr>
                <w:b/>
                <w:bCs/>
                <w:sz w:val="20"/>
                <w:szCs w:val="20"/>
              </w:rPr>
              <w:t>On alarm</w:t>
            </w:r>
          </w:p>
        </w:tc>
        <w:tc>
          <w:tcPr>
            <w:tcW w:w="7500" w:type="dxa"/>
            <w:shd w:val="clear" w:color="auto" w:fill="FFFFFF"/>
            <w:tcMar>
              <w:top w:w="60" w:type="dxa"/>
              <w:left w:w="100" w:type="dxa"/>
              <w:bottom w:w="60" w:type="dxa"/>
              <w:right w:w="100" w:type="dxa"/>
            </w:tcMar>
          </w:tcPr>
          <w:p w14:paraId="638223F2">
            <w:pPr>
              <w:spacing w:after="0"/>
            </w:pPr>
            <w:r>
              <w:rPr>
                <w:sz w:val="20"/>
                <w:szCs w:val="20"/>
              </w:rPr>
              <w:t>Operator notified via dashboard and (Sprint 7) PagerDuty integration. Reviews alarm detail — which satellite, which parameter, what value, what threshold, what the anomaly model's confidence is. Decides on response from the playbook in Section 9.</w:t>
            </w:r>
          </w:p>
        </w:tc>
      </w:tr>
      <w:tr w14:paraId="6F3EF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1800" w:type="dxa"/>
            <w:shd w:val="clear" w:color="auto" w:fill="FFFFFF"/>
            <w:tcMar>
              <w:top w:w="60" w:type="dxa"/>
              <w:left w:w="100" w:type="dxa"/>
              <w:bottom w:w="60" w:type="dxa"/>
              <w:right w:w="100" w:type="dxa"/>
            </w:tcMar>
          </w:tcPr>
          <w:p w14:paraId="3E406409">
            <w:pPr>
              <w:spacing w:after="0"/>
            </w:pPr>
            <w:r>
              <w:rPr>
                <w:b/>
                <w:bCs/>
                <w:sz w:val="20"/>
                <w:szCs w:val="20"/>
              </w:rPr>
              <w:t>Daily (planned)</w:t>
            </w:r>
          </w:p>
        </w:tc>
        <w:tc>
          <w:tcPr>
            <w:tcW w:w="7500" w:type="dxa"/>
            <w:shd w:val="clear" w:color="auto" w:fill="FFFFFF"/>
            <w:tcMar>
              <w:top w:w="60" w:type="dxa"/>
              <w:left w:w="100" w:type="dxa"/>
              <w:bottom w:w="60" w:type="dxa"/>
              <w:right w:w="100" w:type="dxa"/>
            </w:tcMar>
          </w:tcPr>
          <w:p w14:paraId="30866EA3">
            <w:pPr>
              <w:spacing w:after="0"/>
            </w:pPr>
            <w:r>
              <w:rPr>
                <w:sz w:val="20"/>
                <w:szCs w:val="20"/>
              </w:rPr>
              <w:t>Review 24-hour telemetry trends for each satellite. Check battery SoH trajectory. Review anomaly model performance metrics in MLflow. Confirm contact schedule for the next 24 hours.</w:t>
            </w:r>
          </w:p>
        </w:tc>
      </w:tr>
      <w:tr w14:paraId="674D6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1800" w:type="dxa"/>
            <w:shd w:val="clear" w:color="auto" w:fill="FFFFFF"/>
            <w:tcMar>
              <w:top w:w="60" w:type="dxa"/>
              <w:left w:w="100" w:type="dxa"/>
              <w:bottom w:w="60" w:type="dxa"/>
              <w:right w:w="100" w:type="dxa"/>
            </w:tcMar>
          </w:tcPr>
          <w:p w14:paraId="35D76809">
            <w:pPr>
              <w:spacing w:after="0"/>
            </w:pPr>
            <w:r>
              <w:rPr>
                <w:b/>
                <w:bCs/>
                <w:sz w:val="20"/>
                <w:szCs w:val="20"/>
              </w:rPr>
              <w:t>Weekly (planned)</w:t>
            </w:r>
          </w:p>
        </w:tc>
        <w:tc>
          <w:tcPr>
            <w:tcW w:w="7500" w:type="dxa"/>
            <w:shd w:val="clear" w:color="auto" w:fill="FFFFFF"/>
            <w:tcMar>
              <w:top w:w="60" w:type="dxa"/>
              <w:left w:w="100" w:type="dxa"/>
              <w:bottom w:w="60" w:type="dxa"/>
              <w:right w:w="100" w:type="dxa"/>
            </w:tcMar>
          </w:tcPr>
          <w:p w14:paraId="0A61087E">
            <w:pPr>
              <w:spacing w:after="0"/>
            </w:pPr>
            <w:r>
              <w:rPr>
                <w:sz w:val="20"/>
                <w:szCs w:val="20"/>
              </w:rPr>
              <w:t>Generate training data export for model retraining review. Compare current model performance against previous version. Promote improved model if metrics confirm improvement.</w:t>
            </w:r>
          </w:p>
        </w:tc>
      </w:tr>
    </w:tbl>
    <w:p w14:paraId="3CD65FF8">
      <w:r>
        <w:br w:type="page"/>
      </w:r>
    </w:p>
    <w:p w14:paraId="7F6B8A89">
      <w:pPr>
        <w:pStyle w:val="2"/>
        <w:spacing w:before="360" w:after="120"/>
      </w:pPr>
      <w:r>
        <w:t>9. Contact Window Operations</w:t>
      </w:r>
    </w:p>
    <w:p w14:paraId="7152321B">
      <w:pPr>
        <w:pStyle w:val="3"/>
        <w:spacing w:before="240" w:after="80"/>
      </w:pPr>
      <w:r>
        <w:t>9.1 Contact window lifecycle</w:t>
      </w:r>
    </w:p>
    <w:p w14:paraId="4DE9F39A">
      <w:pPr>
        <w:spacing w:after="120"/>
        <w:jc w:val="both"/>
      </w:pPr>
      <w:r>
        <w:rPr>
          <w:sz w:val="22"/>
          <w:szCs w:val="22"/>
        </w:rPr>
        <w:t>A contact window has four phases: pre-contact, AOS, active contact, and LOS. Each has specific operator and system responsibilities.</w:t>
      </w:r>
    </w:p>
    <w:p w14:paraId="31B5515C">
      <w:pPr>
        <w:pStyle w:val="4"/>
        <w:spacing w:before="160" w:after="60"/>
      </w:pPr>
      <w:r>
        <w:t>Pre-contact (T-minus planning phase)</w:t>
      </w:r>
    </w:p>
    <w:p w14:paraId="494216EF">
      <w:pPr>
        <w:spacing w:after="120"/>
        <w:jc w:val="both"/>
      </w:pPr>
      <w:r>
        <w:rPr>
          <w:sz w:val="22"/>
          <w:szCs w:val="22"/>
        </w:rPr>
        <w:t>Before a contact window begins, the ground station scheduler (Sprint 7) has already:</w:t>
      </w:r>
    </w:p>
    <w:p w14:paraId="1CCD7191">
      <w:pPr>
        <w:pStyle w:val="16"/>
        <w:numPr>
          <w:ilvl w:val="0"/>
          <w:numId w:val="2"/>
        </w:numPr>
        <w:spacing w:after="60"/>
      </w:pPr>
      <w:r>
        <w:rPr>
          <w:sz w:val="22"/>
          <w:szCs w:val="22"/>
        </w:rPr>
        <w:t>Computed the AOS and LOS times for the upcoming pass using the SGP4 orbit model and the ground station's geographic coordinates and minimum elevation angle.</w:t>
      </w:r>
    </w:p>
    <w:p w14:paraId="71EA2C51">
      <w:pPr>
        <w:pStyle w:val="16"/>
        <w:numPr>
          <w:ilvl w:val="0"/>
          <w:numId w:val="2"/>
        </w:numPr>
        <w:spacing w:after="60"/>
      </w:pPr>
      <w:r>
        <w:rPr>
          <w:sz w:val="22"/>
          <w:szCs w:val="22"/>
        </w:rPr>
        <w:t>Resolved any antenna scheduling conflicts where multiple satellites are simultaneously visible (Scenario 3 multi-plane constellation).</w:t>
      </w:r>
    </w:p>
    <w:p w14:paraId="02142A1B">
      <w:pPr>
        <w:pStyle w:val="16"/>
        <w:numPr>
          <w:ilvl w:val="0"/>
          <w:numId w:val="2"/>
        </w:numPr>
        <w:spacing w:after="60"/>
      </w:pPr>
      <w:r>
        <w:rPr>
          <w:sz w:val="22"/>
          <w:szCs w:val="22"/>
        </w:rPr>
        <w:t>Loaded the command queue for uplink — any commands approved by the operator for this satellite in this window are queued and ready.</w:t>
      </w:r>
    </w:p>
    <w:p w14:paraId="1A1A4DC5">
      <w:pPr>
        <w:pStyle w:val="16"/>
        <w:numPr>
          <w:ilvl w:val="0"/>
          <w:numId w:val="2"/>
        </w:numPr>
        <w:spacing w:after="60"/>
      </w:pPr>
      <w:r>
        <w:rPr>
          <w:sz w:val="22"/>
          <w:szCs w:val="22"/>
        </w:rPr>
        <w:t>Published the contact schedule to the passes.schedule Kafka topic, which the dashboard displays as a Gantt-style upcoming pass view.</w:t>
      </w:r>
    </w:p>
    <w:p w14:paraId="521E96B1">
      <w:pPr>
        <w:spacing w:after="80"/>
      </w:pPr>
    </w:p>
    <w:p w14:paraId="7CCD95AB">
      <w:pPr>
        <w:pStyle w:val="4"/>
        <w:spacing w:before="160" w:after="60"/>
      </w:pPr>
      <w:r>
        <w:t>AOS — Acquisition of Signal</w:t>
      </w:r>
    </w:p>
    <w:p w14:paraId="1105A3D0">
      <w:pPr>
        <w:spacing w:after="120"/>
        <w:jc w:val="both"/>
      </w:pPr>
      <w:r>
        <w:rPr>
          <w:sz w:val="22"/>
          <w:szCs w:val="22"/>
        </w:rPr>
        <w:t>At AOS, the satellite crosses above the minimum elevation angle of the ground station. The following automated actions occur within the first 30 seconds:</w:t>
      </w:r>
    </w:p>
    <w:p w14:paraId="462FCEF8">
      <w:pPr>
        <w:pStyle w:val="16"/>
        <w:numPr>
          <w:ilvl w:val="0"/>
          <w:numId w:val="1"/>
        </w:numPr>
        <w:spacing w:after="60"/>
      </w:pPr>
      <w:r>
        <w:rPr>
          <w:sz w:val="22"/>
          <w:szCs w:val="22"/>
        </w:rPr>
        <w:t>The contact state machine in the simulator transitions to in_contact = True.</w:t>
      </w:r>
    </w:p>
    <w:p w14:paraId="483859D4">
      <w:pPr>
        <w:pStyle w:val="16"/>
        <w:numPr>
          <w:ilvl w:val="0"/>
          <w:numId w:val="1"/>
        </w:numPr>
        <w:spacing w:after="60"/>
      </w:pPr>
      <w:r>
        <w:rPr>
          <w:sz w:val="22"/>
          <w:szCs w:val="22"/>
        </w:rPr>
        <w:t>Downlink rate activates (~120 Mbps for the simulated X-band link).</w:t>
      </w:r>
    </w:p>
    <w:p w14:paraId="3D316A5B">
      <w:pPr>
        <w:pStyle w:val="16"/>
        <w:numPr>
          <w:ilvl w:val="0"/>
          <w:numId w:val="1"/>
        </w:numPr>
        <w:spacing w:after="60"/>
      </w:pPr>
      <w:r>
        <w:rPr>
          <w:sz w:val="22"/>
          <w:szCs w:val="22"/>
        </w:rPr>
        <w:t>Uplink rate activates (~20 Mbps for command uplink).</w:t>
      </w:r>
    </w:p>
    <w:p w14:paraId="759A1437">
      <w:pPr>
        <w:pStyle w:val="16"/>
        <w:numPr>
          <w:ilvl w:val="0"/>
          <w:numId w:val="1"/>
        </w:numPr>
        <w:spacing w:after="60"/>
      </w:pPr>
      <w:r>
        <w:rPr>
          <w:sz w:val="22"/>
          <w:szCs w:val="22"/>
        </w:rPr>
        <w:t>CPU utilisation increases (the OBC is actively managing downlink encoding).</w:t>
      </w:r>
    </w:p>
    <w:p w14:paraId="6F2BB704">
      <w:pPr>
        <w:pStyle w:val="16"/>
        <w:numPr>
          <w:ilvl w:val="0"/>
          <w:numId w:val="1"/>
        </w:numPr>
        <w:spacing w:after="60"/>
      </w:pPr>
      <w:r>
        <w:rPr>
          <w:sz w:val="22"/>
          <w:szCs w:val="22"/>
        </w:rPr>
        <w:t>The dashboard contact indicator changes from NO to YES.</w:t>
      </w:r>
    </w:p>
    <w:p w14:paraId="15C9F3A4">
      <w:pPr>
        <w:pStyle w:val="16"/>
        <w:numPr>
          <w:ilvl w:val="0"/>
          <w:numId w:val="1"/>
        </w:numPr>
        <w:spacing w:after="60"/>
      </w:pPr>
      <w:r>
        <w:rPr>
          <w:sz w:val="22"/>
          <w:szCs w:val="22"/>
        </w:rPr>
        <w:t>The command uplink service begins transmitting the pre-loaded command queue.</w:t>
      </w:r>
    </w:p>
    <w:p w14:paraId="220CC780">
      <w:pPr>
        <w:spacing w:after="80"/>
      </w:pPr>
    </w:p>
    <w:p w14:paraId="251C4260">
      <w:pPr>
        <w:pStyle w:val="4"/>
        <w:spacing w:before="160" w:after="60"/>
      </w:pPr>
      <w:r>
        <w:t>Active contact</w:t>
      </w:r>
    </w:p>
    <w:p w14:paraId="3308539B">
      <w:pPr>
        <w:spacing w:after="120"/>
        <w:jc w:val="both"/>
      </w:pPr>
      <w:r>
        <w:rPr>
          <w:sz w:val="22"/>
          <w:szCs w:val="22"/>
        </w:rPr>
        <w:t>During the contact window (5–10 minutes for LEO scenarios; up to 8 hours for Molniya Scenario 4), the operator has a window in which to:</w:t>
      </w:r>
    </w:p>
    <w:p w14:paraId="42D6747E">
      <w:pPr>
        <w:pStyle w:val="16"/>
        <w:numPr>
          <w:ilvl w:val="0"/>
          <w:numId w:val="1"/>
        </w:numPr>
        <w:spacing w:after="60"/>
      </w:pPr>
      <w:r>
        <w:rPr>
          <w:sz w:val="22"/>
          <w:szCs w:val="22"/>
        </w:rPr>
        <w:t>Review the incoming telemetry in real time for any anomalies that emerged since the last contact.</w:t>
      </w:r>
    </w:p>
    <w:p w14:paraId="724CEECF">
      <w:pPr>
        <w:pStyle w:val="16"/>
        <w:numPr>
          <w:ilvl w:val="0"/>
          <w:numId w:val="1"/>
        </w:numPr>
        <w:spacing w:after="60"/>
      </w:pPr>
      <w:r>
        <w:rPr>
          <w:sz w:val="22"/>
          <w:szCs w:val="22"/>
        </w:rPr>
        <w:t>Monitor command uplink acknowledgements — each command sent receives a telemetry confirmation that it was executed on board.</w:t>
      </w:r>
    </w:p>
    <w:p w14:paraId="2ABAACE0">
      <w:pPr>
        <w:pStyle w:val="16"/>
        <w:numPr>
          <w:ilvl w:val="0"/>
          <w:numId w:val="1"/>
        </w:numPr>
        <w:spacing w:after="60"/>
      </w:pPr>
      <w:r>
        <w:rPr>
          <w:sz w:val="22"/>
          <w:szCs w:val="22"/>
        </w:rPr>
        <w:t>Issue additional commands if required (within the contact window, outside the pre-loaded queue).</w:t>
      </w:r>
    </w:p>
    <w:p w14:paraId="39E7D8C3">
      <w:pPr>
        <w:pStyle w:val="16"/>
        <w:numPr>
          <w:ilvl w:val="0"/>
          <w:numId w:val="1"/>
        </w:numPr>
        <w:spacing w:after="60"/>
      </w:pPr>
      <w:r>
        <w:rPr>
          <w:sz w:val="22"/>
          <w:szCs w:val="22"/>
        </w:rPr>
        <w:t>Monitor downlink data volume to confirm full payload data retrieval.</w:t>
      </w:r>
    </w:p>
    <w:p w14:paraId="79702FB9">
      <w:pPr>
        <w:spacing w:after="80"/>
      </w:pPr>
    </w:p>
    <w:p w14:paraId="62EF1626">
      <w:pPr>
        <w:pStyle w:val="4"/>
        <w:spacing w:before="160" w:after="60"/>
      </w:pPr>
      <w:r>
        <w:t>LOS — Loss of Signal</w:t>
      </w:r>
    </w:p>
    <w:p w14:paraId="34572CBE">
      <w:pPr>
        <w:spacing w:after="120"/>
        <w:jc w:val="both"/>
      </w:pPr>
      <w:r>
        <w:rPr>
          <w:sz w:val="22"/>
          <w:szCs w:val="22"/>
        </w:rPr>
        <w:t>At LOS, the satellite drops below the minimum elevation angle. The system automatically:</w:t>
      </w:r>
    </w:p>
    <w:p w14:paraId="0AFE4A90">
      <w:pPr>
        <w:pStyle w:val="16"/>
        <w:numPr>
          <w:ilvl w:val="0"/>
          <w:numId w:val="1"/>
        </w:numPr>
        <w:spacing w:after="60"/>
      </w:pPr>
      <w:r>
        <w:rPr>
          <w:sz w:val="22"/>
          <w:szCs w:val="22"/>
        </w:rPr>
        <w:t>Transitions in_contact = False.</w:t>
      </w:r>
    </w:p>
    <w:p w14:paraId="5DE247ED">
      <w:pPr>
        <w:pStyle w:val="16"/>
        <w:numPr>
          <w:ilvl w:val="0"/>
          <w:numId w:val="1"/>
        </w:numPr>
        <w:spacing w:after="60"/>
      </w:pPr>
      <w:r>
        <w:rPr>
          <w:sz w:val="22"/>
          <w:szCs w:val="22"/>
        </w:rPr>
        <w:t>Resets downlink and uplink rates to 0.</w:t>
      </w:r>
    </w:p>
    <w:p w14:paraId="55F5EF5E">
      <w:pPr>
        <w:pStyle w:val="16"/>
        <w:numPr>
          <w:ilvl w:val="0"/>
          <w:numId w:val="1"/>
        </w:numPr>
        <w:spacing w:after="60"/>
      </w:pPr>
      <w:r>
        <w:rPr>
          <w:sz w:val="22"/>
          <w:szCs w:val="22"/>
        </w:rPr>
        <w:t>Generates a post-pass contact report: commands sent, commands confirmed, telemetry records received, anomalies detected during the pass.</w:t>
      </w:r>
    </w:p>
    <w:p w14:paraId="42113BAE">
      <w:pPr>
        <w:pStyle w:val="16"/>
        <w:numPr>
          <w:ilvl w:val="0"/>
          <w:numId w:val="1"/>
        </w:numPr>
        <w:spacing w:after="60"/>
      </w:pPr>
      <w:r>
        <w:rPr>
          <w:sz w:val="22"/>
          <w:szCs w:val="22"/>
        </w:rPr>
        <w:t>Writes the contact event to the TimescaleDB events table for the mission log.</w:t>
      </w:r>
    </w:p>
    <w:p w14:paraId="4B918323">
      <w:pPr>
        <w:spacing w:after="80"/>
      </w:pPr>
    </w:p>
    <w:p w14:paraId="6ACC0DB4">
      <w:pPr>
        <w:pStyle w:val="3"/>
        <w:spacing w:before="240" w:after="80"/>
      </w:pPr>
      <w:r>
        <w:t>9.2 Command approval chain</w:t>
      </w:r>
    </w:p>
    <w:p w14:paraId="062B1157">
      <w:pPr>
        <w:spacing w:after="120"/>
        <w:jc w:val="both"/>
      </w:pPr>
      <w:r>
        <w:rPr>
          <w:sz w:val="22"/>
          <w:szCs w:val="22"/>
        </w:rPr>
        <w:t>Commands follow a four-stage approval chain designed to prevent unauthorised or accidental commanding:</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2000"/>
        <w:gridCol w:w="2500"/>
        <w:gridCol w:w="2500"/>
        <w:gridCol w:w="2300"/>
      </w:tblGrid>
      <w:tr w14:paraId="2F5E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D9E1F2"/>
            <w:tcMar>
              <w:top w:w="80" w:type="dxa"/>
              <w:left w:w="100" w:type="dxa"/>
              <w:bottom w:w="80" w:type="dxa"/>
              <w:right w:w="100" w:type="dxa"/>
            </w:tcMar>
          </w:tcPr>
          <w:p w14:paraId="6FFABD35">
            <w:pPr>
              <w:spacing w:after="0"/>
              <w:jc w:val="center"/>
            </w:pPr>
            <w:r>
              <w:rPr>
                <w:b/>
                <w:bCs/>
                <w:color w:val="1F3864"/>
                <w:sz w:val="20"/>
                <w:szCs w:val="20"/>
              </w:rPr>
              <w:t>Stage</w:t>
            </w:r>
          </w:p>
        </w:tc>
        <w:tc>
          <w:tcPr>
            <w:tcW w:w="2500" w:type="dxa"/>
            <w:shd w:val="clear" w:color="auto" w:fill="D9E1F2"/>
            <w:tcMar>
              <w:top w:w="80" w:type="dxa"/>
              <w:left w:w="100" w:type="dxa"/>
              <w:bottom w:w="80" w:type="dxa"/>
              <w:right w:w="100" w:type="dxa"/>
            </w:tcMar>
          </w:tcPr>
          <w:p w14:paraId="1A0AF5C1">
            <w:pPr>
              <w:spacing w:after="0"/>
              <w:jc w:val="center"/>
            </w:pPr>
            <w:r>
              <w:rPr>
                <w:b/>
                <w:bCs/>
                <w:color w:val="1F3864"/>
                <w:sz w:val="20"/>
                <w:szCs w:val="20"/>
              </w:rPr>
              <w:t>Actor</w:t>
            </w:r>
          </w:p>
        </w:tc>
        <w:tc>
          <w:tcPr>
            <w:tcW w:w="2500" w:type="dxa"/>
            <w:shd w:val="clear" w:color="auto" w:fill="D9E1F2"/>
            <w:tcMar>
              <w:top w:w="80" w:type="dxa"/>
              <w:left w:w="100" w:type="dxa"/>
              <w:bottom w:w="80" w:type="dxa"/>
              <w:right w:w="100" w:type="dxa"/>
            </w:tcMar>
          </w:tcPr>
          <w:p w14:paraId="080EE2F2">
            <w:pPr>
              <w:spacing w:after="0"/>
              <w:jc w:val="center"/>
            </w:pPr>
            <w:r>
              <w:rPr>
                <w:b/>
                <w:bCs/>
                <w:color w:val="1F3864"/>
                <w:sz w:val="20"/>
                <w:szCs w:val="20"/>
              </w:rPr>
              <w:t>Kafka topic</w:t>
            </w:r>
          </w:p>
        </w:tc>
        <w:tc>
          <w:tcPr>
            <w:tcW w:w="2300" w:type="dxa"/>
            <w:shd w:val="clear" w:color="auto" w:fill="D9E1F2"/>
            <w:tcMar>
              <w:top w:w="80" w:type="dxa"/>
              <w:left w:w="100" w:type="dxa"/>
              <w:bottom w:w="80" w:type="dxa"/>
              <w:right w:w="100" w:type="dxa"/>
            </w:tcMar>
          </w:tcPr>
          <w:p w14:paraId="5456FEC9">
            <w:pPr>
              <w:spacing w:after="0"/>
              <w:jc w:val="center"/>
            </w:pPr>
            <w:r>
              <w:rPr>
                <w:b/>
                <w:bCs/>
                <w:color w:val="1F3864"/>
                <w:sz w:val="20"/>
                <w:szCs w:val="20"/>
              </w:rPr>
              <w:t>Description</w:t>
            </w:r>
          </w:p>
        </w:tc>
      </w:tr>
      <w:tr w14:paraId="49EF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29DD639C">
            <w:pPr>
              <w:spacing w:after="0"/>
            </w:pPr>
            <w:r>
              <w:rPr>
                <w:b/>
                <w:bCs/>
                <w:sz w:val="20"/>
                <w:szCs w:val="20"/>
              </w:rPr>
              <w:t>Requested</w:t>
            </w:r>
          </w:p>
        </w:tc>
        <w:tc>
          <w:tcPr>
            <w:tcW w:w="2500" w:type="dxa"/>
            <w:shd w:val="clear" w:color="auto" w:fill="FFFFFF"/>
            <w:tcMar>
              <w:top w:w="60" w:type="dxa"/>
              <w:left w:w="100" w:type="dxa"/>
              <w:bottom w:w="60" w:type="dxa"/>
              <w:right w:w="100" w:type="dxa"/>
            </w:tcMar>
          </w:tcPr>
          <w:p w14:paraId="55A8544A">
            <w:pPr>
              <w:spacing w:after="0"/>
            </w:pPr>
            <w:r>
              <w:rPr>
                <w:sz w:val="20"/>
                <w:szCs w:val="20"/>
              </w:rPr>
              <w:t>Operator or automated system</w:t>
            </w:r>
          </w:p>
        </w:tc>
        <w:tc>
          <w:tcPr>
            <w:tcW w:w="2500" w:type="dxa"/>
            <w:shd w:val="clear" w:color="auto" w:fill="FFFFFF"/>
            <w:tcMar>
              <w:top w:w="60" w:type="dxa"/>
              <w:left w:w="100" w:type="dxa"/>
              <w:bottom w:w="60" w:type="dxa"/>
              <w:right w:w="100" w:type="dxa"/>
            </w:tcMar>
          </w:tcPr>
          <w:p w14:paraId="484BA179">
            <w:pPr>
              <w:spacing w:after="0"/>
            </w:pPr>
            <w:r>
              <w:rPr>
                <w:sz w:val="20"/>
                <w:szCs w:val="20"/>
              </w:rPr>
              <w:t>commands.{sat}.requested</w:t>
            </w:r>
          </w:p>
        </w:tc>
        <w:tc>
          <w:tcPr>
            <w:tcW w:w="2300" w:type="dxa"/>
            <w:shd w:val="clear" w:color="auto" w:fill="FFFFFF"/>
            <w:tcMar>
              <w:top w:w="60" w:type="dxa"/>
              <w:left w:w="100" w:type="dxa"/>
              <w:bottom w:w="60" w:type="dxa"/>
              <w:right w:w="100" w:type="dxa"/>
            </w:tcMar>
          </w:tcPr>
          <w:p w14:paraId="33FED693">
            <w:pPr>
              <w:spacing w:after="0"/>
            </w:pPr>
            <w:r>
              <w:rPr>
                <w:sz w:val="20"/>
                <w:szCs w:val="20"/>
              </w:rPr>
              <w:t>Command proposed with full parameters</w:t>
            </w:r>
          </w:p>
        </w:tc>
      </w:tr>
      <w:tr w14:paraId="70D2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2F73AC8E">
            <w:pPr>
              <w:spacing w:after="0"/>
            </w:pPr>
            <w:r>
              <w:rPr>
                <w:b/>
                <w:bCs/>
                <w:sz w:val="20"/>
                <w:szCs w:val="20"/>
              </w:rPr>
              <w:t>Validated</w:t>
            </w:r>
          </w:p>
        </w:tc>
        <w:tc>
          <w:tcPr>
            <w:tcW w:w="2500" w:type="dxa"/>
            <w:shd w:val="clear" w:color="auto" w:fill="FFFFFF"/>
            <w:tcMar>
              <w:top w:w="60" w:type="dxa"/>
              <w:left w:w="100" w:type="dxa"/>
              <w:bottom w:w="60" w:type="dxa"/>
              <w:right w:w="100" w:type="dxa"/>
            </w:tcMar>
          </w:tcPr>
          <w:p w14:paraId="5663EA31">
            <w:pPr>
              <w:spacing w:after="0"/>
            </w:pPr>
            <w:r>
              <w:rPr>
                <w:sz w:val="20"/>
                <w:szCs w:val="20"/>
              </w:rPr>
              <w:t>Validation service (automated)</w:t>
            </w:r>
          </w:p>
        </w:tc>
        <w:tc>
          <w:tcPr>
            <w:tcW w:w="2500" w:type="dxa"/>
            <w:shd w:val="clear" w:color="auto" w:fill="FFFFFF"/>
            <w:tcMar>
              <w:top w:w="60" w:type="dxa"/>
              <w:left w:w="100" w:type="dxa"/>
              <w:bottom w:w="60" w:type="dxa"/>
              <w:right w:w="100" w:type="dxa"/>
            </w:tcMar>
          </w:tcPr>
          <w:p w14:paraId="0754B4AE">
            <w:pPr>
              <w:spacing w:after="0"/>
            </w:pPr>
            <w:r>
              <w:rPr>
                <w:sz w:val="20"/>
                <w:szCs w:val="20"/>
              </w:rPr>
              <w:t>commands.{sat}.requested</w:t>
            </w:r>
          </w:p>
        </w:tc>
        <w:tc>
          <w:tcPr>
            <w:tcW w:w="2300" w:type="dxa"/>
            <w:shd w:val="clear" w:color="auto" w:fill="FFFFFF"/>
            <w:tcMar>
              <w:top w:w="60" w:type="dxa"/>
              <w:left w:w="100" w:type="dxa"/>
              <w:bottom w:w="60" w:type="dxa"/>
              <w:right w:w="100" w:type="dxa"/>
            </w:tcMar>
          </w:tcPr>
          <w:p w14:paraId="75E60C54">
            <w:pPr>
              <w:spacing w:after="0"/>
            </w:pPr>
            <w:r>
              <w:rPr>
                <w:sz w:val="20"/>
                <w:szCs w:val="20"/>
              </w:rPr>
              <w:t>Parameter ranges checked; conflicts with current satellite state checked</w:t>
            </w:r>
          </w:p>
        </w:tc>
      </w:tr>
      <w:tr w14:paraId="79FF1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06D5F9D3">
            <w:pPr>
              <w:spacing w:after="0"/>
            </w:pPr>
            <w:r>
              <w:rPr>
                <w:b/>
                <w:bCs/>
                <w:sz w:val="20"/>
                <w:szCs w:val="20"/>
              </w:rPr>
              <w:t>Approved</w:t>
            </w:r>
          </w:p>
        </w:tc>
        <w:tc>
          <w:tcPr>
            <w:tcW w:w="2500" w:type="dxa"/>
            <w:shd w:val="clear" w:color="auto" w:fill="FFFFFF"/>
            <w:tcMar>
              <w:top w:w="60" w:type="dxa"/>
              <w:left w:w="100" w:type="dxa"/>
              <w:bottom w:w="60" w:type="dxa"/>
              <w:right w:w="100" w:type="dxa"/>
            </w:tcMar>
          </w:tcPr>
          <w:p w14:paraId="7B226D8E">
            <w:pPr>
              <w:spacing w:after="0"/>
            </w:pPr>
            <w:r>
              <w:rPr>
                <w:sz w:val="20"/>
                <w:szCs w:val="20"/>
              </w:rPr>
              <w:t>Operator (human)</w:t>
            </w:r>
          </w:p>
        </w:tc>
        <w:tc>
          <w:tcPr>
            <w:tcW w:w="2500" w:type="dxa"/>
            <w:shd w:val="clear" w:color="auto" w:fill="FFFFFF"/>
            <w:tcMar>
              <w:top w:w="60" w:type="dxa"/>
              <w:left w:w="100" w:type="dxa"/>
              <w:bottom w:w="60" w:type="dxa"/>
              <w:right w:w="100" w:type="dxa"/>
            </w:tcMar>
          </w:tcPr>
          <w:p w14:paraId="66221F98">
            <w:pPr>
              <w:spacing w:after="0"/>
            </w:pPr>
            <w:r>
              <w:rPr>
                <w:sz w:val="20"/>
                <w:szCs w:val="20"/>
              </w:rPr>
              <w:t>commands.{sat}.approved</w:t>
            </w:r>
          </w:p>
        </w:tc>
        <w:tc>
          <w:tcPr>
            <w:tcW w:w="2300" w:type="dxa"/>
            <w:shd w:val="clear" w:color="auto" w:fill="FFFFFF"/>
            <w:tcMar>
              <w:top w:w="60" w:type="dxa"/>
              <w:left w:w="100" w:type="dxa"/>
              <w:bottom w:w="60" w:type="dxa"/>
              <w:right w:w="100" w:type="dxa"/>
            </w:tcMar>
          </w:tcPr>
          <w:p w14:paraId="6668F6B6">
            <w:pPr>
              <w:spacing w:after="0"/>
            </w:pPr>
            <w:r>
              <w:rPr>
                <w:sz w:val="20"/>
                <w:szCs w:val="20"/>
              </w:rPr>
              <w:t>Human confirms the command is appropriate; no automation can approve autonomously</w:t>
            </w:r>
          </w:p>
        </w:tc>
      </w:tr>
      <w:tr w14:paraId="7FE1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2000" w:type="dxa"/>
            <w:shd w:val="clear" w:color="auto" w:fill="FFFFFF"/>
            <w:tcMar>
              <w:top w:w="60" w:type="dxa"/>
              <w:left w:w="100" w:type="dxa"/>
              <w:bottom w:w="60" w:type="dxa"/>
              <w:right w:w="100" w:type="dxa"/>
            </w:tcMar>
          </w:tcPr>
          <w:p w14:paraId="4445C6C4">
            <w:pPr>
              <w:spacing w:after="0"/>
            </w:pPr>
            <w:r>
              <w:rPr>
                <w:b/>
                <w:bCs/>
                <w:sz w:val="20"/>
                <w:szCs w:val="20"/>
              </w:rPr>
              <w:t>Uplinked</w:t>
            </w:r>
          </w:p>
        </w:tc>
        <w:tc>
          <w:tcPr>
            <w:tcW w:w="2500" w:type="dxa"/>
            <w:shd w:val="clear" w:color="auto" w:fill="FFFFFF"/>
            <w:tcMar>
              <w:top w:w="60" w:type="dxa"/>
              <w:left w:w="100" w:type="dxa"/>
              <w:bottom w:w="60" w:type="dxa"/>
              <w:right w:w="100" w:type="dxa"/>
            </w:tcMar>
          </w:tcPr>
          <w:p w14:paraId="5BB4B8AA">
            <w:pPr>
              <w:spacing w:after="0"/>
            </w:pPr>
            <w:r>
              <w:rPr>
                <w:sz w:val="20"/>
                <w:szCs w:val="20"/>
              </w:rPr>
              <w:t>Uplink service (automated)</w:t>
            </w:r>
          </w:p>
        </w:tc>
        <w:tc>
          <w:tcPr>
            <w:tcW w:w="2500" w:type="dxa"/>
            <w:shd w:val="clear" w:color="auto" w:fill="FFFFFF"/>
            <w:tcMar>
              <w:top w:w="60" w:type="dxa"/>
              <w:left w:w="100" w:type="dxa"/>
              <w:bottom w:w="60" w:type="dxa"/>
              <w:right w:w="100" w:type="dxa"/>
            </w:tcMar>
          </w:tcPr>
          <w:p w14:paraId="2503FFC0">
            <w:pPr>
              <w:spacing w:after="0"/>
            </w:pPr>
            <w:r>
              <w:rPr>
                <w:sz w:val="20"/>
                <w:szCs w:val="20"/>
              </w:rPr>
              <w:t>commands.{sat}.uplinked</w:t>
            </w:r>
          </w:p>
        </w:tc>
        <w:tc>
          <w:tcPr>
            <w:tcW w:w="2300" w:type="dxa"/>
            <w:shd w:val="clear" w:color="auto" w:fill="FFFFFF"/>
            <w:tcMar>
              <w:top w:w="60" w:type="dxa"/>
              <w:left w:w="100" w:type="dxa"/>
              <w:bottom w:w="60" w:type="dxa"/>
              <w:right w:w="100" w:type="dxa"/>
            </w:tcMar>
          </w:tcPr>
          <w:p w14:paraId="5EC36562">
            <w:pPr>
              <w:spacing w:after="0"/>
            </w:pPr>
            <w:r>
              <w:rPr>
                <w:sz w:val="20"/>
                <w:szCs w:val="20"/>
              </w:rPr>
              <w:t>Command transmitted during next contact window; execution confirmation received</w:t>
            </w:r>
          </w:p>
        </w:tc>
      </w:tr>
    </w:tbl>
    <w:p w14:paraId="0CF06C86">
      <w:pPr>
        <w:spacing w:after="80"/>
      </w:pPr>
    </w:p>
    <w:p w14:paraId="1DF648CA">
      <w:pPr>
        <w:spacing w:after="120"/>
        <w:jc w:val="both"/>
      </w:pPr>
      <w:r>
        <w:rPr>
          <w:sz w:val="22"/>
          <w:szCs w:val="22"/>
        </w:rPr>
        <w:t>The separation between validated and approved is deliberate. Validation checks that the command parameters are within bounds and do not conflict with the satellite's current state. Approval is the human decision that the command is the right operational response to the current situation. These are different judgements and both are required.</w:t>
      </w:r>
    </w:p>
    <w:p w14:paraId="4BF71469">
      <w:r>
        <w:br w:type="page"/>
      </w:r>
    </w:p>
    <w:p w14:paraId="652528B2">
      <w:pPr>
        <w:pStyle w:val="2"/>
        <w:spacing w:before="360" w:after="120"/>
      </w:pPr>
      <w:r>
        <w:t>10. Anomaly Detection and Response</w:t>
      </w:r>
    </w:p>
    <w:p w14:paraId="582C8CA0">
      <w:pPr>
        <w:pStyle w:val="3"/>
        <w:spacing w:before="240" w:after="80"/>
      </w:pPr>
      <w:r>
        <w:t>10.1 How anomalies are detected</w:t>
      </w:r>
    </w:p>
    <w:p w14:paraId="5F7B1FDD">
      <w:pPr>
        <w:spacing w:after="120"/>
        <w:jc w:val="both"/>
      </w:pPr>
      <w:r>
        <w:rPr>
          <w:sz w:val="22"/>
          <w:szCs w:val="22"/>
        </w:rPr>
        <w:t>The anomaly detection service (Sprint 5) consumes the telemetry.{satellite_id} Kafka topic and applies an Isolation Forest model trained on normal telemetry for the satellite's orbit type. The Isolation Forest learns the joint distribution of normal telemetry — not just individual thresholds, but the correlations between fields. A satellite whose battery is declining during a sunlight pass (when the model expects charging) is anomalous even if the battery value itself has not crossed a hard threshold. This is the operational value of the approach: catching degradation trends before alarm thresholds fire.</w:t>
      </w:r>
    </w:p>
    <w:p w14:paraId="751EB3FD">
      <w:pPr>
        <w:spacing w:after="120"/>
        <w:jc w:val="both"/>
      </w:pPr>
      <w:r>
        <w:rPr>
          <w:sz w:val="22"/>
          <w:szCs w:val="22"/>
        </w:rPr>
        <w:t>The model scores each incoming record and publishes an Alarm record to alarms.{satellite_id} when the anomaly score exceeds the configured threshold. The Alarm record includes the satellite ID, timestamp, which parameter triggered the detection, the observed value, the expected range from the model, and a severity classification.</w:t>
      </w:r>
    </w:p>
    <w:p w14:paraId="4DCD5FD7">
      <w:pPr>
        <w:pStyle w:val="3"/>
        <w:spacing w:before="240" w:after="80"/>
      </w:pPr>
      <w:r>
        <w:t>10.2 Alarm severity levels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1800"/>
        <w:gridCol w:w="4500"/>
        <w:gridCol w:w="3000"/>
      </w:tblGrid>
      <w:tr w14:paraId="0A226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1800" w:type="dxa"/>
            <w:shd w:val="clear" w:color="auto" w:fill="D9E1F2"/>
            <w:tcMar>
              <w:top w:w="80" w:type="dxa"/>
              <w:left w:w="100" w:type="dxa"/>
              <w:bottom w:w="80" w:type="dxa"/>
              <w:right w:w="100" w:type="dxa"/>
            </w:tcMar>
          </w:tcPr>
          <w:p w14:paraId="132531C8">
            <w:pPr>
              <w:spacing w:after="0"/>
              <w:jc w:val="center"/>
            </w:pPr>
            <w:r>
              <w:rPr>
                <w:b/>
                <w:bCs/>
                <w:color w:val="1F3864"/>
                <w:sz w:val="20"/>
                <w:szCs w:val="20"/>
              </w:rPr>
              <w:t>Severity</w:t>
            </w:r>
          </w:p>
        </w:tc>
        <w:tc>
          <w:tcPr>
            <w:tcW w:w="4500" w:type="dxa"/>
            <w:shd w:val="clear" w:color="auto" w:fill="D9E1F2"/>
            <w:tcMar>
              <w:top w:w="80" w:type="dxa"/>
              <w:left w:w="100" w:type="dxa"/>
              <w:bottom w:w="80" w:type="dxa"/>
              <w:right w:w="100" w:type="dxa"/>
            </w:tcMar>
          </w:tcPr>
          <w:p w14:paraId="48E49B97">
            <w:pPr>
              <w:spacing w:after="0"/>
              <w:jc w:val="center"/>
            </w:pPr>
            <w:r>
              <w:rPr>
                <w:b/>
                <w:bCs/>
                <w:color w:val="1F3864"/>
                <w:sz w:val="20"/>
                <w:szCs w:val="20"/>
              </w:rPr>
              <w:t>Meaning</w:t>
            </w:r>
          </w:p>
        </w:tc>
        <w:tc>
          <w:tcPr>
            <w:tcW w:w="3000" w:type="dxa"/>
            <w:shd w:val="clear" w:color="auto" w:fill="D9E1F2"/>
            <w:tcMar>
              <w:top w:w="80" w:type="dxa"/>
              <w:left w:w="100" w:type="dxa"/>
              <w:bottom w:w="80" w:type="dxa"/>
              <w:right w:w="100" w:type="dxa"/>
            </w:tcMar>
          </w:tcPr>
          <w:p w14:paraId="11650468">
            <w:pPr>
              <w:spacing w:after="0"/>
              <w:jc w:val="center"/>
            </w:pPr>
            <w:r>
              <w:rPr>
                <w:b/>
                <w:bCs/>
                <w:color w:val="1F3864"/>
                <w:sz w:val="20"/>
                <w:szCs w:val="20"/>
              </w:rPr>
              <w:t>Required response</w:t>
            </w:r>
          </w:p>
        </w:tc>
      </w:tr>
      <w:tr w14:paraId="5C8C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1800" w:type="dxa"/>
            <w:shd w:val="clear" w:color="auto" w:fill="FFFFFF"/>
            <w:tcMar>
              <w:top w:w="60" w:type="dxa"/>
              <w:left w:w="100" w:type="dxa"/>
              <w:bottom w:w="60" w:type="dxa"/>
              <w:right w:w="100" w:type="dxa"/>
            </w:tcMar>
          </w:tcPr>
          <w:p w14:paraId="12B0CB66">
            <w:pPr>
              <w:spacing w:after="0"/>
            </w:pPr>
            <w:r>
              <w:rPr>
                <w:b/>
                <w:bCs/>
                <w:sz w:val="20"/>
                <w:szCs w:val="20"/>
              </w:rPr>
              <w:t>INFO</w:t>
            </w:r>
          </w:p>
        </w:tc>
        <w:tc>
          <w:tcPr>
            <w:tcW w:w="4500" w:type="dxa"/>
            <w:shd w:val="clear" w:color="auto" w:fill="FFFFFF"/>
            <w:tcMar>
              <w:top w:w="60" w:type="dxa"/>
              <w:left w:w="100" w:type="dxa"/>
              <w:bottom w:w="60" w:type="dxa"/>
              <w:right w:w="100" w:type="dxa"/>
            </w:tcMar>
          </w:tcPr>
          <w:p w14:paraId="6CC94701">
            <w:pPr>
              <w:spacing w:after="0"/>
            </w:pPr>
            <w:r>
              <w:rPr>
                <w:sz w:val="20"/>
                <w:szCs w:val="20"/>
              </w:rPr>
              <w:t>Statistically unusual but within physically plausible bounds. Model confidence is moderate. May be a transient or a sensor artefact.</w:t>
            </w:r>
          </w:p>
        </w:tc>
        <w:tc>
          <w:tcPr>
            <w:tcW w:w="3000" w:type="dxa"/>
            <w:shd w:val="clear" w:color="auto" w:fill="FFFFFF"/>
            <w:tcMar>
              <w:top w:w="60" w:type="dxa"/>
              <w:left w:w="100" w:type="dxa"/>
              <w:bottom w:w="60" w:type="dxa"/>
              <w:right w:w="100" w:type="dxa"/>
            </w:tcMar>
          </w:tcPr>
          <w:p w14:paraId="2FD24EAD">
            <w:pPr>
              <w:spacing w:after="0"/>
            </w:pPr>
            <w:r>
              <w:rPr>
                <w:sz w:val="20"/>
                <w:szCs w:val="20"/>
              </w:rPr>
              <w:t>Note in the mission log. Monitor over the next two contact windows. No immediate action required.</w:t>
            </w:r>
          </w:p>
        </w:tc>
      </w:tr>
      <w:tr w14:paraId="2C717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1800" w:type="dxa"/>
            <w:shd w:val="clear" w:color="auto" w:fill="FFFFFF"/>
            <w:tcMar>
              <w:top w:w="60" w:type="dxa"/>
              <w:left w:w="100" w:type="dxa"/>
              <w:bottom w:w="60" w:type="dxa"/>
              <w:right w:w="100" w:type="dxa"/>
            </w:tcMar>
          </w:tcPr>
          <w:p w14:paraId="69370B2E">
            <w:pPr>
              <w:spacing w:after="0"/>
            </w:pPr>
            <w:r>
              <w:rPr>
                <w:b/>
                <w:bCs/>
                <w:sz w:val="20"/>
                <w:szCs w:val="20"/>
              </w:rPr>
              <w:t>WARNING</w:t>
            </w:r>
          </w:p>
        </w:tc>
        <w:tc>
          <w:tcPr>
            <w:tcW w:w="4500" w:type="dxa"/>
            <w:shd w:val="clear" w:color="auto" w:fill="FFFFFF"/>
            <w:tcMar>
              <w:top w:w="60" w:type="dxa"/>
              <w:left w:w="100" w:type="dxa"/>
              <w:bottom w:w="60" w:type="dxa"/>
              <w:right w:w="100" w:type="dxa"/>
            </w:tcMar>
          </w:tcPr>
          <w:p w14:paraId="40E81893">
            <w:pPr>
              <w:spacing w:after="0"/>
            </w:pPr>
            <w:r>
              <w:rPr>
                <w:sz w:val="20"/>
                <w:szCs w:val="20"/>
              </w:rPr>
              <w:t>Clear deviation from normal pattern. Model confidence is high. Consistent with early-stage degradation of a subsystem.</w:t>
            </w:r>
          </w:p>
        </w:tc>
        <w:tc>
          <w:tcPr>
            <w:tcW w:w="3000" w:type="dxa"/>
            <w:shd w:val="clear" w:color="auto" w:fill="FFFFFF"/>
            <w:tcMar>
              <w:top w:w="60" w:type="dxa"/>
              <w:left w:w="100" w:type="dxa"/>
              <w:bottom w:w="60" w:type="dxa"/>
              <w:right w:w="100" w:type="dxa"/>
            </w:tcMar>
          </w:tcPr>
          <w:p w14:paraId="7BAE9FE4">
            <w:pPr>
              <w:spacing w:after="0"/>
            </w:pPr>
            <w:r>
              <w:rPr>
                <w:sz w:val="20"/>
                <w:szCs w:val="20"/>
              </w:rPr>
              <w:t>Operator review within one contact window. Prepare a diagnostic command sequence for the next pass. Notify the system administrator.</w:t>
            </w:r>
          </w:p>
        </w:tc>
      </w:tr>
      <w:tr w14:paraId="42C39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1800" w:type="dxa"/>
            <w:shd w:val="clear" w:color="auto" w:fill="FFFFFF"/>
            <w:tcMar>
              <w:top w:w="60" w:type="dxa"/>
              <w:left w:w="100" w:type="dxa"/>
              <w:bottom w:w="60" w:type="dxa"/>
              <w:right w:w="100" w:type="dxa"/>
            </w:tcMar>
          </w:tcPr>
          <w:p w14:paraId="6E56289A">
            <w:pPr>
              <w:spacing w:after="0"/>
            </w:pPr>
            <w:r>
              <w:rPr>
                <w:b/>
                <w:bCs/>
                <w:sz w:val="20"/>
                <w:szCs w:val="20"/>
              </w:rPr>
              <w:t>CRITICAL</w:t>
            </w:r>
          </w:p>
        </w:tc>
        <w:tc>
          <w:tcPr>
            <w:tcW w:w="4500" w:type="dxa"/>
            <w:shd w:val="clear" w:color="auto" w:fill="FFFFFF"/>
            <w:tcMar>
              <w:top w:w="60" w:type="dxa"/>
              <w:left w:w="100" w:type="dxa"/>
              <w:bottom w:w="60" w:type="dxa"/>
              <w:right w:w="100" w:type="dxa"/>
            </w:tcMar>
          </w:tcPr>
          <w:p w14:paraId="57277B4F">
            <w:pPr>
              <w:spacing w:after="0"/>
            </w:pPr>
            <w:r>
              <w:rPr>
                <w:sz w:val="20"/>
                <w:szCs w:val="20"/>
              </w:rPr>
              <w:t>Severe deviation. The observed telemetry pattern is consistent with imminent subsystem failure or safe-mode trigger conditions.</w:t>
            </w:r>
          </w:p>
        </w:tc>
        <w:tc>
          <w:tcPr>
            <w:tcW w:w="3000" w:type="dxa"/>
            <w:shd w:val="clear" w:color="auto" w:fill="FFFFFF"/>
            <w:tcMar>
              <w:top w:w="60" w:type="dxa"/>
              <w:left w:w="100" w:type="dxa"/>
              <w:bottom w:w="60" w:type="dxa"/>
              <w:right w:w="100" w:type="dxa"/>
            </w:tcMar>
          </w:tcPr>
          <w:p w14:paraId="5522E446">
            <w:pPr>
              <w:spacing w:after="0"/>
            </w:pPr>
            <w:r>
              <w:rPr>
                <w:sz w:val="20"/>
                <w:szCs w:val="20"/>
              </w:rPr>
              <w:t>Immediate operator action. Initiate the appropriate emergency procedure. Consider safe-mode commanding in the next available contact window.</w:t>
            </w:r>
          </w:p>
        </w:tc>
      </w:tr>
    </w:tbl>
    <w:p w14:paraId="425AF52C">
      <w:pPr>
        <w:spacing w:after="80"/>
      </w:pPr>
    </w:p>
    <w:p w14:paraId="6D963D14">
      <w:pPr>
        <w:pStyle w:val="3"/>
        <w:spacing w:before="240" w:after="80"/>
      </w:pPr>
      <w:r>
        <w:t>10.3 Response procedures by subsystem</w:t>
      </w:r>
    </w:p>
    <w:p w14:paraId="2C76D649">
      <w:pPr>
        <w:pStyle w:val="4"/>
        <w:spacing w:before="160" w:after="60"/>
      </w:pPr>
      <w:r>
        <w:t>Battery anomaly response</w:t>
      </w:r>
    </w:p>
    <w:p w14:paraId="39AE75F9">
      <w:pPr>
        <w:spacing w:after="120"/>
        <w:jc w:val="both"/>
      </w:pPr>
      <w:r>
        <w:rPr>
          <w:sz w:val="22"/>
          <w:szCs w:val="22"/>
        </w:rPr>
        <w:t>If the battery SoC is declining during sunlight passes (model expects charging), the response sequence is:</w:t>
      </w:r>
    </w:p>
    <w:p w14:paraId="32188F14">
      <w:pPr>
        <w:pStyle w:val="16"/>
        <w:numPr>
          <w:ilvl w:val="0"/>
          <w:numId w:val="2"/>
        </w:numPr>
        <w:spacing w:after="60"/>
      </w:pPr>
      <w:r>
        <w:rPr>
          <w:sz w:val="22"/>
          <w:szCs w:val="22"/>
        </w:rPr>
        <w:t>Verify the in_eclipse flag in the current telemetry record. If in_eclipse = True, the discharge is expected — check if the alarm timing is consistent with eclipse entry.</w:t>
      </w:r>
    </w:p>
    <w:p w14:paraId="7D1BACAF">
      <w:pPr>
        <w:pStyle w:val="16"/>
        <w:numPr>
          <w:ilvl w:val="0"/>
          <w:numId w:val="2"/>
        </w:numPr>
        <w:spacing w:after="60"/>
      </w:pPr>
      <w:r>
        <w:rPr>
          <w:sz w:val="22"/>
          <w:szCs w:val="22"/>
        </w:rPr>
        <w:t>Review the last 10 orbits of battery telemetry in the dashboard trending chart. Is the discharge rate accelerating? Is the minimum SoC per orbit getting lower cycle by cycle?</w:t>
      </w:r>
    </w:p>
    <w:p w14:paraId="1018FCDD">
      <w:pPr>
        <w:pStyle w:val="16"/>
        <w:numPr>
          <w:ilvl w:val="0"/>
          <w:numId w:val="2"/>
        </w:numPr>
        <w:spacing w:after="60"/>
      </w:pPr>
      <w:r>
        <w:rPr>
          <w:sz w:val="22"/>
          <w:szCs w:val="22"/>
        </w:rPr>
        <w:t>If the trend is confirmed, prepare a power budget review command for the next contact window: request the OBC to report individual subsystem power consumption.</w:t>
      </w:r>
    </w:p>
    <w:p w14:paraId="7F136A73">
      <w:pPr>
        <w:pStyle w:val="16"/>
        <w:numPr>
          <w:ilvl w:val="0"/>
          <w:numId w:val="2"/>
        </w:numPr>
        <w:spacing w:after="60"/>
      </w:pPr>
      <w:r>
        <w:rPr>
          <w:sz w:val="22"/>
          <w:szCs w:val="22"/>
        </w:rPr>
        <w:t>If SoC drops below the safe-mode threshold (typically 15–20%), the OBC autonomously transitions to safe mode. All operator actions at this point focus on recovery: confirm safe mode entry in the telemetry, suspend all non-essential payload operations, prioritise contact windows for recovery commanding.</w:t>
      </w:r>
    </w:p>
    <w:p w14:paraId="447C7F7D">
      <w:pPr>
        <w:spacing w:after="80"/>
      </w:pPr>
    </w:p>
    <w:p w14:paraId="67969B6B">
      <w:pPr>
        <w:pStyle w:val="4"/>
        <w:spacing w:before="160" w:after="60"/>
      </w:pPr>
      <w:r>
        <w:t>Thermal anomaly response</w:t>
      </w:r>
    </w:p>
    <w:p w14:paraId="7262DF86">
      <w:pPr>
        <w:spacing w:after="120"/>
        <w:jc w:val="both"/>
      </w:pPr>
      <w:r>
        <w:rPr>
          <w:sz w:val="22"/>
          <w:szCs w:val="22"/>
        </w:rPr>
        <w:t>If the spacecraft temperature is outside the expected range for the current eclipse state:</w:t>
      </w:r>
    </w:p>
    <w:p w14:paraId="5E5DFBC9">
      <w:pPr>
        <w:pStyle w:val="16"/>
        <w:numPr>
          <w:ilvl w:val="0"/>
          <w:numId w:val="2"/>
        </w:numPr>
        <w:spacing w:after="60"/>
      </w:pPr>
      <w:r>
        <w:rPr>
          <w:sz w:val="22"/>
          <w:szCs w:val="22"/>
        </w:rPr>
        <w:t>Confirm whether the satellite is in eclipse or sunlight using the in_eclipse flag.</w:t>
      </w:r>
    </w:p>
    <w:p w14:paraId="630A1E7A">
      <w:pPr>
        <w:pStyle w:val="16"/>
        <w:numPr>
          <w:ilvl w:val="0"/>
          <w:numId w:val="2"/>
        </w:numPr>
        <w:spacing w:after="60"/>
      </w:pPr>
      <w:r>
        <w:rPr>
          <w:sz w:val="22"/>
          <w:szCs w:val="22"/>
        </w:rPr>
        <w:t>Compare the observed temperature against the expected range for this orbital phase (eclipse: −20°C equilibrium target; sunlight: +35°C equilibrium target).</w:t>
      </w:r>
    </w:p>
    <w:p w14:paraId="3D8FEDBE">
      <w:pPr>
        <w:pStyle w:val="16"/>
        <w:numPr>
          <w:ilvl w:val="0"/>
          <w:numId w:val="2"/>
        </w:numPr>
        <w:spacing w:after="60"/>
      </w:pPr>
      <w:r>
        <w:rPr>
          <w:sz w:val="22"/>
          <w:szCs w:val="22"/>
        </w:rPr>
        <w:t>If temperature is rising above the sunlight equilibrium: check solar panel orientation telemetry (if available). Check if a payload instrument is unexpectedly powered on.</w:t>
      </w:r>
    </w:p>
    <w:p w14:paraId="5775D09B">
      <w:pPr>
        <w:pStyle w:val="16"/>
        <w:numPr>
          <w:ilvl w:val="0"/>
          <w:numId w:val="2"/>
        </w:numPr>
        <w:spacing w:after="60"/>
      </w:pPr>
      <w:r>
        <w:rPr>
          <w:sz w:val="22"/>
          <w:szCs w:val="22"/>
        </w:rPr>
        <w:t>If temperature is failing to recover from eclipse (staying below −10°C in sunlight): check heater status. Consider commanding heater activation in the next contact window.</w:t>
      </w:r>
    </w:p>
    <w:p w14:paraId="0C4D10D1">
      <w:pPr>
        <w:spacing w:after="80"/>
      </w:pPr>
    </w:p>
    <w:p w14:paraId="7EB474B7">
      <w:pPr>
        <w:pStyle w:val="4"/>
        <w:spacing w:before="160" w:after="60"/>
      </w:pPr>
      <w:r>
        <w:t>Communication anomaly response</w:t>
      </w:r>
    </w:p>
    <w:p w14:paraId="1908277A">
      <w:pPr>
        <w:spacing w:after="120"/>
        <w:jc w:val="both"/>
      </w:pPr>
      <w:r>
        <w:rPr>
          <w:sz w:val="22"/>
          <w:szCs w:val="22"/>
        </w:rPr>
        <w:t>If downlink or uplink rates are anomalous during a contact window:</w:t>
      </w:r>
    </w:p>
    <w:p w14:paraId="55FFC991">
      <w:pPr>
        <w:pStyle w:val="16"/>
        <w:numPr>
          <w:ilvl w:val="0"/>
          <w:numId w:val="2"/>
        </w:numPr>
        <w:spacing w:after="60"/>
      </w:pPr>
      <w:r>
        <w:rPr>
          <w:sz w:val="22"/>
          <w:szCs w:val="22"/>
        </w:rPr>
        <w:t>Verify contact window timing — confirm AOS was correctly acquired. Check if the pass is within the minimum elevation angle window.</w:t>
      </w:r>
    </w:p>
    <w:p w14:paraId="50118B9A">
      <w:pPr>
        <w:pStyle w:val="16"/>
        <w:numPr>
          <w:ilvl w:val="0"/>
          <w:numId w:val="2"/>
        </w:numPr>
        <w:spacing w:after="60"/>
      </w:pPr>
      <w:r>
        <w:rPr>
          <w:sz w:val="22"/>
          <w:szCs w:val="22"/>
        </w:rPr>
        <w:t>Check RF link budget parameters if available (Eb/N0, bit error rate).</w:t>
      </w:r>
    </w:p>
    <w:p w14:paraId="12057015">
      <w:pPr>
        <w:pStyle w:val="16"/>
        <w:numPr>
          <w:ilvl w:val="0"/>
          <w:numId w:val="2"/>
        </w:numPr>
        <w:spacing w:after="60"/>
      </w:pPr>
      <w:r>
        <w:rPr>
          <w:sz w:val="22"/>
          <w:szCs w:val="22"/>
        </w:rPr>
        <w:t>If the link quality is degraded: check for interference, verify antenna pointing, consider requesting a contact at a different ground station for cross-check.</w:t>
      </w:r>
    </w:p>
    <w:p w14:paraId="617C4719">
      <w:pPr>
        <w:spacing w:after="80"/>
      </w:pPr>
    </w:p>
    <w:p w14:paraId="492872A3">
      <w:r>
        <w:br w:type="page"/>
      </w:r>
    </w:p>
    <w:p w14:paraId="37E14EBE">
      <w:pPr>
        <w:pStyle w:val="2"/>
        <w:spacing w:before="360" w:after="120"/>
      </w:pPr>
      <w:r>
        <w:t>11. PhD Research Operations</w:t>
      </w:r>
    </w:p>
    <w:p w14:paraId="71769408">
      <w:pPr>
        <w:spacing w:after="120"/>
        <w:jc w:val="both"/>
      </w:pPr>
      <w:r>
        <w:rPr>
          <w:sz w:val="22"/>
          <w:szCs w:val="22"/>
        </w:rPr>
        <w:t>ILMOP serves as the operational ground segment for a PhD research programme on OFDM waveform design for Integrated Satellite Communication, Navigation, and Remote Sensing (ISAC). The platform provides orbital truth, coverage geometry, and data pipelines that the waveform demonstrations depend on. Three distinct research operational modes map to three specific constellation scenarios.</w:t>
      </w:r>
    </w:p>
    <w:p w14:paraId="75AB13FC">
      <w:pPr>
        <w:pStyle w:val="3"/>
        <w:spacing w:before="240" w:after="80"/>
      </w:pPr>
      <w:r>
        <w:t>11.1 Communication demonstration (any scenario)</w:t>
      </w:r>
    </w:p>
    <w:p w14:paraId="4586E114">
      <w:pPr>
        <w:spacing w:after="120"/>
        <w:jc w:val="both"/>
      </w:pPr>
      <w:r>
        <w:rPr>
          <w:sz w:val="22"/>
          <w:szCs w:val="22"/>
        </w:rPr>
        <w:t>The communication demonstration — over-the-air transmission, reception, and decoding of text and image signals — does not require specific constellation geometry. It is conducted as a point-to-point link between the OFDM transmitter and receiver and does not depend on multi-satellite visibility. Any ILMOP scenario provides appropriate operational context.</w:t>
      </w:r>
    </w:p>
    <w:p w14:paraId="57EDBA8F">
      <w:pPr>
        <w:spacing w:after="120"/>
        <w:jc w:val="both"/>
      </w:pPr>
      <w:r>
        <w:rPr>
          <w:sz w:val="22"/>
          <w:szCs w:val="22"/>
        </w:rPr>
        <w:t>The platform's role in the communication demonstration is supporting: confirming the satellite is in a contact window (in_contact = True in the telemetry), logging the link quality parameters (downlink and uplink rates), and providing the mission operations context in which the demonstration occurs.</w:t>
      </w:r>
    </w:p>
    <w:p w14:paraId="51118C5E">
      <w:pPr>
        <w:pStyle w:val="3"/>
        <w:spacing w:before="240" w:after="80"/>
      </w:pPr>
      <w:r>
        <w:t>11.2 Navigation demonstration (Scenario 2)</w:t>
      </w:r>
    </w:p>
    <w:p w14:paraId="37091A40">
      <w:pPr>
        <w:spacing w:after="120"/>
        <w:jc w:val="both"/>
      </w:pPr>
      <w:r>
        <w:rPr>
          <w:sz w:val="22"/>
          <w:szCs w:val="22"/>
        </w:rPr>
        <w:t>The navigation demonstration requires Scenario 2: six satellites in a single orbital plane, providing simultaneous visibility of four or more satellites from the demonstration receiver. This is the minimum geometry for three-dimensional trilateration.</w:t>
      </w:r>
    </w:p>
    <w:p w14:paraId="21917C91">
      <w:pPr>
        <w:spacing w:after="120"/>
        <w:jc w:val="both"/>
      </w:pPr>
      <w:r>
        <w:rPr>
          <w:sz w:val="22"/>
          <w:szCs w:val="22"/>
        </w:rPr>
        <w:t>The operational procedure for the navigation demonstration is:</w:t>
      </w:r>
    </w:p>
    <w:p w14:paraId="414795AD">
      <w:pPr>
        <w:pStyle w:val="16"/>
        <w:numPr>
          <w:ilvl w:val="0"/>
          <w:numId w:val="2"/>
        </w:numPr>
        <w:spacing w:after="60"/>
      </w:pPr>
      <w:r>
        <w:rPr>
          <w:sz w:val="22"/>
          <w:szCs w:val="22"/>
        </w:rPr>
        <w:t>Start Scenario 2 at normal or accelerated speed to confirm all 6 satellites are generating telemetry and the constellation is operating correctly.</w:t>
      </w:r>
    </w:p>
    <w:p w14:paraId="34AFEA87">
      <w:pPr>
        <w:pStyle w:val="16"/>
        <w:numPr>
          <w:ilvl w:val="0"/>
          <w:numId w:val="2"/>
        </w:numPr>
        <w:spacing w:after="60"/>
      </w:pPr>
      <w:r>
        <w:rPr>
          <w:sz w:val="22"/>
          <w:szCs w:val="22"/>
        </w:rPr>
        <w:t>Identify a time window when 4 or more satellites are simultaneously above the receiver's horizon (elevation &gt; 5°). The dashboard's simultaneous visibility counter (Sprint 6) supports this selection.</w:t>
      </w:r>
    </w:p>
    <w:p w14:paraId="40F43552">
      <w:pPr>
        <w:pStyle w:val="16"/>
        <w:numPr>
          <w:ilvl w:val="0"/>
          <w:numId w:val="2"/>
        </w:numPr>
        <w:spacing w:after="60"/>
      </w:pPr>
      <w:r>
        <w:rPr>
          <w:sz w:val="22"/>
          <w:szCs w:val="22"/>
        </w:rPr>
        <w:t>During the selected window, the OFDM waveform measures the timing offset (pseudo-range) from each visible satellite. The waveform's signal processing pipeline produces a position fix.</w:t>
      </w:r>
    </w:p>
    <w:p w14:paraId="1F3AADF9">
      <w:pPr>
        <w:pStyle w:val="16"/>
        <w:numPr>
          <w:ilvl w:val="0"/>
          <w:numId w:val="2"/>
        </w:numPr>
        <w:spacing w:after="60"/>
      </w:pPr>
      <w:r>
        <w:rPr>
          <w:sz w:val="22"/>
          <w:szCs w:val="22"/>
        </w:rPr>
        <w:t>The NavigationTruthModel (poliastro HPOP, Sprint 6) computes the precise position of each satellite at the measurement epoch, with 1–10 metre accuracy. This is the truth reference.</w:t>
      </w:r>
    </w:p>
    <w:p w14:paraId="63D8855C">
      <w:pPr>
        <w:pStyle w:val="16"/>
        <w:numPr>
          <w:ilvl w:val="0"/>
          <w:numId w:val="2"/>
        </w:numPr>
        <w:spacing w:after="60"/>
      </w:pPr>
      <w:r>
        <w:rPr>
          <w:sz w:val="22"/>
          <w:szCs w:val="22"/>
        </w:rPr>
        <w:t>The navigation residual — the difference between the OFDM position fix and the HPOP truth — is logged to TimescaleDB via the navigation validation pipeline and accessible via the FastAPI at GET /navigation/{satellite_id}/residuals.</w:t>
      </w:r>
    </w:p>
    <w:p w14:paraId="620522D9">
      <w:pPr>
        <w:pStyle w:val="16"/>
        <w:numPr>
          <w:ilvl w:val="0"/>
          <w:numId w:val="2"/>
        </w:numPr>
        <w:spacing w:after="60"/>
      </w:pPr>
      <w:r>
        <w:rPr>
          <w:sz w:val="22"/>
          <w:szCs w:val="22"/>
        </w:rPr>
        <w:t>The geometry dilution of precision (GDOP) is computed from the satellite positions and logged alongside the residual. A high GDOP (poorly distributed satellites) explains larger residuals; a low GDOP (well-distributed satellites) validates the waveform's ranging accuracy.</w:t>
      </w:r>
    </w:p>
    <w:p w14:paraId="0A7EFA0A">
      <w:pPr>
        <w:spacing w:after="80"/>
      </w:pPr>
    </w:p>
    <w:p w14:paraId="70641B8C">
      <w:pPr>
        <w:spacing w:after="120"/>
        <w:jc w:val="both"/>
      </w:pPr>
      <w:r>
        <w:rPr>
          <w:sz w:val="22"/>
          <w:szCs w:val="22"/>
        </w:rPr>
        <w:t>The use of HPOP rather than SGP4 as the truth reference is operationally essential. SGP4 positional errors of 100–500 metres would make it impossible to validate navigation claims below 200 metres — the truth reference error would dominate the residual. The HPOP model's 1–10 metre accuracy ensures that the residual reflects waveform performance rather than reference error.</w:t>
      </w:r>
    </w:p>
    <w:p w14:paraId="241AB989">
      <w:pPr>
        <w:pStyle w:val="3"/>
        <w:spacing w:before="240" w:after="80"/>
      </w:pPr>
      <w:r>
        <w:t>11.3 Remote sensing demonstration (Scenarios 3 and 4)</w:t>
      </w:r>
    </w:p>
    <w:p w14:paraId="55EFD9B0">
      <w:pPr>
        <w:spacing w:after="120"/>
        <w:jc w:val="both"/>
      </w:pPr>
      <w:r>
        <w:rPr>
          <w:sz w:val="22"/>
          <w:szCs w:val="22"/>
        </w:rPr>
        <w:t>Remote sensing demonstrations use two distinct constellation configurations with different operational characteristics:</w:t>
      </w:r>
    </w:p>
    <w:p w14:paraId="41E548F8">
      <w:pPr>
        <w:pStyle w:val="4"/>
        <w:spacing w:before="160" w:after="60"/>
      </w:pPr>
      <w:r>
        <w:t>Mid-latitude remote sensing (Scenario 3)</w:t>
      </w:r>
    </w:p>
    <w:p w14:paraId="43383E7E">
      <w:pPr>
        <w:spacing w:after="120"/>
        <w:jc w:val="both"/>
      </w:pPr>
      <w:r>
        <w:rPr>
          <w:sz w:val="22"/>
          <w:szCs w:val="22"/>
        </w:rPr>
        <w:t>The 24-satellite four-plane constellation provides multiple passes per day over a fixed mid-latitude ground target. The operational procedure is:</w:t>
      </w:r>
    </w:p>
    <w:p w14:paraId="71067CE3">
      <w:pPr>
        <w:pStyle w:val="16"/>
        <w:numPr>
          <w:ilvl w:val="0"/>
          <w:numId w:val="2"/>
        </w:numPr>
        <w:spacing w:after="60"/>
      </w:pPr>
      <w:r>
        <w:rPr>
          <w:sz w:val="22"/>
          <w:szCs w:val="22"/>
        </w:rPr>
        <w:t>Identify the ground target coordinates (latitude, longitude).</w:t>
      </w:r>
    </w:p>
    <w:p w14:paraId="6DCBCCA4">
      <w:pPr>
        <w:pStyle w:val="16"/>
        <w:numPr>
          <w:ilvl w:val="0"/>
          <w:numId w:val="2"/>
        </w:numPr>
        <w:spacing w:after="60"/>
      </w:pPr>
      <w:r>
        <w:rPr>
          <w:sz w:val="22"/>
          <w:szCs w:val="22"/>
        </w:rPr>
        <w:t>Use the coverage statistics tool (Sprint 6) to compute the daily pass schedule: how many times per day does a satellite pass within the waveform's sensing footprint? What is the maximum elevation angle of each pass?</w:t>
      </w:r>
    </w:p>
    <w:p w14:paraId="1222A4B7">
      <w:pPr>
        <w:pStyle w:val="16"/>
        <w:numPr>
          <w:ilvl w:val="0"/>
          <w:numId w:val="2"/>
        </w:numPr>
        <w:spacing w:after="60"/>
      </w:pPr>
      <w:r>
        <w:rPr>
          <w:sz w:val="22"/>
          <w:szCs w:val="22"/>
        </w:rPr>
        <w:t>For each pass, the OFDM waveform transmits a sensing signal toward the target and receives the backscatter. The pass geometry (look angle, incidence angle, range) is computed from the SGP4 orbit model at the measurement time.</w:t>
      </w:r>
    </w:p>
    <w:p w14:paraId="6017E3C4">
      <w:pPr>
        <w:pStyle w:val="16"/>
        <w:numPr>
          <w:ilvl w:val="0"/>
          <w:numId w:val="2"/>
        </w:numPr>
        <w:spacing w:after="60"/>
      </w:pPr>
      <w:r>
        <w:rPr>
          <w:sz w:val="22"/>
          <w:szCs w:val="22"/>
        </w:rPr>
        <w:t>Post-processing combines backscatter returns from multiple passes to build a coherent scene product.</w:t>
      </w:r>
    </w:p>
    <w:p w14:paraId="1624205C">
      <w:pPr>
        <w:spacing w:after="80"/>
      </w:pPr>
    </w:p>
    <w:p w14:paraId="553C7838">
      <w:pPr>
        <w:pStyle w:val="4"/>
        <w:spacing w:before="160" w:after="60"/>
      </w:pPr>
      <w:r>
        <w:t>Polar remote sensing (Scenario 4)</w:t>
      </w:r>
    </w:p>
    <w:p w14:paraId="412E24A6">
      <w:pPr>
        <w:spacing w:after="120"/>
        <w:jc w:val="both"/>
      </w:pPr>
      <w:r>
        <w:rPr>
          <w:sz w:val="22"/>
          <w:szCs w:val="22"/>
        </w:rPr>
        <w:t>The Molniya constellation's long apogee dwell provides operational conditions fundamentally different from LEO remote sensing. The operational procedure is:</w:t>
      </w:r>
    </w:p>
    <w:p w14:paraId="3CCD7E7D">
      <w:pPr>
        <w:pStyle w:val="16"/>
        <w:numPr>
          <w:ilvl w:val="0"/>
          <w:numId w:val="2"/>
        </w:numPr>
        <w:spacing w:after="60"/>
      </w:pPr>
      <w:r>
        <w:rPr>
          <w:sz w:val="22"/>
          <w:szCs w:val="22"/>
        </w:rPr>
        <w:t>Configure the Scenario 4 ground stations (Svalbard, Fairbanks) to maximise contact with the Molniya satellites during their northern apogee dwell.</w:t>
      </w:r>
    </w:p>
    <w:p w14:paraId="057DB1F5">
      <w:pPr>
        <w:pStyle w:val="16"/>
        <w:numPr>
          <w:ilvl w:val="0"/>
          <w:numId w:val="2"/>
        </w:numPr>
        <w:spacing w:after="60"/>
      </w:pPr>
      <w:r>
        <w:rPr>
          <w:sz w:val="22"/>
          <w:szCs w:val="22"/>
        </w:rPr>
        <w:t>A Molniya satellite at apogee moves at approximately 1.5 km/s (compared to ~7.5 km/s for a LEO satellite), allowing the waveform to illuminate a fixed polar target for an extended observation window — tens of minutes rather than seconds.</w:t>
      </w:r>
    </w:p>
    <w:p w14:paraId="1354267F">
      <w:pPr>
        <w:pStyle w:val="16"/>
        <w:numPr>
          <w:ilvl w:val="0"/>
          <w:numId w:val="2"/>
        </w:numPr>
        <w:spacing w:after="60"/>
      </w:pPr>
      <w:r>
        <w:rPr>
          <w:sz w:val="22"/>
          <w:szCs w:val="22"/>
        </w:rPr>
        <w:t>The extended dwell time enables coherent integration of backscatter returns over a long observation window, significantly improving signal-to-noise ratio for weak targets.</w:t>
      </w:r>
    </w:p>
    <w:p w14:paraId="3ED3DCB1">
      <w:pPr>
        <w:pStyle w:val="16"/>
        <w:numPr>
          <w:ilvl w:val="0"/>
          <w:numId w:val="2"/>
        </w:numPr>
        <w:spacing w:after="60"/>
      </w:pPr>
      <w:r>
        <w:rPr>
          <w:sz w:val="22"/>
          <w:szCs w:val="22"/>
        </w:rPr>
        <w:t>The SGP4 orbit model provides the look angle and range geometry at each measurement epoch. Note: SGP4 is accurate at Molniya apogee altitude (tens of kilometres from the truth at most), making it a valid geometry reference for remote sensing at this orbital phase. SGP4 is only inadequate as a navigation truth reference near perigee, where dynamics are fast and drag is poorly modelled.</w:t>
      </w:r>
    </w:p>
    <w:p w14:paraId="5563B1EE">
      <w:pPr>
        <w:spacing w:after="80"/>
      </w:pPr>
    </w:p>
    <w:p w14:paraId="4E7757BB">
      <w:r>
        <w:br w:type="page"/>
      </w:r>
    </w:p>
    <w:p w14:paraId="1C9E6AFE">
      <w:pPr>
        <w:pStyle w:val="2"/>
        <w:spacing w:before="360" w:after="120"/>
      </w:pPr>
      <w:r>
        <w:t>12. Operational Constraints and Limitations</w:t>
      </w:r>
    </w:p>
    <w:p w14:paraId="03DBD88E">
      <w:pPr>
        <w:pStyle w:val="3"/>
        <w:spacing w:before="240" w:after="80"/>
      </w:pPr>
      <w:r>
        <w:t>12.1 Current capabilities (Sprints 1–4)</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3500"/>
        <w:gridCol w:w="3000"/>
        <w:gridCol w:w="2800"/>
      </w:tblGrid>
      <w:tr w14:paraId="6C073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500" w:type="dxa"/>
            <w:shd w:val="clear" w:color="auto" w:fill="D9E1F2"/>
            <w:tcMar>
              <w:top w:w="80" w:type="dxa"/>
              <w:left w:w="100" w:type="dxa"/>
              <w:bottom w:w="80" w:type="dxa"/>
              <w:right w:w="100" w:type="dxa"/>
            </w:tcMar>
          </w:tcPr>
          <w:p w14:paraId="0D274AA7">
            <w:pPr>
              <w:spacing w:after="0"/>
              <w:jc w:val="center"/>
            </w:pPr>
            <w:r>
              <w:rPr>
                <w:b/>
                <w:bCs/>
                <w:color w:val="1F3864"/>
                <w:sz w:val="20"/>
                <w:szCs w:val="20"/>
              </w:rPr>
              <w:t>Constraint</w:t>
            </w:r>
          </w:p>
        </w:tc>
        <w:tc>
          <w:tcPr>
            <w:tcW w:w="3000" w:type="dxa"/>
            <w:shd w:val="clear" w:color="auto" w:fill="D9E1F2"/>
            <w:tcMar>
              <w:top w:w="80" w:type="dxa"/>
              <w:left w:w="100" w:type="dxa"/>
              <w:bottom w:w="80" w:type="dxa"/>
              <w:right w:w="100" w:type="dxa"/>
            </w:tcMar>
          </w:tcPr>
          <w:p w14:paraId="722F1855">
            <w:pPr>
              <w:spacing w:after="0"/>
              <w:jc w:val="center"/>
            </w:pPr>
            <w:r>
              <w:rPr>
                <w:b/>
                <w:bCs/>
                <w:color w:val="1F3864"/>
                <w:sz w:val="20"/>
                <w:szCs w:val="20"/>
              </w:rPr>
              <w:t>Impact</w:t>
            </w:r>
          </w:p>
        </w:tc>
        <w:tc>
          <w:tcPr>
            <w:tcW w:w="2800" w:type="dxa"/>
            <w:shd w:val="clear" w:color="auto" w:fill="D9E1F2"/>
            <w:tcMar>
              <w:top w:w="80" w:type="dxa"/>
              <w:left w:w="100" w:type="dxa"/>
              <w:bottom w:w="80" w:type="dxa"/>
              <w:right w:w="100" w:type="dxa"/>
            </w:tcMar>
          </w:tcPr>
          <w:p w14:paraId="5EE05F07">
            <w:pPr>
              <w:spacing w:after="0"/>
              <w:jc w:val="center"/>
            </w:pPr>
            <w:r>
              <w:rPr>
                <w:b/>
                <w:bCs/>
                <w:color w:val="1F3864"/>
                <w:sz w:val="20"/>
                <w:szCs w:val="20"/>
              </w:rPr>
              <w:t>Resolution</w:t>
            </w:r>
          </w:p>
        </w:tc>
      </w:tr>
      <w:tr w14:paraId="21E6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500" w:type="dxa"/>
            <w:shd w:val="clear" w:color="auto" w:fill="FFFFFF"/>
            <w:tcMar>
              <w:top w:w="60" w:type="dxa"/>
              <w:left w:w="100" w:type="dxa"/>
              <w:bottom w:w="60" w:type="dxa"/>
              <w:right w:w="100" w:type="dxa"/>
            </w:tcMar>
          </w:tcPr>
          <w:p w14:paraId="3CAD3B81">
            <w:pPr>
              <w:spacing w:after="0"/>
            </w:pPr>
            <w:r>
              <w:rPr>
                <w:b/>
                <w:bCs/>
                <w:sz w:val="20"/>
                <w:szCs w:val="20"/>
              </w:rPr>
              <w:t>Simulator contact model is timer-based, not geometry-driven</w:t>
            </w:r>
          </w:p>
        </w:tc>
        <w:tc>
          <w:tcPr>
            <w:tcW w:w="3000" w:type="dxa"/>
            <w:shd w:val="clear" w:color="auto" w:fill="FFFFFF"/>
            <w:tcMar>
              <w:top w:w="60" w:type="dxa"/>
              <w:left w:w="100" w:type="dxa"/>
              <w:bottom w:w="60" w:type="dxa"/>
              <w:right w:w="100" w:type="dxa"/>
            </w:tcMar>
          </w:tcPr>
          <w:p w14:paraId="524A10BA">
            <w:pPr>
              <w:spacing w:after="0"/>
            </w:pPr>
            <w:r>
              <w:rPr>
                <w:sz w:val="20"/>
                <w:szCs w:val="20"/>
              </w:rPr>
              <w:t>Contact window timing does not reflect actual pass geometry — passes occur at random intervals within the configured duration/gap bounds</w:t>
            </w:r>
          </w:p>
        </w:tc>
        <w:tc>
          <w:tcPr>
            <w:tcW w:w="2800" w:type="dxa"/>
            <w:shd w:val="clear" w:color="auto" w:fill="FFFFFF"/>
            <w:tcMar>
              <w:top w:w="60" w:type="dxa"/>
              <w:left w:w="100" w:type="dxa"/>
              <w:bottom w:w="60" w:type="dxa"/>
              <w:right w:w="100" w:type="dxa"/>
            </w:tcMar>
          </w:tcPr>
          <w:p w14:paraId="60827CC9">
            <w:pPr>
              <w:spacing w:after="0"/>
            </w:pPr>
            <w:r>
              <w:rPr>
                <w:sz w:val="20"/>
                <w:szCs w:val="20"/>
              </w:rPr>
              <w:t>Replaced by ILP ground station scheduler in Sprint 7</w:t>
            </w:r>
          </w:p>
        </w:tc>
      </w:tr>
      <w:tr w14:paraId="37AC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500" w:type="dxa"/>
            <w:shd w:val="clear" w:color="auto" w:fill="FFFFFF"/>
            <w:tcMar>
              <w:top w:w="60" w:type="dxa"/>
              <w:left w:w="100" w:type="dxa"/>
              <w:bottom w:w="60" w:type="dxa"/>
              <w:right w:w="100" w:type="dxa"/>
            </w:tcMar>
          </w:tcPr>
          <w:p w14:paraId="186E869C">
            <w:pPr>
              <w:spacing w:after="0"/>
            </w:pPr>
            <w:r>
              <w:rPr>
                <w:b/>
                <w:bCs/>
                <w:sz w:val="20"/>
                <w:szCs w:val="20"/>
              </w:rPr>
              <w:t>No AI/ML anomaly detection yet</w:t>
            </w:r>
          </w:p>
        </w:tc>
        <w:tc>
          <w:tcPr>
            <w:tcW w:w="3000" w:type="dxa"/>
            <w:shd w:val="clear" w:color="auto" w:fill="FFFFFF"/>
            <w:tcMar>
              <w:top w:w="60" w:type="dxa"/>
              <w:left w:w="100" w:type="dxa"/>
              <w:bottom w:w="60" w:type="dxa"/>
              <w:right w:w="100" w:type="dxa"/>
            </w:tcMar>
          </w:tcPr>
          <w:p w14:paraId="0C36AD9A">
            <w:pPr>
              <w:spacing w:after="0"/>
            </w:pPr>
            <w:r>
              <w:rPr>
                <w:sz w:val="20"/>
                <w:szCs w:val="20"/>
              </w:rPr>
              <w:t>Anomalies visible in the dashboard only as threshold crossings, not as pattern-based early warnings</w:t>
            </w:r>
          </w:p>
        </w:tc>
        <w:tc>
          <w:tcPr>
            <w:tcW w:w="2800" w:type="dxa"/>
            <w:shd w:val="clear" w:color="auto" w:fill="FFFFFF"/>
            <w:tcMar>
              <w:top w:w="60" w:type="dxa"/>
              <w:left w:w="100" w:type="dxa"/>
              <w:bottom w:w="60" w:type="dxa"/>
              <w:right w:w="100" w:type="dxa"/>
            </w:tcMar>
          </w:tcPr>
          <w:p w14:paraId="08992C3C">
            <w:pPr>
              <w:spacing w:after="0"/>
            </w:pPr>
            <w:r>
              <w:rPr>
                <w:sz w:val="20"/>
                <w:szCs w:val="20"/>
              </w:rPr>
              <w:t>Isolation Forest anomaly detection implemented in Sprint 5</w:t>
            </w:r>
          </w:p>
        </w:tc>
      </w:tr>
      <w:tr w14:paraId="18F5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500" w:type="dxa"/>
            <w:shd w:val="clear" w:color="auto" w:fill="FFFFFF"/>
            <w:tcMar>
              <w:top w:w="60" w:type="dxa"/>
              <w:left w:w="100" w:type="dxa"/>
              <w:bottom w:w="60" w:type="dxa"/>
              <w:right w:w="100" w:type="dxa"/>
            </w:tcMar>
          </w:tcPr>
          <w:p w14:paraId="3EFB0D54">
            <w:pPr>
              <w:spacing w:after="0"/>
            </w:pPr>
            <w:r>
              <w:rPr>
                <w:b/>
                <w:bCs/>
                <w:sz w:val="20"/>
                <w:szCs w:val="20"/>
              </w:rPr>
              <w:t>No command approval UI</w:t>
            </w:r>
          </w:p>
        </w:tc>
        <w:tc>
          <w:tcPr>
            <w:tcW w:w="3000" w:type="dxa"/>
            <w:shd w:val="clear" w:color="auto" w:fill="FFFFFF"/>
            <w:tcMar>
              <w:top w:w="60" w:type="dxa"/>
              <w:left w:w="100" w:type="dxa"/>
              <w:bottom w:w="60" w:type="dxa"/>
              <w:right w:w="100" w:type="dxa"/>
            </w:tcMar>
          </w:tcPr>
          <w:p w14:paraId="766A80A9">
            <w:pPr>
              <w:spacing w:after="0"/>
            </w:pPr>
            <w:r>
              <w:rPr>
                <w:sz w:val="20"/>
                <w:szCs w:val="20"/>
              </w:rPr>
              <w:t>The command pipeline exists (Kafka topics are defined) but the operator-facing approval interface has not been built</w:t>
            </w:r>
          </w:p>
        </w:tc>
        <w:tc>
          <w:tcPr>
            <w:tcW w:w="2800" w:type="dxa"/>
            <w:shd w:val="clear" w:color="auto" w:fill="FFFFFF"/>
            <w:tcMar>
              <w:top w:w="60" w:type="dxa"/>
              <w:left w:w="100" w:type="dxa"/>
              <w:bottom w:w="60" w:type="dxa"/>
              <w:right w:w="100" w:type="dxa"/>
            </w:tcMar>
          </w:tcPr>
          <w:p w14:paraId="74C8E3E2">
            <w:pPr>
              <w:spacing w:after="0"/>
            </w:pPr>
            <w:r>
              <w:rPr>
                <w:sz w:val="20"/>
                <w:szCs w:val="20"/>
              </w:rPr>
              <w:t>Built in Sprint 5 as part of the alarm and response workflow</w:t>
            </w:r>
          </w:p>
        </w:tc>
      </w:tr>
      <w:tr w14:paraId="200B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500" w:type="dxa"/>
            <w:shd w:val="clear" w:color="auto" w:fill="FFFFFF"/>
            <w:tcMar>
              <w:top w:w="60" w:type="dxa"/>
              <w:left w:w="100" w:type="dxa"/>
              <w:bottom w:w="60" w:type="dxa"/>
              <w:right w:w="100" w:type="dxa"/>
            </w:tcMar>
          </w:tcPr>
          <w:p w14:paraId="52CFC2CE">
            <w:pPr>
              <w:spacing w:after="0"/>
            </w:pPr>
            <w:r>
              <w:rPr>
                <w:b/>
                <w:bCs/>
                <w:sz w:val="20"/>
                <w:szCs w:val="20"/>
              </w:rPr>
              <w:t>Single satellite only (no ConstellationManager)</w:t>
            </w:r>
          </w:p>
        </w:tc>
        <w:tc>
          <w:tcPr>
            <w:tcW w:w="3000" w:type="dxa"/>
            <w:shd w:val="clear" w:color="auto" w:fill="FFFFFF"/>
            <w:tcMar>
              <w:top w:w="60" w:type="dxa"/>
              <w:left w:w="100" w:type="dxa"/>
              <w:bottom w:w="60" w:type="dxa"/>
              <w:right w:w="100" w:type="dxa"/>
            </w:tcMar>
          </w:tcPr>
          <w:p w14:paraId="4EF87052">
            <w:pPr>
              <w:spacing w:after="0"/>
            </w:pPr>
            <w:r>
              <w:rPr>
                <w:sz w:val="20"/>
                <w:szCs w:val="20"/>
              </w:rPr>
              <w:t>The platform can only simulate and display one satellite at a time</w:t>
            </w:r>
          </w:p>
        </w:tc>
        <w:tc>
          <w:tcPr>
            <w:tcW w:w="2800" w:type="dxa"/>
            <w:shd w:val="clear" w:color="auto" w:fill="FFFFFF"/>
            <w:tcMar>
              <w:top w:w="60" w:type="dxa"/>
              <w:left w:w="100" w:type="dxa"/>
              <w:bottom w:w="60" w:type="dxa"/>
              <w:right w:w="100" w:type="dxa"/>
            </w:tcMar>
          </w:tcPr>
          <w:p w14:paraId="19F26587">
            <w:pPr>
              <w:spacing w:after="0"/>
            </w:pPr>
            <w:r>
              <w:rPr>
                <w:sz w:val="20"/>
                <w:szCs w:val="20"/>
              </w:rPr>
              <w:t>ConstellationManager and four-scenario runner implemented in Sprint 5</w:t>
            </w:r>
          </w:p>
        </w:tc>
      </w:tr>
      <w:tr w14:paraId="6F902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500" w:type="dxa"/>
            <w:shd w:val="clear" w:color="auto" w:fill="FFFFFF"/>
            <w:tcMar>
              <w:top w:w="60" w:type="dxa"/>
              <w:left w:w="100" w:type="dxa"/>
              <w:bottom w:w="60" w:type="dxa"/>
              <w:right w:w="100" w:type="dxa"/>
            </w:tcMar>
          </w:tcPr>
          <w:p w14:paraId="68FEC3FF">
            <w:pPr>
              <w:spacing w:after="0"/>
            </w:pPr>
            <w:r>
              <w:rPr>
                <w:b/>
                <w:bCs/>
                <w:sz w:val="20"/>
                <w:szCs w:val="20"/>
              </w:rPr>
              <w:t>No HPOP navigation truth reference</w:t>
            </w:r>
          </w:p>
        </w:tc>
        <w:tc>
          <w:tcPr>
            <w:tcW w:w="3000" w:type="dxa"/>
            <w:shd w:val="clear" w:color="auto" w:fill="FFFFFF"/>
            <w:tcMar>
              <w:top w:w="60" w:type="dxa"/>
              <w:left w:w="100" w:type="dxa"/>
              <w:bottom w:w="60" w:type="dxa"/>
              <w:right w:w="100" w:type="dxa"/>
            </w:tcMar>
          </w:tcPr>
          <w:p w14:paraId="6984C88F">
            <w:pPr>
              <w:spacing w:after="0"/>
            </w:pPr>
            <w:r>
              <w:rPr>
                <w:sz w:val="20"/>
                <w:szCs w:val="20"/>
              </w:rPr>
              <w:t>Navigation validation residuals cannot be computed with the accuracy needed for peer-review-defensible claims</w:t>
            </w:r>
          </w:p>
        </w:tc>
        <w:tc>
          <w:tcPr>
            <w:tcW w:w="2800" w:type="dxa"/>
            <w:shd w:val="clear" w:color="auto" w:fill="FFFFFF"/>
            <w:tcMar>
              <w:top w:w="60" w:type="dxa"/>
              <w:left w:w="100" w:type="dxa"/>
              <w:bottom w:w="60" w:type="dxa"/>
              <w:right w:w="100" w:type="dxa"/>
            </w:tcMar>
          </w:tcPr>
          <w:p w14:paraId="38552207">
            <w:pPr>
              <w:spacing w:after="0"/>
            </w:pPr>
            <w:r>
              <w:rPr>
                <w:sz w:val="20"/>
                <w:szCs w:val="20"/>
              </w:rPr>
              <w:t>NavigationTruthModel (poliastro HPOP) implemented in Sprint 6</w:t>
            </w:r>
          </w:p>
        </w:tc>
      </w:tr>
      <w:tr w14:paraId="7EAC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500" w:type="dxa"/>
            <w:shd w:val="clear" w:color="auto" w:fill="FFFFFF"/>
            <w:tcMar>
              <w:top w:w="60" w:type="dxa"/>
              <w:left w:w="100" w:type="dxa"/>
              <w:bottom w:w="60" w:type="dxa"/>
              <w:right w:w="100" w:type="dxa"/>
            </w:tcMar>
          </w:tcPr>
          <w:p w14:paraId="0016A78A">
            <w:pPr>
              <w:spacing w:after="0"/>
            </w:pPr>
            <w:r>
              <w:rPr>
                <w:b/>
                <w:bCs/>
                <w:sz w:val="20"/>
                <w:szCs w:val="20"/>
              </w:rPr>
              <w:t>Local deployment only</w:t>
            </w:r>
          </w:p>
        </w:tc>
        <w:tc>
          <w:tcPr>
            <w:tcW w:w="3000" w:type="dxa"/>
            <w:shd w:val="clear" w:color="auto" w:fill="FFFFFF"/>
            <w:tcMar>
              <w:top w:w="60" w:type="dxa"/>
              <w:left w:w="100" w:type="dxa"/>
              <w:bottom w:w="60" w:type="dxa"/>
              <w:right w:w="100" w:type="dxa"/>
            </w:tcMar>
          </w:tcPr>
          <w:p w14:paraId="1B66AB51">
            <w:pPr>
              <w:spacing w:after="0"/>
            </w:pPr>
            <w:r>
              <w:rPr>
                <w:sz w:val="20"/>
                <w:szCs w:val="20"/>
              </w:rPr>
              <w:t>Platform runs on a local Windows machine; no remote access, no production SLA, no HA</w:t>
            </w:r>
          </w:p>
        </w:tc>
        <w:tc>
          <w:tcPr>
            <w:tcW w:w="2800" w:type="dxa"/>
            <w:shd w:val="clear" w:color="auto" w:fill="FFFFFF"/>
            <w:tcMar>
              <w:top w:w="60" w:type="dxa"/>
              <w:left w:w="100" w:type="dxa"/>
              <w:bottom w:w="60" w:type="dxa"/>
              <w:right w:w="100" w:type="dxa"/>
            </w:tcMar>
          </w:tcPr>
          <w:p w14:paraId="44D9059F">
            <w:pPr>
              <w:spacing w:after="0"/>
            </w:pPr>
            <w:r>
              <w:rPr>
                <w:sz w:val="20"/>
                <w:szCs w:val="20"/>
              </w:rPr>
              <w:t>Azure AKS deployment in Sprint 7</w:t>
            </w:r>
          </w:p>
        </w:tc>
      </w:tr>
    </w:tbl>
    <w:p w14:paraId="7A4D56FE">
      <w:pPr>
        <w:spacing w:after="80"/>
      </w:pPr>
    </w:p>
    <w:p w14:paraId="01F4887A">
      <w:pPr>
        <w:pStyle w:val="3"/>
        <w:spacing w:before="240" w:after="80"/>
      </w:pPr>
      <w:r>
        <w:t>12.2 Permanent design constraints</w:t>
      </w:r>
    </w:p>
    <w:p w14:paraId="78938580">
      <w:pPr>
        <w:spacing w:after="120"/>
        <w:jc w:val="both"/>
      </w:pPr>
      <w:r>
        <w:rPr>
          <w:sz w:val="22"/>
          <w:szCs w:val="22"/>
        </w:rPr>
        <w:t>The following constraints are by design — they are not limitations to be resolved in future sprints but deliberate architectural decisions:</w:t>
      </w:r>
    </w:p>
    <w:p w14:paraId="5DED6AED">
      <w:pPr>
        <w:pStyle w:val="16"/>
        <w:numPr>
          <w:ilvl w:val="0"/>
          <w:numId w:val="1"/>
        </w:numPr>
        <w:spacing w:after="60"/>
      </w:pPr>
      <w:r>
        <w:rPr>
          <w:sz w:val="22"/>
          <w:szCs w:val="22"/>
        </w:rPr>
        <w:t>LEO and Molniya telemetry are never combined in one ML training dataset. This is enforced through the orbit_type field in the Telemetry schema and the TimescaleDB query filters used in training data export.</w:t>
      </w:r>
    </w:p>
    <w:p w14:paraId="10617D61">
      <w:pPr>
        <w:pStyle w:val="16"/>
        <w:numPr>
          <w:ilvl w:val="0"/>
          <w:numId w:val="1"/>
        </w:numPr>
        <w:spacing w:after="60"/>
      </w:pPr>
      <w:r>
        <w:rPr>
          <w:sz w:val="22"/>
          <w:szCs w:val="22"/>
        </w:rPr>
        <w:t>The HPOP NavigationTruthModel is used only for the navigation validation pipeline. It is not used for operational orbit computation, contact scheduling, or eclipse detection — SGP4 is used for all operational purposes.</w:t>
      </w:r>
    </w:p>
    <w:p w14:paraId="4594FA6E">
      <w:pPr>
        <w:pStyle w:val="16"/>
        <w:numPr>
          <w:ilvl w:val="0"/>
          <w:numId w:val="1"/>
        </w:numPr>
        <w:spacing w:after="60"/>
      </w:pPr>
      <w:r>
        <w:rPr>
          <w:sz w:val="22"/>
          <w:szCs w:val="22"/>
        </w:rPr>
        <w:t>All commands require human approval before uplink. No automated system can approve a command independently, regardless of urgency or operational context.</w:t>
      </w:r>
    </w:p>
    <w:p w14:paraId="59985222">
      <w:pPr>
        <w:pStyle w:val="16"/>
        <w:numPr>
          <w:ilvl w:val="0"/>
          <w:numId w:val="1"/>
        </w:numPr>
        <w:spacing w:after="60"/>
      </w:pPr>
      <w:r>
        <w:rPr>
          <w:sz w:val="22"/>
          <w:szCs w:val="22"/>
        </w:rPr>
        <w:t>The Streamlit dashboard is a pure API client — it never connects to TimescaleDB directly. All data access goes through the FastAPI layer.</w:t>
      </w:r>
    </w:p>
    <w:p w14:paraId="4F269D3A">
      <w:pPr>
        <w:spacing w:after="80"/>
      </w:pPr>
    </w:p>
    <w:p w14:paraId="647E338E">
      <w:r>
        <w:br w:type="page"/>
      </w:r>
    </w:p>
    <w:p w14:paraId="1C32F609">
      <w:pPr>
        <w:pStyle w:val="2"/>
        <w:spacing w:before="360" w:after="120"/>
      </w:pPr>
      <w:r>
        <w:t>13. Interfaces</w:t>
      </w:r>
    </w:p>
    <w:p w14:paraId="150D4A8B">
      <w:pPr>
        <w:pStyle w:val="3"/>
        <w:spacing w:before="240" w:after="80"/>
      </w:pPr>
      <w:r>
        <w:t>13.1 Internal interfaces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3000"/>
        <w:gridCol w:w="2200"/>
        <w:gridCol w:w="2200"/>
        <w:gridCol w:w="1900"/>
      </w:tblGrid>
      <w:tr w14:paraId="6533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D9E1F2"/>
            <w:tcMar>
              <w:top w:w="80" w:type="dxa"/>
              <w:left w:w="100" w:type="dxa"/>
              <w:bottom w:w="80" w:type="dxa"/>
              <w:right w:w="100" w:type="dxa"/>
            </w:tcMar>
          </w:tcPr>
          <w:p w14:paraId="39B1B7DA">
            <w:pPr>
              <w:spacing w:after="0"/>
              <w:jc w:val="center"/>
            </w:pPr>
            <w:r>
              <w:rPr>
                <w:b/>
                <w:bCs/>
                <w:color w:val="1F3864"/>
                <w:sz w:val="20"/>
                <w:szCs w:val="20"/>
              </w:rPr>
              <w:t>Interface</w:t>
            </w:r>
          </w:p>
        </w:tc>
        <w:tc>
          <w:tcPr>
            <w:tcW w:w="2200" w:type="dxa"/>
            <w:shd w:val="clear" w:color="auto" w:fill="D9E1F2"/>
            <w:tcMar>
              <w:top w:w="80" w:type="dxa"/>
              <w:left w:w="100" w:type="dxa"/>
              <w:bottom w:w="80" w:type="dxa"/>
              <w:right w:w="100" w:type="dxa"/>
            </w:tcMar>
          </w:tcPr>
          <w:p w14:paraId="27CDF14E">
            <w:pPr>
              <w:spacing w:after="0"/>
              <w:jc w:val="center"/>
            </w:pPr>
            <w:r>
              <w:rPr>
                <w:b/>
                <w:bCs/>
                <w:color w:val="1F3864"/>
                <w:sz w:val="20"/>
                <w:szCs w:val="20"/>
              </w:rPr>
              <w:t>From</w:t>
            </w:r>
          </w:p>
        </w:tc>
        <w:tc>
          <w:tcPr>
            <w:tcW w:w="2200" w:type="dxa"/>
            <w:shd w:val="clear" w:color="auto" w:fill="D9E1F2"/>
            <w:tcMar>
              <w:top w:w="80" w:type="dxa"/>
              <w:left w:w="100" w:type="dxa"/>
              <w:bottom w:w="80" w:type="dxa"/>
              <w:right w:w="100" w:type="dxa"/>
            </w:tcMar>
          </w:tcPr>
          <w:p w14:paraId="05987E17">
            <w:pPr>
              <w:spacing w:after="0"/>
              <w:jc w:val="center"/>
            </w:pPr>
            <w:r>
              <w:rPr>
                <w:b/>
                <w:bCs/>
                <w:color w:val="1F3864"/>
                <w:sz w:val="20"/>
                <w:szCs w:val="20"/>
              </w:rPr>
              <w:t>To</w:t>
            </w:r>
          </w:p>
        </w:tc>
        <w:tc>
          <w:tcPr>
            <w:tcW w:w="1900" w:type="dxa"/>
            <w:shd w:val="clear" w:color="auto" w:fill="D9E1F2"/>
            <w:tcMar>
              <w:top w:w="80" w:type="dxa"/>
              <w:left w:w="100" w:type="dxa"/>
              <w:bottom w:w="80" w:type="dxa"/>
              <w:right w:w="100" w:type="dxa"/>
            </w:tcMar>
          </w:tcPr>
          <w:p w14:paraId="5C1A8ADF">
            <w:pPr>
              <w:spacing w:after="0"/>
              <w:jc w:val="center"/>
            </w:pPr>
            <w:r>
              <w:rPr>
                <w:b/>
                <w:bCs/>
                <w:color w:val="1F3864"/>
                <w:sz w:val="20"/>
                <w:szCs w:val="20"/>
              </w:rPr>
              <w:t>Protocol / mechanism</w:t>
            </w:r>
          </w:p>
        </w:tc>
      </w:tr>
      <w:tr w14:paraId="62A9C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0CFBDE44">
            <w:pPr>
              <w:spacing w:after="0"/>
            </w:pPr>
            <w:r>
              <w:rPr>
                <w:b/>
                <w:bCs/>
                <w:sz w:val="20"/>
                <w:szCs w:val="20"/>
              </w:rPr>
              <w:t>Telemetry stream</w:t>
            </w:r>
          </w:p>
        </w:tc>
        <w:tc>
          <w:tcPr>
            <w:tcW w:w="2200" w:type="dxa"/>
            <w:shd w:val="clear" w:color="auto" w:fill="FFFFFF"/>
            <w:tcMar>
              <w:top w:w="60" w:type="dxa"/>
              <w:left w:w="100" w:type="dxa"/>
              <w:bottom w:w="60" w:type="dxa"/>
              <w:right w:w="100" w:type="dxa"/>
            </w:tcMar>
          </w:tcPr>
          <w:p w14:paraId="580B6722">
            <w:pPr>
              <w:spacing w:after="0"/>
            </w:pPr>
            <w:r>
              <w:rPr>
                <w:sz w:val="20"/>
                <w:szCs w:val="20"/>
              </w:rPr>
              <w:t>Simulator / Producer</w:t>
            </w:r>
          </w:p>
        </w:tc>
        <w:tc>
          <w:tcPr>
            <w:tcW w:w="2200" w:type="dxa"/>
            <w:shd w:val="clear" w:color="auto" w:fill="FFFFFF"/>
            <w:tcMar>
              <w:top w:w="60" w:type="dxa"/>
              <w:left w:w="100" w:type="dxa"/>
              <w:bottom w:w="60" w:type="dxa"/>
              <w:right w:w="100" w:type="dxa"/>
            </w:tcMar>
          </w:tcPr>
          <w:p w14:paraId="18593ABE">
            <w:pPr>
              <w:spacing w:after="0"/>
            </w:pPr>
            <w:r>
              <w:rPr>
                <w:sz w:val="20"/>
                <w:szCs w:val="20"/>
              </w:rPr>
              <w:t>Kafka</w:t>
            </w:r>
          </w:p>
        </w:tc>
        <w:tc>
          <w:tcPr>
            <w:tcW w:w="1900" w:type="dxa"/>
            <w:shd w:val="clear" w:color="auto" w:fill="FFFFFF"/>
            <w:tcMar>
              <w:top w:w="60" w:type="dxa"/>
              <w:left w:w="100" w:type="dxa"/>
              <w:bottom w:w="60" w:type="dxa"/>
              <w:right w:w="100" w:type="dxa"/>
            </w:tcMar>
          </w:tcPr>
          <w:p w14:paraId="6084E617">
            <w:pPr>
              <w:spacing w:after="0"/>
            </w:pPr>
            <w:r>
              <w:rPr>
                <w:sz w:val="20"/>
                <w:szCs w:val="20"/>
              </w:rPr>
              <w:t>JSON, Pydantic v2, topic telemetry.{sat_id}</w:t>
            </w:r>
          </w:p>
        </w:tc>
      </w:tr>
      <w:tr w14:paraId="14A2E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786098FA">
            <w:pPr>
              <w:spacing w:after="0"/>
            </w:pPr>
            <w:r>
              <w:rPr>
                <w:b/>
                <w:bCs/>
                <w:sz w:val="20"/>
                <w:szCs w:val="20"/>
              </w:rPr>
              <w:t>Telemetry persistence</w:t>
            </w:r>
          </w:p>
        </w:tc>
        <w:tc>
          <w:tcPr>
            <w:tcW w:w="2200" w:type="dxa"/>
            <w:shd w:val="clear" w:color="auto" w:fill="FFFFFF"/>
            <w:tcMar>
              <w:top w:w="60" w:type="dxa"/>
              <w:left w:w="100" w:type="dxa"/>
              <w:bottom w:w="60" w:type="dxa"/>
              <w:right w:w="100" w:type="dxa"/>
            </w:tcMar>
          </w:tcPr>
          <w:p w14:paraId="0980845B">
            <w:pPr>
              <w:spacing w:after="0"/>
            </w:pPr>
            <w:r>
              <w:rPr>
                <w:sz w:val="20"/>
                <w:szCs w:val="20"/>
              </w:rPr>
              <w:t>Kafka</w:t>
            </w:r>
          </w:p>
        </w:tc>
        <w:tc>
          <w:tcPr>
            <w:tcW w:w="2200" w:type="dxa"/>
            <w:shd w:val="clear" w:color="auto" w:fill="FFFFFF"/>
            <w:tcMar>
              <w:top w:w="60" w:type="dxa"/>
              <w:left w:w="100" w:type="dxa"/>
              <w:bottom w:w="60" w:type="dxa"/>
              <w:right w:w="100" w:type="dxa"/>
            </w:tcMar>
          </w:tcPr>
          <w:p w14:paraId="7AFBF477">
            <w:pPr>
              <w:spacing w:after="0"/>
            </w:pPr>
            <w:r>
              <w:rPr>
                <w:sz w:val="20"/>
                <w:szCs w:val="20"/>
              </w:rPr>
              <w:t>TimescaleDB sink</w:t>
            </w:r>
          </w:p>
        </w:tc>
        <w:tc>
          <w:tcPr>
            <w:tcW w:w="1900" w:type="dxa"/>
            <w:shd w:val="clear" w:color="auto" w:fill="FFFFFF"/>
            <w:tcMar>
              <w:top w:w="60" w:type="dxa"/>
              <w:left w:w="100" w:type="dxa"/>
              <w:bottom w:w="60" w:type="dxa"/>
              <w:right w:w="100" w:type="dxa"/>
            </w:tcMar>
          </w:tcPr>
          <w:p w14:paraId="4D7C04EC">
            <w:pPr>
              <w:spacing w:after="0"/>
            </w:pPr>
            <w:r>
              <w:rPr>
                <w:sz w:val="20"/>
                <w:szCs w:val="20"/>
              </w:rPr>
              <w:t>psycopg2, batched INSERT, idempotent</w:t>
            </w:r>
          </w:p>
        </w:tc>
      </w:tr>
      <w:tr w14:paraId="4C8E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00028064">
            <w:pPr>
              <w:spacing w:after="0"/>
            </w:pPr>
            <w:r>
              <w:rPr>
                <w:b/>
                <w:bCs/>
                <w:sz w:val="20"/>
                <w:szCs w:val="20"/>
              </w:rPr>
              <w:t>Alarm publication</w:t>
            </w:r>
          </w:p>
        </w:tc>
        <w:tc>
          <w:tcPr>
            <w:tcW w:w="2200" w:type="dxa"/>
            <w:shd w:val="clear" w:color="auto" w:fill="FFFFFF"/>
            <w:tcMar>
              <w:top w:w="60" w:type="dxa"/>
              <w:left w:w="100" w:type="dxa"/>
              <w:bottom w:w="60" w:type="dxa"/>
              <w:right w:w="100" w:type="dxa"/>
            </w:tcMar>
          </w:tcPr>
          <w:p w14:paraId="3734F5BF">
            <w:pPr>
              <w:spacing w:after="0"/>
            </w:pPr>
            <w:r>
              <w:rPr>
                <w:sz w:val="20"/>
                <w:szCs w:val="20"/>
              </w:rPr>
              <w:t>Anomaly detection</w:t>
            </w:r>
          </w:p>
        </w:tc>
        <w:tc>
          <w:tcPr>
            <w:tcW w:w="2200" w:type="dxa"/>
            <w:shd w:val="clear" w:color="auto" w:fill="FFFFFF"/>
            <w:tcMar>
              <w:top w:w="60" w:type="dxa"/>
              <w:left w:w="100" w:type="dxa"/>
              <w:bottom w:w="60" w:type="dxa"/>
              <w:right w:w="100" w:type="dxa"/>
            </w:tcMar>
          </w:tcPr>
          <w:p w14:paraId="55377514">
            <w:pPr>
              <w:spacing w:after="0"/>
            </w:pPr>
            <w:r>
              <w:rPr>
                <w:sz w:val="20"/>
                <w:szCs w:val="20"/>
              </w:rPr>
              <w:t>Kafka</w:t>
            </w:r>
          </w:p>
        </w:tc>
        <w:tc>
          <w:tcPr>
            <w:tcW w:w="1900" w:type="dxa"/>
            <w:shd w:val="clear" w:color="auto" w:fill="FFFFFF"/>
            <w:tcMar>
              <w:top w:w="60" w:type="dxa"/>
              <w:left w:w="100" w:type="dxa"/>
              <w:bottom w:w="60" w:type="dxa"/>
              <w:right w:w="100" w:type="dxa"/>
            </w:tcMar>
          </w:tcPr>
          <w:p w14:paraId="5369ECEB">
            <w:pPr>
              <w:spacing w:after="0"/>
            </w:pPr>
            <w:r>
              <w:rPr>
                <w:sz w:val="20"/>
                <w:szCs w:val="20"/>
              </w:rPr>
              <w:t>JSON Alarm schema, alarms.{sat_id}</w:t>
            </w:r>
          </w:p>
        </w:tc>
      </w:tr>
      <w:tr w14:paraId="03C8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60B9478C">
            <w:pPr>
              <w:spacing w:after="0"/>
            </w:pPr>
            <w:r>
              <w:rPr>
                <w:b/>
                <w:bCs/>
                <w:sz w:val="20"/>
                <w:szCs w:val="20"/>
              </w:rPr>
              <w:t>REST API</w:t>
            </w:r>
          </w:p>
        </w:tc>
        <w:tc>
          <w:tcPr>
            <w:tcW w:w="2200" w:type="dxa"/>
            <w:shd w:val="clear" w:color="auto" w:fill="FFFFFF"/>
            <w:tcMar>
              <w:top w:w="60" w:type="dxa"/>
              <w:left w:w="100" w:type="dxa"/>
              <w:bottom w:w="60" w:type="dxa"/>
              <w:right w:w="100" w:type="dxa"/>
            </w:tcMar>
          </w:tcPr>
          <w:p w14:paraId="3982B9A8">
            <w:pPr>
              <w:spacing w:after="0"/>
            </w:pPr>
            <w:r>
              <w:rPr>
                <w:sz w:val="20"/>
                <w:szCs w:val="20"/>
              </w:rPr>
              <w:t>TimescaleDB / Redis</w:t>
            </w:r>
          </w:p>
        </w:tc>
        <w:tc>
          <w:tcPr>
            <w:tcW w:w="2200" w:type="dxa"/>
            <w:shd w:val="clear" w:color="auto" w:fill="FFFFFF"/>
            <w:tcMar>
              <w:top w:w="60" w:type="dxa"/>
              <w:left w:w="100" w:type="dxa"/>
              <w:bottom w:w="60" w:type="dxa"/>
              <w:right w:w="100" w:type="dxa"/>
            </w:tcMar>
          </w:tcPr>
          <w:p w14:paraId="69D9C1AD">
            <w:pPr>
              <w:spacing w:after="0"/>
            </w:pPr>
            <w:r>
              <w:rPr>
                <w:sz w:val="20"/>
                <w:szCs w:val="20"/>
              </w:rPr>
              <w:t>FastAPI</w:t>
            </w:r>
          </w:p>
        </w:tc>
        <w:tc>
          <w:tcPr>
            <w:tcW w:w="1900" w:type="dxa"/>
            <w:shd w:val="clear" w:color="auto" w:fill="FFFFFF"/>
            <w:tcMar>
              <w:top w:w="60" w:type="dxa"/>
              <w:left w:w="100" w:type="dxa"/>
              <w:bottom w:w="60" w:type="dxa"/>
              <w:right w:w="100" w:type="dxa"/>
            </w:tcMar>
          </w:tcPr>
          <w:p w14:paraId="66920538">
            <w:pPr>
              <w:spacing w:after="0"/>
            </w:pPr>
            <w:r>
              <w:rPr>
                <w:sz w:val="20"/>
                <w:szCs w:val="20"/>
              </w:rPr>
              <w:t>asyncpg / redis.asyncio</w:t>
            </w:r>
          </w:p>
        </w:tc>
      </w:tr>
      <w:tr w14:paraId="2BBF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22F1A2EE">
            <w:pPr>
              <w:spacing w:after="0"/>
            </w:pPr>
            <w:r>
              <w:rPr>
                <w:b/>
                <w:bCs/>
                <w:sz w:val="20"/>
                <w:szCs w:val="20"/>
              </w:rPr>
              <w:t>Dashboard data</w:t>
            </w:r>
          </w:p>
        </w:tc>
        <w:tc>
          <w:tcPr>
            <w:tcW w:w="2200" w:type="dxa"/>
            <w:shd w:val="clear" w:color="auto" w:fill="FFFFFF"/>
            <w:tcMar>
              <w:top w:w="60" w:type="dxa"/>
              <w:left w:w="100" w:type="dxa"/>
              <w:bottom w:w="60" w:type="dxa"/>
              <w:right w:w="100" w:type="dxa"/>
            </w:tcMar>
          </w:tcPr>
          <w:p w14:paraId="7A23F3F1">
            <w:pPr>
              <w:spacing w:after="0"/>
            </w:pPr>
            <w:r>
              <w:rPr>
                <w:sz w:val="20"/>
                <w:szCs w:val="20"/>
              </w:rPr>
              <w:t>FastAPI</w:t>
            </w:r>
          </w:p>
        </w:tc>
        <w:tc>
          <w:tcPr>
            <w:tcW w:w="2200" w:type="dxa"/>
            <w:shd w:val="clear" w:color="auto" w:fill="FFFFFF"/>
            <w:tcMar>
              <w:top w:w="60" w:type="dxa"/>
              <w:left w:w="100" w:type="dxa"/>
              <w:bottom w:w="60" w:type="dxa"/>
              <w:right w:w="100" w:type="dxa"/>
            </w:tcMar>
          </w:tcPr>
          <w:p w14:paraId="491E5CF5">
            <w:pPr>
              <w:spacing w:after="0"/>
            </w:pPr>
            <w:r>
              <w:rPr>
                <w:sz w:val="20"/>
                <w:szCs w:val="20"/>
              </w:rPr>
              <w:t>Streamlit</w:t>
            </w:r>
          </w:p>
        </w:tc>
        <w:tc>
          <w:tcPr>
            <w:tcW w:w="1900" w:type="dxa"/>
            <w:shd w:val="clear" w:color="auto" w:fill="FFFFFF"/>
            <w:tcMar>
              <w:top w:w="60" w:type="dxa"/>
              <w:left w:w="100" w:type="dxa"/>
              <w:bottom w:w="60" w:type="dxa"/>
              <w:right w:w="100" w:type="dxa"/>
            </w:tcMar>
          </w:tcPr>
          <w:p w14:paraId="277C3053">
            <w:pPr>
              <w:spacing w:after="0"/>
            </w:pPr>
            <w:r>
              <w:rPr>
                <w:sz w:val="20"/>
                <w:szCs w:val="20"/>
              </w:rPr>
              <w:t>HTTP GET, requests library</w:t>
            </w:r>
          </w:p>
        </w:tc>
      </w:tr>
      <w:tr w14:paraId="391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74C27C33">
            <w:pPr>
              <w:spacing w:after="0"/>
            </w:pPr>
            <w:r>
              <w:rPr>
                <w:b/>
                <w:bCs/>
                <w:sz w:val="20"/>
                <w:szCs w:val="20"/>
              </w:rPr>
              <w:t>Latest record cache</w:t>
            </w:r>
          </w:p>
        </w:tc>
        <w:tc>
          <w:tcPr>
            <w:tcW w:w="2200" w:type="dxa"/>
            <w:shd w:val="clear" w:color="auto" w:fill="FFFFFF"/>
            <w:tcMar>
              <w:top w:w="60" w:type="dxa"/>
              <w:left w:w="100" w:type="dxa"/>
              <w:bottom w:w="60" w:type="dxa"/>
              <w:right w:w="100" w:type="dxa"/>
            </w:tcMar>
          </w:tcPr>
          <w:p w14:paraId="50E5D5D7">
            <w:pPr>
              <w:spacing w:after="0"/>
            </w:pPr>
            <w:r>
              <w:rPr>
                <w:sz w:val="20"/>
                <w:szCs w:val="20"/>
              </w:rPr>
              <w:t>FastAPI</w:t>
            </w:r>
          </w:p>
        </w:tc>
        <w:tc>
          <w:tcPr>
            <w:tcW w:w="2200" w:type="dxa"/>
            <w:shd w:val="clear" w:color="auto" w:fill="FFFFFF"/>
            <w:tcMar>
              <w:top w:w="60" w:type="dxa"/>
              <w:left w:w="100" w:type="dxa"/>
              <w:bottom w:w="60" w:type="dxa"/>
              <w:right w:w="100" w:type="dxa"/>
            </w:tcMar>
          </w:tcPr>
          <w:p w14:paraId="4EB31628">
            <w:pPr>
              <w:spacing w:after="0"/>
            </w:pPr>
            <w:r>
              <w:rPr>
                <w:sz w:val="20"/>
                <w:szCs w:val="20"/>
              </w:rPr>
              <w:t>Redis</w:t>
            </w:r>
          </w:p>
        </w:tc>
        <w:tc>
          <w:tcPr>
            <w:tcW w:w="1900" w:type="dxa"/>
            <w:shd w:val="clear" w:color="auto" w:fill="FFFFFF"/>
            <w:tcMar>
              <w:top w:w="60" w:type="dxa"/>
              <w:left w:w="100" w:type="dxa"/>
              <w:bottom w:w="60" w:type="dxa"/>
              <w:right w:w="100" w:type="dxa"/>
            </w:tcMar>
          </w:tcPr>
          <w:p w14:paraId="7289F159">
            <w:pPr>
              <w:spacing w:after="0"/>
            </w:pPr>
            <w:r>
              <w:rPr>
                <w:sz w:val="20"/>
                <w:szCs w:val="20"/>
              </w:rPr>
              <w:t>JSON, 5s TTL, setex/get</w:t>
            </w:r>
          </w:p>
        </w:tc>
      </w:tr>
      <w:tr w14:paraId="2E8B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5143138E">
            <w:pPr>
              <w:spacing w:after="0"/>
            </w:pPr>
            <w:r>
              <w:rPr>
                <w:b/>
                <w:bCs/>
                <w:sz w:val="20"/>
                <w:szCs w:val="20"/>
              </w:rPr>
              <w:t>Pass schedule</w:t>
            </w:r>
          </w:p>
        </w:tc>
        <w:tc>
          <w:tcPr>
            <w:tcW w:w="2200" w:type="dxa"/>
            <w:shd w:val="clear" w:color="auto" w:fill="FFFFFF"/>
            <w:tcMar>
              <w:top w:w="60" w:type="dxa"/>
              <w:left w:w="100" w:type="dxa"/>
              <w:bottom w:w="60" w:type="dxa"/>
              <w:right w:w="100" w:type="dxa"/>
            </w:tcMar>
          </w:tcPr>
          <w:p w14:paraId="76ED810B">
            <w:pPr>
              <w:spacing w:after="0"/>
            </w:pPr>
            <w:r>
              <w:rPr>
                <w:sz w:val="20"/>
                <w:szCs w:val="20"/>
              </w:rPr>
              <w:t>ILP Scheduler</w:t>
            </w:r>
          </w:p>
        </w:tc>
        <w:tc>
          <w:tcPr>
            <w:tcW w:w="2200" w:type="dxa"/>
            <w:shd w:val="clear" w:color="auto" w:fill="FFFFFF"/>
            <w:tcMar>
              <w:top w:w="60" w:type="dxa"/>
              <w:left w:w="100" w:type="dxa"/>
              <w:bottom w:w="60" w:type="dxa"/>
              <w:right w:w="100" w:type="dxa"/>
            </w:tcMar>
          </w:tcPr>
          <w:p w14:paraId="3025E2A5">
            <w:pPr>
              <w:spacing w:after="0"/>
            </w:pPr>
            <w:r>
              <w:rPr>
                <w:sz w:val="20"/>
                <w:szCs w:val="20"/>
              </w:rPr>
              <w:t>Kafka</w:t>
            </w:r>
          </w:p>
        </w:tc>
        <w:tc>
          <w:tcPr>
            <w:tcW w:w="1900" w:type="dxa"/>
            <w:shd w:val="clear" w:color="auto" w:fill="FFFFFF"/>
            <w:tcMar>
              <w:top w:w="60" w:type="dxa"/>
              <w:left w:w="100" w:type="dxa"/>
              <w:bottom w:w="60" w:type="dxa"/>
              <w:right w:w="100" w:type="dxa"/>
            </w:tcMar>
          </w:tcPr>
          <w:p w14:paraId="432734DC">
            <w:pPr>
              <w:spacing w:after="0"/>
            </w:pPr>
            <w:r>
              <w:rPr>
                <w:sz w:val="20"/>
                <w:szCs w:val="20"/>
              </w:rPr>
              <w:t>JSON, passes.schedule topic</w:t>
            </w:r>
          </w:p>
        </w:tc>
      </w:tr>
    </w:tbl>
    <w:p w14:paraId="215929E0">
      <w:pPr>
        <w:spacing w:after="80"/>
      </w:pPr>
    </w:p>
    <w:p w14:paraId="0D8F6EAF">
      <w:pPr>
        <w:pStyle w:val="3"/>
        <w:spacing w:before="240" w:after="80"/>
      </w:pPr>
      <w:r>
        <w:t>13.2 External interfaces (Sprint 7)</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2928"/>
        <w:gridCol w:w="2164"/>
        <w:gridCol w:w="2162"/>
        <w:gridCol w:w="2046"/>
      </w:tblGrid>
      <w:tr w14:paraId="4C023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D9E1F2"/>
            <w:tcMar>
              <w:top w:w="80" w:type="dxa"/>
              <w:left w:w="100" w:type="dxa"/>
              <w:bottom w:w="80" w:type="dxa"/>
              <w:right w:w="100" w:type="dxa"/>
            </w:tcMar>
          </w:tcPr>
          <w:p w14:paraId="14C63399">
            <w:pPr>
              <w:spacing w:after="0"/>
              <w:jc w:val="center"/>
            </w:pPr>
            <w:r>
              <w:rPr>
                <w:b/>
                <w:bCs/>
                <w:color w:val="1F3864"/>
                <w:sz w:val="20"/>
                <w:szCs w:val="20"/>
              </w:rPr>
              <w:t>Interface</w:t>
            </w:r>
          </w:p>
        </w:tc>
        <w:tc>
          <w:tcPr>
            <w:tcW w:w="2200" w:type="dxa"/>
            <w:shd w:val="clear" w:color="auto" w:fill="D9E1F2"/>
            <w:tcMar>
              <w:top w:w="80" w:type="dxa"/>
              <w:left w:w="100" w:type="dxa"/>
              <w:bottom w:w="80" w:type="dxa"/>
              <w:right w:w="100" w:type="dxa"/>
            </w:tcMar>
          </w:tcPr>
          <w:p w14:paraId="50A00DF2">
            <w:pPr>
              <w:spacing w:after="0"/>
              <w:jc w:val="center"/>
            </w:pPr>
            <w:r>
              <w:rPr>
                <w:b/>
                <w:bCs/>
                <w:color w:val="1F3864"/>
                <w:sz w:val="20"/>
                <w:szCs w:val="20"/>
              </w:rPr>
              <w:t>External system</w:t>
            </w:r>
          </w:p>
        </w:tc>
        <w:tc>
          <w:tcPr>
            <w:tcW w:w="2200" w:type="dxa"/>
            <w:shd w:val="clear" w:color="auto" w:fill="D9E1F2"/>
            <w:tcMar>
              <w:top w:w="80" w:type="dxa"/>
              <w:left w:w="100" w:type="dxa"/>
              <w:bottom w:w="80" w:type="dxa"/>
              <w:right w:w="100" w:type="dxa"/>
            </w:tcMar>
          </w:tcPr>
          <w:p w14:paraId="3F1CD0DA">
            <w:pPr>
              <w:spacing w:after="0"/>
              <w:jc w:val="center"/>
            </w:pPr>
            <w:r>
              <w:rPr>
                <w:b/>
                <w:bCs/>
                <w:color w:val="1F3864"/>
                <w:sz w:val="20"/>
                <w:szCs w:val="20"/>
              </w:rPr>
              <w:t>Direction</w:t>
            </w:r>
          </w:p>
        </w:tc>
        <w:tc>
          <w:tcPr>
            <w:tcW w:w="1900" w:type="dxa"/>
            <w:shd w:val="clear" w:color="auto" w:fill="D9E1F2"/>
            <w:tcMar>
              <w:top w:w="80" w:type="dxa"/>
              <w:left w:w="100" w:type="dxa"/>
              <w:bottom w:w="80" w:type="dxa"/>
              <w:right w:w="100" w:type="dxa"/>
            </w:tcMar>
          </w:tcPr>
          <w:p w14:paraId="72A4DC69">
            <w:pPr>
              <w:spacing w:after="0"/>
              <w:jc w:val="center"/>
            </w:pPr>
            <w:r>
              <w:rPr>
                <w:b/>
                <w:bCs/>
                <w:color w:val="1F3864"/>
                <w:sz w:val="20"/>
                <w:szCs w:val="20"/>
              </w:rPr>
              <w:t>Purpose</w:t>
            </w:r>
          </w:p>
        </w:tc>
      </w:tr>
      <w:tr w14:paraId="77D3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46E59E93">
            <w:pPr>
              <w:spacing w:after="0"/>
            </w:pPr>
            <w:r>
              <w:rPr>
                <w:b/>
                <w:bCs/>
                <w:sz w:val="20"/>
                <w:szCs w:val="20"/>
              </w:rPr>
              <w:t>Azure Event Hubs</w:t>
            </w:r>
          </w:p>
        </w:tc>
        <w:tc>
          <w:tcPr>
            <w:tcW w:w="2200" w:type="dxa"/>
            <w:shd w:val="clear" w:color="auto" w:fill="FFFFFF"/>
            <w:tcMar>
              <w:top w:w="60" w:type="dxa"/>
              <w:left w:w="100" w:type="dxa"/>
              <w:bottom w:w="60" w:type="dxa"/>
              <w:right w:w="100" w:type="dxa"/>
            </w:tcMar>
          </w:tcPr>
          <w:p w14:paraId="6319EA84">
            <w:pPr>
              <w:spacing w:after="0"/>
            </w:pPr>
            <w:r>
              <w:rPr>
                <w:sz w:val="20"/>
                <w:szCs w:val="20"/>
              </w:rPr>
              <w:t>Azure cloud</w:t>
            </w:r>
          </w:p>
        </w:tc>
        <w:tc>
          <w:tcPr>
            <w:tcW w:w="2200" w:type="dxa"/>
            <w:shd w:val="clear" w:color="auto" w:fill="FFFFFF"/>
            <w:tcMar>
              <w:top w:w="60" w:type="dxa"/>
              <w:left w:w="100" w:type="dxa"/>
              <w:bottom w:w="60" w:type="dxa"/>
              <w:right w:w="100" w:type="dxa"/>
            </w:tcMar>
          </w:tcPr>
          <w:p w14:paraId="2F555C39">
            <w:pPr>
              <w:spacing w:after="0"/>
            </w:pPr>
            <w:r>
              <w:rPr>
                <w:sz w:val="20"/>
                <w:szCs w:val="20"/>
              </w:rPr>
              <w:t>Bidirectional</w:t>
            </w:r>
          </w:p>
        </w:tc>
        <w:tc>
          <w:tcPr>
            <w:tcW w:w="1900" w:type="dxa"/>
            <w:shd w:val="clear" w:color="auto" w:fill="FFFFFF"/>
            <w:tcMar>
              <w:top w:w="60" w:type="dxa"/>
              <w:left w:w="100" w:type="dxa"/>
              <w:bottom w:w="60" w:type="dxa"/>
              <w:right w:w="100" w:type="dxa"/>
            </w:tcMar>
          </w:tcPr>
          <w:p w14:paraId="1A930380">
            <w:pPr>
              <w:spacing w:after="0"/>
            </w:pPr>
            <w:r>
              <w:rPr>
                <w:sz w:val="20"/>
                <w:szCs w:val="20"/>
              </w:rPr>
              <w:t>Kafka-compatible managed streaming (no code changes required)</w:t>
            </w:r>
          </w:p>
        </w:tc>
      </w:tr>
      <w:tr w14:paraId="2DD9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0EAF2A68">
            <w:pPr>
              <w:spacing w:after="0"/>
            </w:pPr>
            <w:r>
              <w:rPr>
                <w:b/>
                <w:bCs/>
                <w:sz w:val="20"/>
                <w:szCs w:val="20"/>
              </w:rPr>
              <w:t>Azure PostgreSQL</w:t>
            </w:r>
          </w:p>
        </w:tc>
        <w:tc>
          <w:tcPr>
            <w:tcW w:w="2200" w:type="dxa"/>
            <w:shd w:val="clear" w:color="auto" w:fill="FFFFFF"/>
            <w:tcMar>
              <w:top w:w="60" w:type="dxa"/>
              <w:left w:w="100" w:type="dxa"/>
              <w:bottom w:w="60" w:type="dxa"/>
              <w:right w:w="100" w:type="dxa"/>
            </w:tcMar>
          </w:tcPr>
          <w:p w14:paraId="12D81621">
            <w:pPr>
              <w:spacing w:after="0"/>
            </w:pPr>
            <w:r>
              <w:rPr>
                <w:sz w:val="20"/>
                <w:szCs w:val="20"/>
              </w:rPr>
              <w:t>Azure cloud</w:t>
            </w:r>
          </w:p>
        </w:tc>
        <w:tc>
          <w:tcPr>
            <w:tcW w:w="2200" w:type="dxa"/>
            <w:shd w:val="clear" w:color="auto" w:fill="FFFFFF"/>
            <w:tcMar>
              <w:top w:w="60" w:type="dxa"/>
              <w:left w:w="100" w:type="dxa"/>
              <w:bottom w:w="60" w:type="dxa"/>
              <w:right w:w="100" w:type="dxa"/>
            </w:tcMar>
          </w:tcPr>
          <w:p w14:paraId="3AF3FBF5">
            <w:pPr>
              <w:spacing w:after="0"/>
            </w:pPr>
            <w:r>
              <w:rPr>
                <w:sz w:val="20"/>
                <w:szCs w:val="20"/>
              </w:rPr>
              <w:t>Bidirectional</w:t>
            </w:r>
          </w:p>
        </w:tc>
        <w:tc>
          <w:tcPr>
            <w:tcW w:w="1900" w:type="dxa"/>
            <w:shd w:val="clear" w:color="auto" w:fill="FFFFFF"/>
            <w:tcMar>
              <w:top w:w="60" w:type="dxa"/>
              <w:left w:w="100" w:type="dxa"/>
              <w:bottom w:w="60" w:type="dxa"/>
              <w:right w:w="100" w:type="dxa"/>
            </w:tcMar>
          </w:tcPr>
          <w:p w14:paraId="55E34A76">
            <w:pPr>
              <w:spacing w:after="0"/>
            </w:pPr>
            <w:r>
              <w:rPr>
                <w:sz w:val="20"/>
                <w:szCs w:val="20"/>
              </w:rPr>
              <w:t>Managed TimescaleDB with automatic backup and HA</w:t>
            </w:r>
          </w:p>
        </w:tc>
      </w:tr>
      <w:tr w14:paraId="40FD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64D15846">
            <w:pPr>
              <w:spacing w:after="0"/>
            </w:pPr>
            <w:r>
              <w:rPr>
                <w:b/>
                <w:bCs/>
                <w:sz w:val="20"/>
                <w:szCs w:val="20"/>
              </w:rPr>
              <w:t>Space-Track.org</w:t>
            </w:r>
          </w:p>
        </w:tc>
        <w:tc>
          <w:tcPr>
            <w:tcW w:w="2200" w:type="dxa"/>
            <w:shd w:val="clear" w:color="auto" w:fill="FFFFFF"/>
            <w:tcMar>
              <w:top w:w="60" w:type="dxa"/>
              <w:left w:w="100" w:type="dxa"/>
              <w:bottom w:w="60" w:type="dxa"/>
              <w:right w:w="100" w:type="dxa"/>
            </w:tcMar>
          </w:tcPr>
          <w:p w14:paraId="5087A887">
            <w:pPr>
              <w:spacing w:after="0"/>
            </w:pPr>
            <w:r>
              <w:rPr>
                <w:sz w:val="20"/>
                <w:szCs w:val="20"/>
              </w:rPr>
              <w:t>US Space Force</w:t>
            </w:r>
          </w:p>
        </w:tc>
        <w:tc>
          <w:tcPr>
            <w:tcW w:w="2200" w:type="dxa"/>
            <w:shd w:val="clear" w:color="auto" w:fill="FFFFFF"/>
            <w:tcMar>
              <w:top w:w="60" w:type="dxa"/>
              <w:left w:w="100" w:type="dxa"/>
              <w:bottom w:w="60" w:type="dxa"/>
              <w:right w:w="100" w:type="dxa"/>
            </w:tcMar>
          </w:tcPr>
          <w:p w14:paraId="594B5583">
            <w:pPr>
              <w:spacing w:after="0"/>
            </w:pPr>
            <w:r>
              <w:rPr>
                <w:sz w:val="20"/>
                <w:szCs w:val="20"/>
              </w:rPr>
              <w:t>Inbound (future)</w:t>
            </w:r>
          </w:p>
        </w:tc>
        <w:tc>
          <w:tcPr>
            <w:tcW w:w="1900" w:type="dxa"/>
            <w:shd w:val="clear" w:color="auto" w:fill="FFFFFF"/>
            <w:tcMar>
              <w:top w:w="60" w:type="dxa"/>
              <w:left w:w="100" w:type="dxa"/>
              <w:bottom w:w="60" w:type="dxa"/>
              <w:right w:w="100" w:type="dxa"/>
            </w:tcMar>
          </w:tcPr>
          <w:p w14:paraId="6670FFA2">
            <w:pPr>
              <w:spacing w:after="0"/>
            </w:pPr>
            <w:r>
              <w:rPr>
                <w:sz w:val="20"/>
                <w:szCs w:val="20"/>
              </w:rPr>
              <w:t>Real satellite TLEs for production operations with actual spacecraft</w:t>
            </w:r>
          </w:p>
        </w:tc>
      </w:tr>
      <w:tr w14:paraId="59822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474D91FB">
            <w:pPr>
              <w:spacing w:after="0"/>
            </w:pPr>
            <w:r>
              <w:rPr>
                <w:b/>
                <w:bCs/>
                <w:sz w:val="20"/>
                <w:szCs w:val="20"/>
              </w:rPr>
              <w:t>IGS data centres</w:t>
            </w:r>
          </w:p>
        </w:tc>
        <w:tc>
          <w:tcPr>
            <w:tcW w:w="2200" w:type="dxa"/>
            <w:shd w:val="clear" w:color="auto" w:fill="FFFFFF"/>
            <w:tcMar>
              <w:top w:w="60" w:type="dxa"/>
              <w:left w:w="100" w:type="dxa"/>
              <w:bottom w:w="60" w:type="dxa"/>
              <w:right w:w="100" w:type="dxa"/>
            </w:tcMar>
          </w:tcPr>
          <w:p w14:paraId="00A8D3BC">
            <w:pPr>
              <w:spacing w:after="0"/>
            </w:pPr>
            <w:r>
              <w:rPr>
                <w:sz w:val="20"/>
                <w:szCs w:val="20"/>
              </w:rPr>
              <w:t>International GNSS Service</w:t>
            </w:r>
          </w:p>
        </w:tc>
        <w:tc>
          <w:tcPr>
            <w:tcW w:w="2200" w:type="dxa"/>
            <w:shd w:val="clear" w:color="auto" w:fill="FFFFFF"/>
            <w:tcMar>
              <w:top w:w="60" w:type="dxa"/>
              <w:left w:w="100" w:type="dxa"/>
              <w:bottom w:w="60" w:type="dxa"/>
              <w:right w:w="100" w:type="dxa"/>
            </w:tcMar>
          </w:tcPr>
          <w:p w14:paraId="4D710E2D">
            <w:pPr>
              <w:spacing w:after="0"/>
            </w:pPr>
            <w:r>
              <w:rPr>
                <w:sz w:val="20"/>
                <w:szCs w:val="20"/>
              </w:rPr>
              <w:t>Inbound</w:t>
            </w:r>
          </w:p>
        </w:tc>
        <w:tc>
          <w:tcPr>
            <w:tcW w:w="1900" w:type="dxa"/>
            <w:shd w:val="clear" w:color="auto" w:fill="FFFFFF"/>
            <w:tcMar>
              <w:top w:w="60" w:type="dxa"/>
              <w:left w:w="100" w:type="dxa"/>
              <w:bottom w:w="60" w:type="dxa"/>
              <w:right w:w="100" w:type="dxa"/>
            </w:tcMar>
          </w:tcPr>
          <w:p w14:paraId="314C3E6C">
            <w:pPr>
              <w:spacing w:after="0"/>
            </w:pPr>
            <w:r>
              <w:rPr>
                <w:sz w:val="20"/>
                <w:szCs w:val="20"/>
              </w:rPr>
              <w:t>SP3 precise ephemeris files for NavigationTruthModel (alternative to full HPOP)</w:t>
            </w:r>
          </w:p>
        </w:tc>
      </w:tr>
    </w:tbl>
    <w:p w14:paraId="10F0EF2C">
      <w:r>
        <w:br w:type="page"/>
      </w:r>
    </w:p>
    <w:p w14:paraId="4145BE40">
      <w:pPr>
        <w:pStyle w:val="2"/>
        <w:spacing w:before="360" w:after="120"/>
      </w:pPr>
      <w:r>
        <w:t>14. Assumptions and Dependencies</w:t>
      </w:r>
    </w:p>
    <w:p w14:paraId="778B6F5F">
      <w:pPr>
        <w:pStyle w:val="3"/>
        <w:spacing w:before="240" w:after="80"/>
      </w:pPr>
      <w:r>
        <w:t>14.1 Assumptions</w:t>
      </w:r>
    </w:p>
    <w:p w14:paraId="446D3C5C">
      <w:pPr>
        <w:pStyle w:val="16"/>
        <w:numPr>
          <w:ilvl w:val="0"/>
          <w:numId w:val="2"/>
        </w:numPr>
        <w:spacing w:after="60"/>
      </w:pPr>
      <w:r>
        <w:rPr>
          <w:sz w:val="22"/>
          <w:szCs w:val="22"/>
        </w:rPr>
        <w:t>The satellite simulator faithfully represents the operational behaviour of a real LEO satellite for the purposes of anomaly detection model training. The eclipse-aware physics models produce telemetry with correlation structure that a real spacecraft would exhibit, even if the specific parameter values differ from any particular spacecraft design.</w:t>
      </w:r>
    </w:p>
    <w:p w14:paraId="37ED9CD2">
      <w:pPr>
        <w:pStyle w:val="16"/>
        <w:numPr>
          <w:ilvl w:val="0"/>
          <w:numId w:val="2"/>
        </w:numPr>
        <w:spacing w:after="60"/>
      </w:pPr>
      <w:r>
        <w:rPr>
          <w:sz w:val="22"/>
          <w:szCs w:val="22"/>
        </w:rPr>
        <w:t>SGP4 orbit propagation is accurate enough for operational purposes (contact scheduling, eclipse detection, ground track visualisation) at LEO altitudes. Sub-kilometre positional accuracy is not required for these applications.</w:t>
      </w:r>
    </w:p>
    <w:p w14:paraId="7DA2FC50">
      <w:pPr>
        <w:pStyle w:val="16"/>
        <w:numPr>
          <w:ilvl w:val="0"/>
          <w:numId w:val="2"/>
        </w:numPr>
        <w:spacing w:after="60"/>
      </w:pPr>
      <w:r>
        <w:rPr>
          <w:sz w:val="22"/>
          <w:szCs w:val="22"/>
        </w:rPr>
        <w:t>The Isolation Forest anomaly detection model, trained on Scenario 1–3 telemetry, will generalise to anomaly patterns that were not present in the training data, provided those anomalies represent meaningful deviations from the eclipse-correlated normal baseline.</w:t>
      </w:r>
    </w:p>
    <w:p w14:paraId="63E31572">
      <w:pPr>
        <w:pStyle w:val="16"/>
        <w:numPr>
          <w:ilvl w:val="0"/>
          <w:numId w:val="2"/>
        </w:numPr>
        <w:spacing w:after="60"/>
      </w:pPr>
      <w:r>
        <w:rPr>
          <w:sz w:val="22"/>
          <w:szCs w:val="22"/>
        </w:rPr>
        <w:t>LEO and Molniya HEO telemetry signatures are sufficiently different that training a single model on both data types would produce a baseline suitable for neither. This assumption motivates the orbit_type separation architecture.</w:t>
      </w:r>
    </w:p>
    <w:p w14:paraId="6DB5ED9B">
      <w:pPr>
        <w:pStyle w:val="16"/>
        <w:numPr>
          <w:ilvl w:val="0"/>
          <w:numId w:val="2"/>
        </w:numPr>
        <w:spacing w:after="60"/>
      </w:pPr>
      <w:r>
        <w:rPr>
          <w:sz w:val="22"/>
          <w:szCs w:val="22"/>
        </w:rPr>
        <w:t>The HPOP NavigationTruthModel (poliastro with EGM2008 + NRLMSISE-00) achieves 1–10 metre positional accuracy for LEO circular orbits over observation windows of less than one hour. This accuracy is sufficient to validate navigation claims in the 50–200 metre range from the OFDM waveform.</w:t>
      </w:r>
    </w:p>
    <w:p w14:paraId="327D2AE5">
      <w:pPr>
        <w:spacing w:after="80"/>
      </w:pPr>
    </w:p>
    <w:p w14:paraId="655466DF">
      <w:pPr>
        <w:pStyle w:val="3"/>
        <w:spacing w:before="240" w:after="80"/>
      </w:pPr>
      <w:r>
        <w:t>14.2 Dependencies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0" w:type="dxa"/>
          <w:left w:w="60" w:type="dxa"/>
          <w:bottom w:w="60" w:type="dxa"/>
          <w:right w:w="60" w:type="dxa"/>
        </w:tblCellMar>
      </w:tblPr>
      <w:tblGrid>
        <w:gridCol w:w="3000"/>
        <w:gridCol w:w="2000"/>
        <w:gridCol w:w="4300"/>
      </w:tblGrid>
      <w:tr w14:paraId="0115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D9E1F2"/>
            <w:tcMar>
              <w:top w:w="80" w:type="dxa"/>
              <w:left w:w="100" w:type="dxa"/>
              <w:bottom w:w="80" w:type="dxa"/>
              <w:right w:w="100" w:type="dxa"/>
            </w:tcMar>
          </w:tcPr>
          <w:p w14:paraId="5A97291E">
            <w:pPr>
              <w:spacing w:after="0"/>
              <w:jc w:val="center"/>
            </w:pPr>
            <w:r>
              <w:rPr>
                <w:b/>
                <w:bCs/>
                <w:color w:val="1F3864"/>
                <w:sz w:val="20"/>
                <w:szCs w:val="20"/>
              </w:rPr>
              <w:t>Dependency</w:t>
            </w:r>
          </w:p>
        </w:tc>
        <w:tc>
          <w:tcPr>
            <w:tcW w:w="2000" w:type="dxa"/>
            <w:shd w:val="clear" w:color="auto" w:fill="D9E1F2"/>
            <w:tcMar>
              <w:top w:w="80" w:type="dxa"/>
              <w:left w:w="100" w:type="dxa"/>
              <w:bottom w:w="80" w:type="dxa"/>
              <w:right w:w="100" w:type="dxa"/>
            </w:tcMar>
          </w:tcPr>
          <w:p w14:paraId="2B323E14">
            <w:pPr>
              <w:spacing w:after="0"/>
              <w:jc w:val="center"/>
            </w:pPr>
            <w:r>
              <w:rPr>
                <w:b/>
                <w:bCs/>
                <w:color w:val="1F3864"/>
                <w:sz w:val="20"/>
                <w:szCs w:val="20"/>
              </w:rPr>
              <w:t>Type</w:t>
            </w:r>
          </w:p>
        </w:tc>
        <w:tc>
          <w:tcPr>
            <w:tcW w:w="4300" w:type="dxa"/>
            <w:shd w:val="clear" w:color="auto" w:fill="D9E1F2"/>
            <w:tcMar>
              <w:top w:w="80" w:type="dxa"/>
              <w:left w:w="100" w:type="dxa"/>
              <w:bottom w:w="80" w:type="dxa"/>
              <w:right w:w="100" w:type="dxa"/>
            </w:tcMar>
          </w:tcPr>
          <w:p w14:paraId="48AF9AEA">
            <w:pPr>
              <w:spacing w:after="0"/>
              <w:jc w:val="center"/>
            </w:pPr>
            <w:r>
              <w:rPr>
                <w:b/>
                <w:bCs/>
                <w:color w:val="1F3864"/>
                <w:sz w:val="20"/>
                <w:szCs w:val="20"/>
              </w:rPr>
              <w:t>Required for</w:t>
            </w:r>
          </w:p>
        </w:tc>
      </w:tr>
      <w:tr w14:paraId="35E73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3F3FA364">
            <w:pPr>
              <w:spacing w:after="0"/>
            </w:pPr>
            <w:r>
              <w:rPr>
                <w:b/>
                <w:bCs/>
                <w:sz w:val="20"/>
                <w:szCs w:val="20"/>
              </w:rPr>
              <w:t>Docker Desktop</w:t>
            </w:r>
          </w:p>
        </w:tc>
        <w:tc>
          <w:tcPr>
            <w:tcW w:w="2000" w:type="dxa"/>
            <w:shd w:val="clear" w:color="auto" w:fill="FFFFFF"/>
            <w:tcMar>
              <w:top w:w="60" w:type="dxa"/>
              <w:left w:w="100" w:type="dxa"/>
              <w:bottom w:w="60" w:type="dxa"/>
              <w:right w:w="100" w:type="dxa"/>
            </w:tcMar>
          </w:tcPr>
          <w:p w14:paraId="66F88212">
            <w:pPr>
              <w:spacing w:after="0"/>
            </w:pPr>
            <w:r>
              <w:rPr>
                <w:sz w:val="20"/>
                <w:szCs w:val="20"/>
              </w:rPr>
              <w:t>Infrastructure</w:t>
            </w:r>
          </w:p>
        </w:tc>
        <w:tc>
          <w:tcPr>
            <w:tcW w:w="4300" w:type="dxa"/>
            <w:shd w:val="clear" w:color="auto" w:fill="FFFFFF"/>
            <w:tcMar>
              <w:top w:w="60" w:type="dxa"/>
              <w:left w:w="100" w:type="dxa"/>
              <w:bottom w:w="60" w:type="dxa"/>
              <w:right w:w="100" w:type="dxa"/>
            </w:tcMar>
          </w:tcPr>
          <w:p w14:paraId="3398BD7E">
            <w:pPr>
              <w:spacing w:after="0"/>
            </w:pPr>
            <w:r>
              <w:rPr>
                <w:sz w:val="20"/>
                <w:szCs w:val="20"/>
              </w:rPr>
              <w:t>Kafka, TimescaleDB, Redis — all development operations</w:t>
            </w:r>
          </w:p>
        </w:tc>
      </w:tr>
      <w:tr w14:paraId="651F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5A619ACA">
            <w:pPr>
              <w:spacing w:after="0"/>
            </w:pPr>
            <w:r>
              <w:rPr>
                <w:b/>
                <w:bCs/>
                <w:sz w:val="20"/>
                <w:szCs w:val="20"/>
              </w:rPr>
              <w:t>sgp4 library (v2.27)</w:t>
            </w:r>
          </w:p>
        </w:tc>
        <w:tc>
          <w:tcPr>
            <w:tcW w:w="2000" w:type="dxa"/>
            <w:shd w:val="clear" w:color="auto" w:fill="FFFFFF"/>
            <w:tcMar>
              <w:top w:w="60" w:type="dxa"/>
              <w:left w:w="100" w:type="dxa"/>
              <w:bottom w:w="60" w:type="dxa"/>
              <w:right w:w="100" w:type="dxa"/>
            </w:tcMar>
          </w:tcPr>
          <w:p w14:paraId="6AE36755">
            <w:pPr>
              <w:spacing w:after="0"/>
            </w:pPr>
            <w:r>
              <w:rPr>
                <w:sz w:val="20"/>
                <w:szCs w:val="20"/>
              </w:rPr>
              <w:t>Python package</w:t>
            </w:r>
          </w:p>
        </w:tc>
        <w:tc>
          <w:tcPr>
            <w:tcW w:w="4300" w:type="dxa"/>
            <w:shd w:val="clear" w:color="auto" w:fill="FFFFFF"/>
            <w:tcMar>
              <w:top w:w="60" w:type="dxa"/>
              <w:left w:w="100" w:type="dxa"/>
              <w:bottom w:w="60" w:type="dxa"/>
              <w:right w:w="100" w:type="dxa"/>
            </w:tcMar>
          </w:tcPr>
          <w:p w14:paraId="0C05819B">
            <w:pPr>
              <w:spacing w:after="0"/>
            </w:pPr>
            <w:r>
              <w:rPr>
                <w:sz w:val="20"/>
                <w:szCs w:val="20"/>
              </w:rPr>
              <w:t>Orbit propagation, eclipse detection, all scenarios</w:t>
            </w:r>
          </w:p>
        </w:tc>
      </w:tr>
      <w:tr w14:paraId="68388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5A9D65B5">
            <w:pPr>
              <w:spacing w:after="0"/>
            </w:pPr>
            <w:r>
              <w:rPr>
                <w:b/>
                <w:bCs/>
                <w:sz w:val="20"/>
                <w:szCs w:val="20"/>
              </w:rPr>
              <w:t>Apache Kafka (KRaft)</w:t>
            </w:r>
          </w:p>
        </w:tc>
        <w:tc>
          <w:tcPr>
            <w:tcW w:w="2000" w:type="dxa"/>
            <w:shd w:val="clear" w:color="auto" w:fill="FFFFFF"/>
            <w:tcMar>
              <w:top w:w="60" w:type="dxa"/>
              <w:left w:w="100" w:type="dxa"/>
              <w:bottom w:w="60" w:type="dxa"/>
              <w:right w:w="100" w:type="dxa"/>
            </w:tcMar>
          </w:tcPr>
          <w:p w14:paraId="796DC99E">
            <w:pPr>
              <w:spacing w:after="0"/>
            </w:pPr>
            <w:r>
              <w:rPr>
                <w:sz w:val="20"/>
                <w:szCs w:val="20"/>
              </w:rPr>
              <w:t>Infrastructure</w:t>
            </w:r>
          </w:p>
        </w:tc>
        <w:tc>
          <w:tcPr>
            <w:tcW w:w="4300" w:type="dxa"/>
            <w:shd w:val="clear" w:color="auto" w:fill="FFFFFF"/>
            <w:tcMar>
              <w:top w:w="60" w:type="dxa"/>
              <w:left w:w="100" w:type="dxa"/>
              <w:bottom w:w="60" w:type="dxa"/>
              <w:right w:w="100" w:type="dxa"/>
            </w:tcMar>
          </w:tcPr>
          <w:p w14:paraId="344DED5C">
            <w:pPr>
              <w:spacing w:after="0"/>
            </w:pPr>
            <w:r>
              <w:rPr>
                <w:sz w:val="20"/>
                <w:szCs w:val="20"/>
              </w:rPr>
              <w:t>All inter-service telemetry flow from Sprint 3 onward</w:t>
            </w:r>
          </w:p>
        </w:tc>
      </w:tr>
      <w:tr w14:paraId="2EB41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6BF71748">
            <w:pPr>
              <w:spacing w:after="0"/>
            </w:pPr>
            <w:r>
              <w:rPr>
                <w:b/>
                <w:bCs/>
                <w:sz w:val="20"/>
                <w:szCs w:val="20"/>
              </w:rPr>
              <w:t>TimescaleDB (pg16)</w:t>
            </w:r>
          </w:p>
        </w:tc>
        <w:tc>
          <w:tcPr>
            <w:tcW w:w="2000" w:type="dxa"/>
            <w:shd w:val="clear" w:color="auto" w:fill="FFFFFF"/>
            <w:tcMar>
              <w:top w:w="60" w:type="dxa"/>
              <w:left w:w="100" w:type="dxa"/>
              <w:bottom w:w="60" w:type="dxa"/>
              <w:right w:w="100" w:type="dxa"/>
            </w:tcMar>
          </w:tcPr>
          <w:p w14:paraId="48A4709C">
            <w:pPr>
              <w:spacing w:after="0"/>
            </w:pPr>
            <w:r>
              <w:rPr>
                <w:sz w:val="20"/>
                <w:szCs w:val="20"/>
              </w:rPr>
              <w:t>Infrastructure</w:t>
            </w:r>
          </w:p>
        </w:tc>
        <w:tc>
          <w:tcPr>
            <w:tcW w:w="4300" w:type="dxa"/>
            <w:shd w:val="clear" w:color="auto" w:fill="FFFFFF"/>
            <w:tcMar>
              <w:top w:w="60" w:type="dxa"/>
              <w:left w:w="100" w:type="dxa"/>
              <w:bottom w:w="60" w:type="dxa"/>
              <w:right w:w="100" w:type="dxa"/>
            </w:tcMar>
          </w:tcPr>
          <w:p w14:paraId="5D15E813">
            <w:pPr>
              <w:spacing w:after="0"/>
            </w:pPr>
            <w:r>
              <w:rPr>
                <w:sz w:val="20"/>
                <w:szCs w:val="20"/>
              </w:rPr>
              <w:t>Telemetry persistence, training data export, API queries</w:t>
            </w:r>
          </w:p>
        </w:tc>
      </w:tr>
      <w:tr w14:paraId="2327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4CA56F1B">
            <w:pPr>
              <w:spacing w:after="0"/>
            </w:pPr>
            <w:r>
              <w:rPr>
                <w:b/>
                <w:bCs/>
                <w:sz w:val="20"/>
                <w:szCs w:val="20"/>
              </w:rPr>
              <w:t>poliastro</w:t>
            </w:r>
          </w:p>
        </w:tc>
        <w:tc>
          <w:tcPr>
            <w:tcW w:w="2000" w:type="dxa"/>
            <w:shd w:val="clear" w:color="auto" w:fill="FFFFFF"/>
            <w:tcMar>
              <w:top w:w="60" w:type="dxa"/>
              <w:left w:w="100" w:type="dxa"/>
              <w:bottom w:w="60" w:type="dxa"/>
              <w:right w:w="100" w:type="dxa"/>
            </w:tcMar>
          </w:tcPr>
          <w:p w14:paraId="75FCE63B">
            <w:pPr>
              <w:spacing w:after="0"/>
            </w:pPr>
            <w:r>
              <w:rPr>
                <w:sz w:val="20"/>
                <w:szCs w:val="20"/>
              </w:rPr>
              <w:t>Python package</w:t>
            </w:r>
          </w:p>
        </w:tc>
        <w:tc>
          <w:tcPr>
            <w:tcW w:w="4300" w:type="dxa"/>
            <w:shd w:val="clear" w:color="auto" w:fill="FFFFFF"/>
            <w:tcMar>
              <w:top w:w="60" w:type="dxa"/>
              <w:left w:w="100" w:type="dxa"/>
              <w:bottom w:w="60" w:type="dxa"/>
              <w:right w:w="100" w:type="dxa"/>
            </w:tcMar>
          </w:tcPr>
          <w:p w14:paraId="38D7A806">
            <w:pPr>
              <w:spacing w:after="0"/>
            </w:pPr>
            <w:r>
              <w:rPr>
                <w:sz w:val="20"/>
                <w:szCs w:val="20"/>
              </w:rPr>
              <w:t>NavigationTruthModel — required for PhD navigation demonstration (Sprint 6)</w:t>
            </w:r>
          </w:p>
        </w:tc>
      </w:tr>
      <w:tr w14:paraId="01B91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6FA977A6">
            <w:pPr>
              <w:spacing w:after="0"/>
            </w:pPr>
            <w:r>
              <w:rPr>
                <w:b/>
                <w:bCs/>
                <w:sz w:val="20"/>
                <w:szCs w:val="20"/>
              </w:rPr>
              <w:t>PuLP</w:t>
            </w:r>
          </w:p>
        </w:tc>
        <w:tc>
          <w:tcPr>
            <w:tcW w:w="2000" w:type="dxa"/>
            <w:shd w:val="clear" w:color="auto" w:fill="FFFFFF"/>
            <w:tcMar>
              <w:top w:w="60" w:type="dxa"/>
              <w:left w:w="100" w:type="dxa"/>
              <w:bottom w:w="60" w:type="dxa"/>
              <w:right w:w="100" w:type="dxa"/>
            </w:tcMar>
          </w:tcPr>
          <w:p w14:paraId="4FEA3327">
            <w:pPr>
              <w:spacing w:after="0"/>
            </w:pPr>
            <w:r>
              <w:rPr>
                <w:sz w:val="20"/>
                <w:szCs w:val="20"/>
              </w:rPr>
              <w:t>Python package</w:t>
            </w:r>
          </w:p>
        </w:tc>
        <w:tc>
          <w:tcPr>
            <w:tcW w:w="4300" w:type="dxa"/>
            <w:shd w:val="clear" w:color="auto" w:fill="FFFFFF"/>
            <w:tcMar>
              <w:top w:w="60" w:type="dxa"/>
              <w:left w:w="100" w:type="dxa"/>
              <w:bottom w:w="60" w:type="dxa"/>
              <w:right w:w="100" w:type="dxa"/>
            </w:tcMar>
          </w:tcPr>
          <w:p w14:paraId="317AF908">
            <w:pPr>
              <w:spacing w:after="0"/>
            </w:pPr>
            <w:r>
              <w:rPr>
                <w:sz w:val="20"/>
                <w:szCs w:val="20"/>
              </w:rPr>
              <w:t>ILP ground station scheduler (Sprint 7)</w:t>
            </w:r>
          </w:p>
        </w:tc>
      </w:tr>
      <w:tr w14:paraId="664A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4620EE20">
            <w:pPr>
              <w:spacing w:after="0"/>
            </w:pPr>
            <w:r>
              <w:rPr>
                <w:b/>
                <w:bCs/>
                <w:sz w:val="20"/>
                <w:szCs w:val="20"/>
              </w:rPr>
              <w:t>MLflow</w:t>
            </w:r>
          </w:p>
        </w:tc>
        <w:tc>
          <w:tcPr>
            <w:tcW w:w="2000" w:type="dxa"/>
            <w:shd w:val="clear" w:color="auto" w:fill="FFFFFF"/>
            <w:tcMar>
              <w:top w:w="60" w:type="dxa"/>
              <w:left w:w="100" w:type="dxa"/>
              <w:bottom w:w="60" w:type="dxa"/>
              <w:right w:w="100" w:type="dxa"/>
            </w:tcMar>
          </w:tcPr>
          <w:p w14:paraId="1857DAD6">
            <w:pPr>
              <w:spacing w:after="0"/>
            </w:pPr>
            <w:r>
              <w:rPr>
                <w:sz w:val="20"/>
                <w:szCs w:val="20"/>
              </w:rPr>
              <w:t>Python package</w:t>
            </w:r>
          </w:p>
        </w:tc>
        <w:tc>
          <w:tcPr>
            <w:tcW w:w="4300" w:type="dxa"/>
            <w:shd w:val="clear" w:color="auto" w:fill="FFFFFF"/>
            <w:tcMar>
              <w:top w:w="60" w:type="dxa"/>
              <w:left w:w="100" w:type="dxa"/>
              <w:bottom w:w="60" w:type="dxa"/>
              <w:right w:w="100" w:type="dxa"/>
            </w:tcMar>
          </w:tcPr>
          <w:p w14:paraId="2CDA0901">
            <w:pPr>
              <w:spacing w:after="0"/>
            </w:pPr>
            <w:r>
              <w:rPr>
                <w:sz w:val="20"/>
                <w:szCs w:val="20"/>
              </w:rPr>
              <w:t>Anomaly detection experiment tracking (Sprint 5)</w:t>
            </w:r>
          </w:p>
        </w:tc>
      </w:tr>
      <w:tr w14:paraId="447AE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4B68EABE">
            <w:pPr>
              <w:spacing w:after="0"/>
            </w:pPr>
            <w:r>
              <w:rPr>
                <w:b/>
                <w:bCs/>
                <w:sz w:val="20"/>
                <w:szCs w:val="20"/>
              </w:rPr>
              <w:t>Azure subscription</w:t>
            </w:r>
          </w:p>
        </w:tc>
        <w:tc>
          <w:tcPr>
            <w:tcW w:w="2000" w:type="dxa"/>
            <w:shd w:val="clear" w:color="auto" w:fill="FFFFFF"/>
            <w:tcMar>
              <w:top w:w="60" w:type="dxa"/>
              <w:left w:w="100" w:type="dxa"/>
              <w:bottom w:w="60" w:type="dxa"/>
              <w:right w:w="100" w:type="dxa"/>
            </w:tcMar>
          </w:tcPr>
          <w:p w14:paraId="2C4C85BC">
            <w:pPr>
              <w:spacing w:after="0"/>
            </w:pPr>
            <w:r>
              <w:rPr>
                <w:sz w:val="20"/>
                <w:szCs w:val="20"/>
              </w:rPr>
              <w:t>Cloud platform</w:t>
            </w:r>
          </w:p>
        </w:tc>
        <w:tc>
          <w:tcPr>
            <w:tcW w:w="4300" w:type="dxa"/>
            <w:shd w:val="clear" w:color="auto" w:fill="FFFFFF"/>
            <w:tcMar>
              <w:top w:w="60" w:type="dxa"/>
              <w:left w:w="100" w:type="dxa"/>
              <w:bottom w:w="60" w:type="dxa"/>
              <w:right w:w="100" w:type="dxa"/>
            </w:tcMar>
          </w:tcPr>
          <w:p w14:paraId="41A79DDD">
            <w:pPr>
              <w:spacing w:after="0"/>
            </w:pPr>
            <w:r>
              <w:rPr>
                <w:sz w:val="20"/>
                <w:szCs w:val="20"/>
              </w:rPr>
              <w:t>Production cloud deployment (Sprint 7)</w:t>
            </w:r>
          </w:p>
        </w:tc>
      </w:tr>
      <w:tr w14:paraId="09EF5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60" w:type="dxa"/>
            <w:bottom w:w="60" w:type="dxa"/>
            <w:right w:w="60" w:type="dxa"/>
          </w:tblCellMar>
        </w:tblPrEx>
        <w:tc>
          <w:tcPr>
            <w:tcW w:w="3000" w:type="dxa"/>
            <w:shd w:val="clear" w:color="auto" w:fill="FFFFFF"/>
            <w:tcMar>
              <w:top w:w="60" w:type="dxa"/>
              <w:left w:w="100" w:type="dxa"/>
              <w:bottom w:w="60" w:type="dxa"/>
              <w:right w:w="100" w:type="dxa"/>
            </w:tcMar>
          </w:tcPr>
          <w:p w14:paraId="52F82D31">
            <w:pPr>
              <w:spacing w:after="0"/>
            </w:pPr>
            <w:r>
              <w:rPr>
                <w:b/>
                <w:bCs/>
                <w:sz w:val="20"/>
                <w:szCs w:val="20"/>
              </w:rPr>
              <w:t>IGS SP3 ephemeris files</w:t>
            </w:r>
          </w:p>
        </w:tc>
        <w:tc>
          <w:tcPr>
            <w:tcW w:w="2000" w:type="dxa"/>
            <w:shd w:val="clear" w:color="auto" w:fill="FFFFFF"/>
            <w:tcMar>
              <w:top w:w="60" w:type="dxa"/>
              <w:left w:w="100" w:type="dxa"/>
              <w:bottom w:w="60" w:type="dxa"/>
              <w:right w:w="100" w:type="dxa"/>
            </w:tcMar>
          </w:tcPr>
          <w:p w14:paraId="235879AA">
            <w:pPr>
              <w:spacing w:after="0"/>
            </w:pPr>
            <w:r>
              <w:rPr>
                <w:sz w:val="20"/>
                <w:szCs w:val="20"/>
              </w:rPr>
              <w:t>External data</w:t>
            </w:r>
          </w:p>
        </w:tc>
        <w:tc>
          <w:tcPr>
            <w:tcW w:w="4300" w:type="dxa"/>
            <w:shd w:val="clear" w:color="auto" w:fill="FFFFFF"/>
            <w:tcMar>
              <w:top w:w="60" w:type="dxa"/>
              <w:left w:w="100" w:type="dxa"/>
              <w:bottom w:w="60" w:type="dxa"/>
              <w:right w:w="100" w:type="dxa"/>
            </w:tcMar>
          </w:tcPr>
          <w:p w14:paraId="46ED0A94">
            <w:pPr>
              <w:spacing w:after="0"/>
            </w:pPr>
            <w:r>
              <w:rPr>
                <w:sz w:val="20"/>
                <w:szCs w:val="20"/>
              </w:rPr>
              <w:t>Lighter-weight alternative to full HPOP for navigation truth (Sprint 6)</w:t>
            </w:r>
          </w:p>
        </w:tc>
      </w:tr>
    </w:tbl>
    <w:p w14:paraId="4F5DFC5F">
      <w:r>
        <w:br w:type="page"/>
      </w:r>
    </w:p>
    <w:p w14:paraId="284AB07F">
      <w:pPr>
        <w:pStyle w:val="2"/>
        <w:spacing w:before="360" w:after="120"/>
      </w:pPr>
      <w:r>
        <w:t>15. Future Operational Capabilities</w:t>
      </w:r>
    </w:p>
    <w:p w14:paraId="342377AF">
      <w:pPr>
        <w:spacing w:after="120"/>
        <w:jc w:val="both"/>
      </w:pPr>
      <w:r>
        <w:rPr>
          <w:sz w:val="22"/>
          <w:szCs w:val="22"/>
        </w:rPr>
        <w:t>The following capabilities are planned in Sprints 5 through 7 and will extend this ConOps when implemented. This section records the operational concept for each so that design decisions can be validated against operational intent before implementation begins.</w:t>
      </w:r>
    </w:p>
    <w:p w14:paraId="1C1622ED">
      <w:pPr>
        <w:pStyle w:val="3"/>
        <w:spacing w:before="240" w:after="80"/>
      </w:pPr>
      <w:r>
        <w:t>15.1 Sprint 5 — Intelligent operations</w:t>
      </w:r>
    </w:p>
    <w:p w14:paraId="1FF6FFCD">
      <w:pPr>
        <w:pStyle w:val="16"/>
        <w:numPr>
          <w:ilvl w:val="0"/>
          <w:numId w:val="1"/>
        </w:numPr>
        <w:spacing w:after="60"/>
      </w:pPr>
      <w:r>
        <w:rPr>
          <w:sz w:val="22"/>
          <w:szCs w:val="22"/>
        </w:rPr>
        <w:t>Real-time anomaly detection: the Isolation Forest model scores every incoming telemetry record and the alarm pipeline delivers WARNING and CRITICAL severity alerts to the operator dashboard within seconds of the triggering event.</w:t>
      </w:r>
    </w:p>
    <w:p w14:paraId="01D9EDD6">
      <w:pPr>
        <w:pStyle w:val="16"/>
        <w:numPr>
          <w:ilvl w:val="0"/>
          <w:numId w:val="1"/>
        </w:numPr>
        <w:spacing w:after="60"/>
      </w:pPr>
      <w:r>
        <w:rPr>
          <w:sz w:val="22"/>
          <w:szCs w:val="22"/>
        </w:rPr>
        <w:t>Fault injection: the simulator can be configured to inject synthetic faults (battery degradation, thermal runaway, safe-mode trigger) into the telemetry stream for model validation. Fault injection is always an explicit operator action — it cannot occur accidentally in a normal operations scenario.</w:t>
      </w:r>
    </w:p>
    <w:p w14:paraId="2951CC96">
      <w:pPr>
        <w:pStyle w:val="16"/>
        <w:numPr>
          <w:ilvl w:val="0"/>
          <w:numId w:val="1"/>
        </w:numPr>
        <w:spacing w:after="60"/>
      </w:pPr>
      <w:r>
        <w:rPr>
          <w:sz w:val="22"/>
          <w:szCs w:val="22"/>
        </w:rPr>
        <w:t>Multi-satellite fleet operations: the ConstellationManager enables simultaneous simulation and monitoring of all four constellation scenarios, with the dashboard displaying a fleet-wide health summary and the ability to drill into any individual satellite.</w:t>
      </w:r>
    </w:p>
    <w:p w14:paraId="202352B8">
      <w:pPr>
        <w:pStyle w:val="16"/>
        <w:numPr>
          <w:ilvl w:val="0"/>
          <w:numId w:val="1"/>
        </w:numPr>
        <w:spacing w:after="60"/>
      </w:pPr>
      <w:r>
        <w:rPr>
          <w:sz w:val="22"/>
          <w:szCs w:val="22"/>
        </w:rPr>
        <w:t>Training data generation at scale: the --speed parameter enables training datasets to be generated orders of magnitude faster than real time, making weekly model retraining practical rather than requiring weeks of simulator runtime.</w:t>
      </w:r>
    </w:p>
    <w:p w14:paraId="3FFADCF8">
      <w:pPr>
        <w:spacing w:after="80"/>
      </w:pPr>
    </w:p>
    <w:p w14:paraId="3BCD7EB8">
      <w:pPr>
        <w:pStyle w:val="3"/>
        <w:spacing w:before="240" w:after="80"/>
      </w:pPr>
      <w:r>
        <w:t>15.2 Sprint 6 — Demonstration operations</w:t>
      </w:r>
    </w:p>
    <w:p w14:paraId="59C05350">
      <w:pPr>
        <w:pStyle w:val="16"/>
        <w:numPr>
          <w:ilvl w:val="0"/>
          <w:numId w:val="1"/>
        </w:numPr>
        <w:spacing w:after="60"/>
      </w:pPr>
      <w:r>
        <w:rPr>
          <w:sz w:val="22"/>
          <w:szCs w:val="22"/>
        </w:rPr>
        <w:t>Precision navigation truth: the NavigationTruthModel (poliastro HPOP) provides 1–10 metre positional accuracy for the PhD navigation validation pipeline, enabling peer-review-defensible navigation accuracy claims from the OFDM ranging solution.</w:t>
      </w:r>
    </w:p>
    <w:p w14:paraId="1E410289">
      <w:pPr>
        <w:pStyle w:val="16"/>
        <w:numPr>
          <w:ilvl w:val="0"/>
          <w:numId w:val="1"/>
        </w:numPr>
        <w:spacing w:after="60"/>
      </w:pPr>
      <w:r>
        <w:rPr>
          <w:sz w:val="22"/>
          <w:szCs w:val="22"/>
        </w:rPr>
        <w:t>Fleet dashboard: all active satellites are displayed simultaneously on a world map, with colour-coded health status and orbit-type differentiation. Coverage statistics (contact fraction, revisit time, simultaneous visibility) are computed and displayed per scenario.</w:t>
      </w:r>
    </w:p>
    <w:p w14:paraId="67FDE5D4">
      <w:pPr>
        <w:pStyle w:val="16"/>
        <w:numPr>
          <w:ilvl w:val="0"/>
          <w:numId w:val="1"/>
        </w:numPr>
        <w:spacing w:after="60"/>
      </w:pPr>
      <w:r>
        <w:rPr>
          <w:sz w:val="22"/>
          <w:szCs w:val="22"/>
        </w:rPr>
        <w:t>Four-scenario progressive demonstration: the complete demonstration sequence from one satellite to 24, followed by the standalone Molniya polar demonstration, is runnable end-to-end as a coherent operational narrative.</w:t>
      </w:r>
    </w:p>
    <w:p w14:paraId="1CB20528">
      <w:pPr>
        <w:spacing w:after="80"/>
      </w:pPr>
    </w:p>
    <w:p w14:paraId="12E58E51">
      <w:pPr>
        <w:pStyle w:val="3"/>
        <w:spacing w:before="240" w:after="80"/>
      </w:pPr>
      <w:r>
        <w:t>15.3 Sprint 7 — Cloud-native and autonomous operations</w:t>
      </w:r>
    </w:p>
    <w:p w14:paraId="5B00CD72">
      <w:pPr>
        <w:pStyle w:val="16"/>
        <w:numPr>
          <w:ilvl w:val="0"/>
          <w:numId w:val="1"/>
        </w:numPr>
        <w:spacing w:after="60"/>
      </w:pPr>
      <w:r>
        <w:rPr>
          <w:sz w:val="22"/>
          <w:szCs w:val="22"/>
        </w:rPr>
        <w:t>ILP ground station scheduler: the contact window assignment problem for 24 satellites and 5 ground stations is solved by a PuLP integer linear programming formulation, replacing the random-duration timer model. The resulting schedule is published to Kafka and consumed by the dashboard, producer, and command queue.</w:t>
      </w:r>
    </w:p>
    <w:p w14:paraId="5EB0E0C5">
      <w:pPr>
        <w:pStyle w:val="16"/>
        <w:numPr>
          <w:ilvl w:val="0"/>
          <w:numId w:val="1"/>
        </w:numPr>
        <w:spacing w:after="60"/>
      </w:pPr>
      <w:r>
        <w:rPr>
          <w:sz w:val="22"/>
          <w:szCs w:val="22"/>
        </w:rPr>
        <w:t>Azure cloud deployment: the platform migrates from local Docker Compose to Azure AKS with managed Event Hubs (Kafka-compatible) and Azure Database for PostgreSQL (TimescaleDB). Application code is unchanged — only environment variables change.</w:t>
      </w:r>
    </w:p>
    <w:p w14:paraId="624EE6BC">
      <w:pPr>
        <w:pStyle w:val="16"/>
        <w:numPr>
          <w:ilvl w:val="0"/>
          <w:numId w:val="1"/>
        </w:numPr>
        <w:spacing w:after="60"/>
      </w:pPr>
      <w:r>
        <w:rPr>
          <w:sz w:val="22"/>
          <w:szCs w:val="22"/>
        </w:rPr>
        <w:t>Molniya standalone operations: Scenario 4 is operated end-to-end as a standalone mission with its own scheduler (ILP-based, tuned for long-dwell contact windows rather than short LEO passes), its own HEO_MOLNIYA anomaly detection model, and dedicated polar ground stations.</w:t>
      </w:r>
    </w:p>
    <w:p w14:paraId="06213568">
      <w:pPr>
        <w:spacing w:after="80"/>
      </w:pPr>
    </w:p>
    <w:p w14:paraId="0B9CD657">
      <w:pPr>
        <w:spacing w:after="80"/>
      </w:pPr>
    </w:p>
    <w:p w14:paraId="62C15CE5">
      <w:pPr>
        <w:spacing w:before="480" w:after="120"/>
        <w:jc w:val="center"/>
      </w:pPr>
      <w:r>
        <w:rPr>
          <w:i/>
          <w:iCs/>
          <w:color w:val="595959"/>
          <w:sz w:val="22"/>
          <w:szCs w:val="22"/>
        </w:rPr>
        <w:t>— End of Document —</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59ADCABA"/>
    <w:multiLevelType w:val="singleLevel"/>
    <w:tmpl w:val="59ADCABA"/>
    <w:lvl w:ilvl="0" w:tentative="0">
      <w:start w:val="1"/>
      <w:numFmt w:val="decimal"/>
      <w:lvlText w:val="%1."/>
      <w:lvlJc w:val="left"/>
      <w:pPr>
        <w:ind w:left="36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isplayBackgroundShape w:val="1"/>
  <w:documentProtection w:enforcement="0"/>
  <w:compat>
    <w:compatSetting w:name="compatibilityMode" w:uri="http://schemas.microsoft.com/office/word" w:val="15"/>
  </w:compat>
  <w:rsids>
    <w:rsidRoot w:val="00000000"/>
    <w:rsid w:val="44987F34"/>
    <w:rsid w:val="5D9E2F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2026-09-08T21:39:00Z</dcterms:created>
  <dc:creator>Un-named</dc:creator>
  <cp:lastModifiedBy>stephen Ogodo</cp:lastModifiedBy>
  <dcterms:modified xsi:type="dcterms:W3CDTF">2026-09-09T09:06:49Z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4F3F002E3B2E49A7A737A5824A1674E6_12</vt:lpwstr>
  </property>
</Properties>
</file>