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80"/>
        <w:jc w:val="center"/>
      </w:pPr>
      <w:r>
        <w:rPr>
          <w:rFonts w:ascii="Calibri" w:cs="Calibri" w:eastAsia="Calibri" w:hAnsi="Calibri"/>
          <w:b/>
          <w:bCs/>
          <w:color w:val="2E5395"/>
          <w:spacing w:val="40"/>
          <w:sz w:val="32"/>
          <w:szCs w:val="32"/>
        </w:rPr>
        <w:t xml:space="preserve">NOVAPAY</w:t>
      </w:r>
    </w:p>
    <w:p>
      <w:pPr>
        <w:spacing w:after="200"/>
        <w:jc w:val="center"/>
      </w:pPr>
      <w:r>
        <w:rPr>
          <w:rFonts w:ascii="Calibri" w:cs="Calibri" w:eastAsia="Calibri" w:hAnsi="Calibri"/>
          <w:b/>
          <w:bCs/>
          <w:color w:val="1F3864"/>
          <w:sz w:val="60"/>
          <w:szCs w:val="60"/>
        </w:rPr>
        <w:t xml:space="preserve">Fraud Detection System</w:t>
      </w:r>
    </w:p>
    <w:p>
      <w:pPr>
        <w:spacing w:after="900"/>
        <w:jc w:val="center"/>
      </w:pPr>
      <w:r>
        <w:rPr>
          <w:rFonts w:ascii="Calibri" w:cs="Calibri" w:eastAsia="Calibri" w:hAnsi="Calibri"/>
          <w:color w:val="1A1A1A"/>
          <w:sz w:val="34"/>
          <w:szCs w:val="34"/>
        </w:rPr>
        <w:t xml:space="preserve">Technical Report</w:t>
      </w:r>
    </w:p>
    <w:p>
      <w:pPr>
        <w:pBdr>
          <w:top w:val="single" w:color="D9D9D9" w:sz="6"/>
        </w:pBdr>
        <w:spacing w:after="900"/>
        <w:jc w:val="center"/>
      </w:pPr>
    </w:p>
    <w:p>
      <w:pPr>
        <w:spacing w:after="100"/>
        <w:jc w:val="center"/>
      </w:pPr>
      <w:r>
        <w:rPr>
          <w:rFonts w:ascii="Calibri" w:cs="Calibri" w:eastAsia="Calibri" w:hAnsi="Calibri"/>
          <w:color w:val="1A1A1A"/>
          <w:sz w:val="22"/>
          <w:szCs w:val="22"/>
        </w:rPr>
        <w:t xml:space="preserve">Version 1.0.0</w:t>
      </w:r>
    </w:p>
    <w:p>
      <w:pPr>
        <w:spacing w:after="100"/>
        <w:jc w:val="center"/>
      </w:pPr>
      <w:r>
        <w:rPr>
          <w:rFonts w:ascii="Calibri" w:cs="Calibri" w:eastAsia="Calibri" w:hAnsi="Calibri"/>
          <w:color w:val="1A1A1A"/>
          <w:sz w:val="22"/>
          <w:szCs w:val="22"/>
        </w:rPr>
        <w:t xml:space="preserve">Prepared by: ML Engineering</w:t>
      </w:r>
    </w:p>
    <w:p>
      <w:pPr>
        <w:spacing w:after="2000"/>
        <w:jc w:val="center"/>
      </w:pPr>
      <w:r>
        <w:rPr>
          <w:rFonts w:ascii="Calibri" w:cs="Calibri" w:eastAsia="Calibri" w:hAnsi="Calibri"/>
          <w:i/>
          <w:iCs/>
          <w:color w:val="555555"/>
          <w:sz w:val="20"/>
          <w:szCs w:val="20"/>
        </w:rPr>
        <w:t xml:space="preserve">Scope: Data pipeline · Modeling · Explainability · API · Frontend · Monitoring · Orchestration · Testing</w:t>
      </w:r>
    </w:p>
    <w:p>
      <w:pPr>
        <w:jc w:val="center"/>
      </w:pPr>
      <w:r>
        <w:rPr>
          <w:rFonts w:ascii="Calibri" w:cs="Calibri" w:eastAsia="Calibri" w:hAnsi="Calibri"/>
          <w:color w:val="555555"/>
          <w:sz w:val="20"/>
          <w:szCs w:val="20"/>
        </w:rPr>
        <w:t xml:space="preserve">September 2026</w:t>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spacing w:after="320"/>
      </w:pPr>
      <w:r>
        <w:t xml:space="preserve">Table of Contents</w:t>
      </w:r>
    </w:p>
    <w:p>
      <w:pPr>
        <w:tabs>
          <w:tab w:val="right" w:pos="9360" w:leader="dot"/>
        </w:tabs>
        <w:spacing w:after="200" w:line="300"/>
      </w:pPr>
      <w:r>
        <w:rPr>
          <w:rFonts w:ascii="Calibri" w:cs="Calibri" w:eastAsia="Calibri" w:hAnsi="Calibri"/>
          <w:color w:val="1A1A1A"/>
          <w:sz w:val="24"/>
          <w:szCs w:val="24"/>
        </w:rPr>
        <w:t xml:space="preserve">1.  Executive Summary</w:t>
      </w:r>
      <w:r>
        <w:ptab w:alignment="right" w:relativeTo="margin" w:leader="dot"/>
      </w:r>
      <w:r>
        <w:rPr>
          <w:rFonts w:ascii="Calibri" w:cs="Calibri" w:eastAsia="Calibri" w:hAnsi="Calibri"/>
          <w:b/>
          <w:bCs/>
          <w:color w:val="1A1A1A"/>
          <w:sz w:val="24"/>
          <w:szCs w:val="24"/>
        </w:rPr>
        <w:t xml:space="preserve">3</w:t>
      </w:r>
    </w:p>
    <w:p>
      <w:pPr>
        <w:tabs>
          <w:tab w:val="right" w:pos="9360" w:leader="dot"/>
        </w:tabs>
        <w:spacing w:after="200" w:line="300"/>
      </w:pPr>
      <w:r>
        <w:rPr>
          <w:rFonts w:ascii="Calibri" w:cs="Calibri" w:eastAsia="Calibri" w:hAnsi="Calibri"/>
          <w:color w:val="1A1A1A"/>
          <w:sz w:val="24"/>
          <w:szCs w:val="24"/>
        </w:rPr>
        <w:t xml:space="preserve">2.  System Architecture</w:t>
      </w:r>
      <w:r>
        <w:ptab w:alignment="right" w:relativeTo="margin" w:leader="dot"/>
      </w:r>
      <w:r>
        <w:rPr>
          <w:rFonts w:ascii="Calibri" w:cs="Calibri" w:eastAsia="Calibri" w:hAnsi="Calibri"/>
          <w:b/>
          <w:bCs/>
          <w:color w:val="1A1A1A"/>
          <w:sz w:val="24"/>
          <w:szCs w:val="24"/>
        </w:rPr>
        <w:t xml:space="preserve">4</w:t>
      </w:r>
    </w:p>
    <w:p>
      <w:pPr>
        <w:tabs>
          <w:tab w:val="right" w:pos="9360" w:leader="dot"/>
        </w:tabs>
        <w:spacing w:after="200" w:line="300"/>
      </w:pPr>
      <w:r>
        <w:rPr>
          <w:rFonts w:ascii="Calibri" w:cs="Calibri" w:eastAsia="Calibri" w:hAnsi="Calibri"/>
          <w:color w:val="1A1A1A"/>
          <w:sz w:val="24"/>
          <w:szCs w:val="24"/>
        </w:rPr>
        <w:t xml:space="preserve">3.  Data Pipeline</w:t>
      </w:r>
      <w:r>
        <w:ptab w:alignment="right" w:relativeTo="margin" w:leader="dot"/>
      </w:r>
      <w:r>
        <w:rPr>
          <w:rFonts w:ascii="Calibri" w:cs="Calibri" w:eastAsia="Calibri" w:hAnsi="Calibri"/>
          <w:b/>
          <w:bCs/>
          <w:color w:val="1A1A1A"/>
          <w:sz w:val="24"/>
          <w:szCs w:val="24"/>
        </w:rPr>
        <w:t xml:space="preserve">5</w:t>
      </w:r>
    </w:p>
    <w:p>
      <w:pPr>
        <w:tabs>
          <w:tab w:val="right" w:pos="9360" w:leader="dot"/>
        </w:tabs>
        <w:spacing w:after="200" w:line="300"/>
      </w:pPr>
      <w:r>
        <w:rPr>
          <w:rFonts w:ascii="Calibri" w:cs="Calibri" w:eastAsia="Calibri" w:hAnsi="Calibri"/>
          <w:color w:val="1A1A1A"/>
          <w:sz w:val="24"/>
          <w:szCs w:val="24"/>
        </w:rPr>
        <w:t xml:space="preserve">4.  Modeling Methodology</w:t>
      </w:r>
      <w:r>
        <w:ptab w:alignment="right" w:relativeTo="margin" w:leader="dot"/>
      </w:r>
      <w:r>
        <w:rPr>
          <w:rFonts w:ascii="Calibri" w:cs="Calibri" w:eastAsia="Calibri" w:hAnsi="Calibri"/>
          <w:b/>
          <w:bCs/>
          <w:color w:val="1A1A1A"/>
          <w:sz w:val="24"/>
          <w:szCs w:val="24"/>
        </w:rPr>
        <w:t xml:space="preserve">7</w:t>
      </w:r>
    </w:p>
    <w:p>
      <w:pPr>
        <w:tabs>
          <w:tab w:val="right" w:pos="9360" w:leader="dot"/>
        </w:tabs>
        <w:spacing w:after="200" w:line="300"/>
      </w:pPr>
      <w:r>
        <w:rPr>
          <w:rFonts w:ascii="Calibri" w:cs="Calibri" w:eastAsia="Calibri" w:hAnsi="Calibri"/>
          <w:color w:val="1A1A1A"/>
          <w:sz w:val="24"/>
          <w:szCs w:val="24"/>
        </w:rPr>
        <w:t xml:space="preserve">5.  Model Results</w:t>
      </w:r>
      <w:r>
        <w:ptab w:alignment="right" w:relativeTo="margin" w:leader="dot"/>
      </w:r>
      <w:r>
        <w:rPr>
          <w:rFonts w:ascii="Calibri" w:cs="Calibri" w:eastAsia="Calibri" w:hAnsi="Calibri"/>
          <w:b/>
          <w:bCs/>
          <w:color w:val="1A1A1A"/>
          <w:sz w:val="24"/>
          <w:szCs w:val="24"/>
        </w:rPr>
        <w:t xml:space="preserve">9</w:t>
      </w:r>
    </w:p>
    <w:p>
      <w:pPr>
        <w:tabs>
          <w:tab w:val="right" w:pos="9360" w:leader="dot"/>
        </w:tabs>
        <w:spacing w:after="200" w:line="300"/>
      </w:pPr>
      <w:r>
        <w:rPr>
          <w:rFonts w:ascii="Calibri" w:cs="Calibri" w:eastAsia="Calibri" w:hAnsi="Calibri"/>
          <w:color w:val="1A1A1A"/>
          <w:sz w:val="24"/>
          <w:szCs w:val="24"/>
        </w:rPr>
        <w:t xml:space="preserve">6.  Explainability (SHAP)</w:t>
      </w:r>
      <w:r>
        <w:ptab w:alignment="right" w:relativeTo="margin" w:leader="dot"/>
      </w:r>
      <w:r>
        <w:rPr>
          <w:rFonts w:ascii="Calibri" w:cs="Calibri" w:eastAsia="Calibri" w:hAnsi="Calibri"/>
          <w:b/>
          <w:bCs/>
          <w:color w:val="1A1A1A"/>
          <w:sz w:val="24"/>
          <w:szCs w:val="24"/>
        </w:rPr>
        <w:t xml:space="preserve">11</w:t>
      </w:r>
    </w:p>
    <w:p>
      <w:pPr>
        <w:tabs>
          <w:tab w:val="right" w:pos="9360" w:leader="dot"/>
        </w:tabs>
        <w:spacing w:after="200" w:line="300"/>
      </w:pPr>
      <w:r>
        <w:rPr>
          <w:rFonts w:ascii="Calibri" w:cs="Calibri" w:eastAsia="Calibri" w:hAnsi="Calibri"/>
          <w:color w:val="1A1A1A"/>
          <w:sz w:val="24"/>
          <w:szCs w:val="24"/>
        </w:rPr>
        <w:t xml:space="preserve">7.  Serving Layer: FastAPI Microservice</w:t>
      </w:r>
      <w:r>
        <w:ptab w:alignment="right" w:relativeTo="margin" w:leader="dot"/>
      </w:r>
      <w:r>
        <w:rPr>
          <w:rFonts w:ascii="Calibri" w:cs="Calibri" w:eastAsia="Calibri" w:hAnsi="Calibri"/>
          <w:b/>
          <w:bCs/>
          <w:color w:val="1A1A1A"/>
          <w:sz w:val="24"/>
          <w:szCs w:val="24"/>
        </w:rPr>
        <w:t xml:space="preserve">12</w:t>
      </w:r>
    </w:p>
    <w:p>
      <w:pPr>
        <w:tabs>
          <w:tab w:val="right" w:pos="9360" w:leader="dot"/>
        </w:tabs>
        <w:spacing w:after="200" w:line="300"/>
      </w:pPr>
      <w:r>
        <w:rPr>
          <w:rFonts w:ascii="Calibri" w:cs="Calibri" w:eastAsia="Calibri" w:hAnsi="Calibri"/>
          <w:color w:val="1A1A1A"/>
          <w:sz w:val="24"/>
          <w:szCs w:val="24"/>
        </w:rPr>
        <w:t xml:space="preserve">8.  Frontend: Streamlit Analyst Console</w:t>
      </w:r>
      <w:r>
        <w:ptab w:alignment="right" w:relativeTo="margin" w:leader="dot"/>
      </w:r>
      <w:r>
        <w:rPr>
          <w:rFonts w:ascii="Calibri" w:cs="Calibri" w:eastAsia="Calibri" w:hAnsi="Calibri"/>
          <w:b/>
          <w:bCs/>
          <w:color w:val="1A1A1A"/>
          <w:sz w:val="24"/>
          <w:szCs w:val="24"/>
        </w:rPr>
        <w:t xml:space="preserve">13</w:t>
      </w:r>
    </w:p>
    <w:p>
      <w:pPr>
        <w:tabs>
          <w:tab w:val="right" w:pos="9360" w:leader="dot"/>
        </w:tabs>
        <w:spacing w:after="200" w:line="300"/>
      </w:pPr>
      <w:r>
        <w:rPr>
          <w:rFonts w:ascii="Calibri" w:cs="Calibri" w:eastAsia="Calibri" w:hAnsi="Calibri"/>
          <w:color w:val="1A1A1A"/>
          <w:sz w:val="24"/>
          <w:szCs w:val="24"/>
        </w:rPr>
        <w:t xml:space="preserve">9.  Monitoring &amp; Drift Detection</w:t>
      </w:r>
      <w:r>
        <w:ptab w:alignment="right" w:relativeTo="margin" w:leader="dot"/>
      </w:r>
      <w:r>
        <w:rPr>
          <w:rFonts w:ascii="Calibri" w:cs="Calibri" w:eastAsia="Calibri" w:hAnsi="Calibri"/>
          <w:b/>
          <w:bCs/>
          <w:color w:val="1A1A1A"/>
          <w:sz w:val="24"/>
          <w:szCs w:val="24"/>
        </w:rPr>
        <w:t xml:space="preserve">14</w:t>
      </w:r>
    </w:p>
    <w:p>
      <w:pPr>
        <w:tabs>
          <w:tab w:val="right" w:pos="9360" w:leader="dot"/>
        </w:tabs>
        <w:spacing w:after="200" w:line="300"/>
      </w:pPr>
      <w:r>
        <w:rPr>
          <w:rFonts w:ascii="Calibri" w:cs="Calibri" w:eastAsia="Calibri" w:hAnsi="Calibri"/>
          <w:color w:val="1A1A1A"/>
          <w:sz w:val="24"/>
          <w:szCs w:val="24"/>
        </w:rPr>
        <w:t xml:space="preserve">10.  Deployment</w:t>
      </w:r>
      <w:r>
        <w:ptab w:alignment="right" w:relativeTo="margin" w:leader="dot"/>
      </w:r>
      <w:r>
        <w:rPr>
          <w:rFonts w:ascii="Calibri" w:cs="Calibri" w:eastAsia="Calibri" w:hAnsi="Calibri"/>
          <w:b/>
          <w:bCs/>
          <w:color w:val="1A1A1A"/>
          <w:sz w:val="24"/>
          <w:szCs w:val="24"/>
        </w:rPr>
        <w:t xml:space="preserve">16</w:t>
      </w:r>
    </w:p>
    <w:p>
      <w:pPr>
        <w:tabs>
          <w:tab w:val="right" w:pos="9360" w:leader="dot"/>
        </w:tabs>
        <w:spacing w:after="200" w:line="300"/>
      </w:pPr>
      <w:r>
        <w:rPr>
          <w:rFonts w:ascii="Calibri" w:cs="Calibri" w:eastAsia="Calibri" w:hAnsi="Calibri"/>
          <w:color w:val="1A1A1A"/>
          <w:sz w:val="24"/>
          <w:szCs w:val="24"/>
        </w:rPr>
        <w:t xml:space="preserve">11.  Orchestration: run.py</w:t>
      </w:r>
      <w:r>
        <w:ptab w:alignment="right" w:relativeTo="margin" w:leader="dot"/>
      </w:r>
      <w:r>
        <w:rPr>
          <w:rFonts w:ascii="Calibri" w:cs="Calibri" w:eastAsia="Calibri" w:hAnsi="Calibri"/>
          <w:b/>
          <w:bCs/>
          <w:color w:val="1A1A1A"/>
          <w:sz w:val="24"/>
          <w:szCs w:val="24"/>
        </w:rPr>
        <w:t xml:space="preserve">17</w:t>
      </w:r>
    </w:p>
    <w:p>
      <w:pPr>
        <w:tabs>
          <w:tab w:val="right" w:pos="9360" w:leader="dot"/>
        </w:tabs>
        <w:spacing w:after="200" w:line="300"/>
      </w:pPr>
      <w:r>
        <w:rPr>
          <w:rFonts w:ascii="Calibri" w:cs="Calibri" w:eastAsia="Calibri" w:hAnsi="Calibri"/>
          <w:color w:val="1A1A1A"/>
          <w:sz w:val="24"/>
          <w:szCs w:val="24"/>
        </w:rPr>
        <w:t xml:space="preserve">12.  Testing &amp; Verification</w:t>
      </w:r>
      <w:r>
        <w:ptab w:alignment="right" w:relativeTo="margin" w:leader="dot"/>
      </w:r>
      <w:r>
        <w:rPr>
          <w:rFonts w:ascii="Calibri" w:cs="Calibri" w:eastAsia="Calibri" w:hAnsi="Calibri"/>
          <w:b/>
          <w:bCs/>
          <w:color w:val="1A1A1A"/>
          <w:sz w:val="24"/>
          <w:szCs w:val="24"/>
        </w:rPr>
        <w:t xml:space="preserve">19</w:t>
      </w:r>
    </w:p>
    <w:p>
      <w:pPr>
        <w:tabs>
          <w:tab w:val="right" w:pos="9360" w:leader="dot"/>
        </w:tabs>
        <w:spacing w:after="200" w:line="300"/>
      </w:pPr>
      <w:r>
        <w:rPr>
          <w:rFonts w:ascii="Calibri" w:cs="Calibri" w:eastAsia="Calibri" w:hAnsi="Calibri"/>
          <w:color w:val="1A1A1A"/>
          <w:sz w:val="24"/>
          <w:szCs w:val="24"/>
        </w:rPr>
        <w:t xml:space="preserve">13.  Summary of Verified Defects and Fixes</w:t>
      </w:r>
      <w:r>
        <w:ptab w:alignment="right" w:relativeTo="margin" w:leader="dot"/>
      </w:r>
      <w:r>
        <w:rPr>
          <w:rFonts w:ascii="Calibri" w:cs="Calibri" w:eastAsia="Calibri" w:hAnsi="Calibri"/>
          <w:b/>
          <w:bCs/>
          <w:color w:val="1A1A1A"/>
          <w:sz w:val="24"/>
          <w:szCs w:val="24"/>
        </w:rPr>
        <w:t xml:space="preserve">21</w:t>
      </w:r>
    </w:p>
    <w:p>
      <w:pPr>
        <w:tabs>
          <w:tab w:val="right" w:pos="9360" w:leader="dot"/>
        </w:tabs>
        <w:spacing w:after="200" w:line="300"/>
      </w:pPr>
      <w:r>
        <w:rPr>
          <w:rFonts w:ascii="Calibri" w:cs="Calibri" w:eastAsia="Calibri" w:hAnsi="Calibri"/>
          <w:color w:val="1A1A1A"/>
          <w:sz w:val="24"/>
          <w:szCs w:val="24"/>
        </w:rPr>
        <w:t xml:space="preserve">14.  Conclusion</w:t>
      </w:r>
      <w:r>
        <w:ptab w:alignment="right" w:relativeTo="margin" w:leader="dot"/>
      </w:r>
      <w:r>
        <w:rPr>
          <w:rFonts w:ascii="Calibri" w:cs="Calibri" w:eastAsia="Calibri" w:hAnsi="Calibri"/>
          <w:b/>
          <w:bCs/>
          <w:color w:val="1A1A1A"/>
          <w:sz w:val="24"/>
          <w:szCs w:val="24"/>
        </w:rPr>
        <w:t xml:space="preserve">22</w:t>
      </w:r>
    </w:p>
    <w:p>
      <w:pPr>
        <w:pStyle w:val="Heading1"/>
        <w:pageBreakBefore/>
        <w:spacing w:after="180" w:before="360"/>
      </w:pPr>
      <w:r>
        <w:t xml:space="preserve">1. Executive Summary</w:t>
      </w:r>
    </w:p>
    <w:p>
      <w:pPr>
        <w:spacing w:after="160" w:line="300"/>
        <w:jc w:val="both"/>
      </w:pPr>
      <w:r>
        <w:rPr>
          <w:rFonts w:ascii="Calibri" w:cs="Calibri" w:eastAsia="Calibri" w:hAnsi="Calibri"/>
          <w:color w:val="1A1A1A"/>
          <w:sz w:val="22"/>
          <w:szCs w:val="22"/>
        </w:rPr>
        <w:t xml:space="preserve">This report documents a production-oriented machine learning system that scores NovaPay cross-border payment transactions for fraud risk in real time. The system covers the complete lifecycle: raw-data profiling and cleaning, feature engineering, comparative model training against a rules-based baseline, SHAP-based explainability, a FastAPI microservice, a Streamlit analyst console, Evidently-based drift monitoring, Docker packaging, and a single orchestration entry point (run.py) that starts the whole stack with one command.</w:t>
      </w:r>
    </w:p>
    <w:p>
      <w:pPr>
        <w:pStyle w:val="Heading2"/>
        <w:spacing w:after="120" w:before="240"/>
      </w:pPr>
      <w:r>
        <w:t xml:space="preserve">Headline Results</w:t>
      </w:r>
    </w:p>
    <w:p>
      <w:pPr>
        <w:spacing w:after="160" w:line="300"/>
        <w:jc w:val="both"/>
      </w:pPr>
      <w:r>
        <w:rPr>
          <w:rFonts w:ascii="Calibri" w:cs="Calibri" w:eastAsia="Calibri" w:hAnsi="Calibri"/>
          <w:color w:val="1A1A1A"/>
          <w:sz w:val="22"/>
          <w:szCs w:val="22"/>
        </w:rPr>
        <w:t xml:space="preserve">Measured on held-out, time-ordered test data:</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5400"/>
        <w:gridCol w:w="3960"/>
      </w:tblGrid>
      <w:tr>
        <w:trPr>
          <w:tblHeader/>
        </w:trPr>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Metric</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Value</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Selected model</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Logistic Regression (class-weighted)</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Test precision</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0.923</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Test recall</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0.938</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Test F1</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0.931</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ROC-AUC</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0.983</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PR-AUC</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0.969</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Recall uplift vs. rules-based baseline</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+16.5%  (requirement: ≥15%)</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Decision threshold</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0.70 (selected on validation data by F1)</w:t>
            </w:r>
          </w:p>
        </w:tc>
      </w:tr>
    </w:tbl>
    <w:p>
      <w:pPr>
        <w:spacing w:after="160"/>
      </w:pPr>
    </w:p>
    <w:tbl>
      <w:tblPr>
        <w:tblW w:type="dxa" w:w="9360"/>
        <w:tblBorders>
          <w:top w:val="single" w:color="2E5395" w:sz="8"/>
          <w:left w:val="single" w:color="2E5395" w:sz="8"/>
          <w:bottom w:val="single" w:color="2E5395" w:sz="8"/>
          <w:right w:val="single" w:color="2E5395" w:sz="8"/>
          <w:insideH w:val="single" w:color="auto" w:sz="4"/>
          <w:insideV w:val="single" w:color="auto" w:sz="4"/>
        </w:tblBorders>
      </w:tblPr>
      <w:tblGrid>
        <w:gridCol w:w="9360"/>
      </w:tblGrid>
      <w:tr>
        <w:tc>
          <w:tcPr>
            <w:tcW w:type="dxa" w:w="9360"/>
            <w:shd w:fill="EDF1F8" w:val="clear"/>
            <w:tcMar>
              <w:top w:type="dxa" w:w="150"/>
              <w:left w:type="dxa" w:w="200"/>
              <w:bottom w:type="dxa" w:w="150"/>
              <w:right w:type="dxa" w:w="200"/>
            </w:tcMar>
          </w:tcPr>
          <w:p>
            <w:pPr>
              <w:spacing w:after="80"/>
            </w:pPr>
            <w:r>
              <w:rPr>
                <w:rFonts w:ascii="Calibri" w:cs="Calibri" w:eastAsia="Calibri" w:hAnsi="Calibri"/>
                <w:b/>
                <w:bCs/>
                <w:color w:val="1F3864"/>
                <w:sz w:val="21"/>
                <w:szCs w:val="21"/>
              </w:rPr>
              <w:t xml:space="preserve">Verification posture</w:t>
            </w:r>
          </w:p>
          <w:p>
            <w:pPr>
              <w:spacing/>
              <w:jc w:val="both"/>
            </w:pPr>
            <w:r>
              <w:rPr>
                <w:rFonts w:ascii="Calibri" w:cs="Calibri" w:eastAsia="Calibri" w:hAnsi="Calibri"/>
                <w:color w:val="1A1A1A"/>
                <w:sz w:val="21"/>
                <w:szCs w:val="21"/>
              </w:rPr>
              <w:t xml:space="preserve">Every component described in this report was executed and observed to work, including a from-scratch clean-room rebuild (fresh Python virtual environment, dependency installation from requirements.txt only, no pre-existing state) that reproduced identical training metrics and passed the full automated test suite. Two implementation defects were found and fixed during this process; both are documented in Section 11, because a report that only lists what works without noting what broke and was fixed is not a credible engineering record.</w:t>
            </w:r>
          </w:p>
        </w:tc>
      </w:tr>
    </w:tbl>
    <w:p>
      <w:pPr>
        <w:pStyle w:val="Heading1"/>
        <w:pageBreakBefore/>
        <w:spacing w:after="180" w:before="360"/>
      </w:pPr>
      <w:r>
        <w:t xml:space="preserve">2. System Architecture</w:t>
      </w:r>
    </w:p>
    <w:p>
      <w:pPr>
        <w:spacing w:after="160" w:line="300"/>
        <w:jc w:val="both"/>
      </w:pPr>
      <w:r>
        <w:rPr>
          <w:rFonts w:ascii="Calibri" w:cs="Calibri" w:eastAsia="Calibri" w:hAnsi="Calibri"/>
          <w:color w:val="1A1A1A"/>
          <w:sz w:val="22"/>
          <w:szCs w:val="22"/>
        </w:rPr>
        <w:t xml:space="preserve">The system is organized as five layers, each independently runnable and independently tested:</w:t>
      </w:r>
    </w:p>
    <w:p>
      <w:pPr>
        <w:pBdr>
          <w:top w:val="single" w:color="D9D9D9" w:sz="4"/>
          <w:bottom w:val="single" w:color="D9D9D9" w:sz="4"/>
          <w:left w:val="single" w:color="D9D9D9" w:sz="4"/>
          <w:right w:val="single" w:color="D9D9D9" w:sz="4"/>
        </w:pBdr>
        <w:shd w:fill="F2F2F2" w:val="clear"/>
        <w:spacing w:after="160" w:before="120"/>
        <w:ind w:left="120" w:right="120"/>
      </w:pPr>
      <w:r>
        <w:rPr>
          <w:rFonts w:ascii="Consolas" w:cs="Consolas" w:eastAsia="Consolas" w:hAnsi="Consolas"/>
          <w:color w:val="202020"/>
          <w:sz w:val="18"/>
          <w:szCs w:val="18"/>
        </w:rPr>
        <w:t xml:space="preserve">                        run.py  (single entry point)</w:t>
      </w:r>
      <w:r>
        <w:br/>
      </w:r>
      <w:r>
        <w:rPr>
          <w:rFonts w:ascii="Consolas" w:cs="Consolas" w:eastAsia="Consolas" w:hAnsi="Consolas"/>
          <w:color w:val="202020"/>
          <w:sz w:val="18"/>
          <w:szCs w:val="18"/>
        </w:rPr>
        <w:t xml:space="preserve">                                |</w:t>
      </w:r>
      <w:r>
        <w:br/>
      </w:r>
      <w:r>
        <w:rPr>
          <w:rFonts w:ascii="Consolas" w:cs="Consolas" w:eastAsia="Consolas" w:hAnsi="Consolas"/>
          <w:color w:val="202020"/>
          <w:sz w:val="18"/>
          <w:szCs w:val="18"/>
        </w:rPr>
        <w:t xml:space="preserve">   +----------------------------+----------------------------+</w:t>
      </w:r>
      <w:r>
        <w:br/>
      </w:r>
      <w:r>
        <w:rPr>
          <w:rFonts w:ascii="Consolas" w:cs="Consolas" w:eastAsia="Consolas" w:hAnsi="Consolas"/>
          <w:color w:val="202020"/>
          <w:sz w:val="18"/>
          <w:szCs w:val="18"/>
        </w:rPr>
        <w:t xml:space="preserve">   v                            v                             v</w:t>
      </w:r>
      <w:r>
        <w:br/>
      </w:r>
      <w:r>
        <w:rPr>
          <w:rFonts w:ascii="Consolas" w:cs="Consolas" w:eastAsia="Consolas" w:hAnsi="Consolas"/>
          <w:color w:val="202020"/>
          <w:sz w:val="18"/>
          <w:szCs w:val="18"/>
        </w:rPr>
        <w:t xml:space="preserve">Data &amp; Feature Layer      Modeling Layer                Serving Layer</w:t>
      </w:r>
      <w:r>
        <w:br/>
      </w:r>
      <w:r>
        <w:rPr>
          <w:rFonts w:ascii="Consolas" w:cs="Consolas" w:eastAsia="Consolas" w:hAnsi="Consolas"/>
          <w:color w:val="202020"/>
          <w:sz w:val="18"/>
          <w:szCs w:val="18"/>
        </w:rPr>
        <w:t xml:space="preserve">(novapay_fraud.data,      (novapay_fraud.modeling,       (api/, frontend/)</w:t>
      </w:r>
      <w:r>
        <w:br/>
      </w:r>
      <w:r>
        <w:rPr>
          <w:rFonts w:ascii="Consolas" w:cs="Consolas" w:eastAsia="Consolas" w:hAnsi="Consolas"/>
          <w:color w:val="202020"/>
          <w:sz w:val="18"/>
          <w:szCs w:val="18"/>
        </w:rPr>
        <w:t xml:space="preserve"> novapay_fraud.features)   novapay_fraud.explain,</w:t>
      </w:r>
      <w:r>
        <w:br/>
      </w:r>
      <w:r>
        <w:rPr>
          <w:rFonts w:ascii="Consolas" w:cs="Consolas" w:eastAsia="Consolas" w:hAnsi="Consolas"/>
          <w:color w:val="202020"/>
          <w:sz w:val="18"/>
          <w:szCs w:val="18"/>
        </w:rPr>
        <w:t xml:space="preserve">                            novapay_fraud.baseline)</w:t>
      </w:r>
      <w:r>
        <w:br/>
      </w:r>
      <w:r>
        <w:rPr>
          <w:rFonts w:ascii="Consolas" w:cs="Consolas" w:eastAsia="Consolas" w:hAnsi="Consolas"/>
          <w:color w:val="202020"/>
          <w:sz w:val="18"/>
          <w:szCs w:val="18"/>
        </w:rPr>
        <w:t xml:space="preserve">   |                            |                             |</w:t>
      </w:r>
      <w:r>
        <w:br/>
      </w:r>
      <w:r>
        <w:rPr>
          <w:rFonts w:ascii="Consolas" w:cs="Consolas" w:eastAsia="Consolas" w:hAnsi="Consolas"/>
          <w:color w:val="202020"/>
          <w:sz w:val="18"/>
          <w:szCs w:val="18"/>
        </w:rPr>
        <w:t xml:space="preserve">   +--------&gt; artifacts/ (model, explainer, metadata) &lt;-------+</w:t>
      </w:r>
      <w:r>
        <w:br/>
      </w:r>
      <w:r>
        <w:rPr>
          <w:rFonts w:ascii="Consolas" w:cs="Consolas" w:eastAsia="Consolas" w:hAnsi="Consolas"/>
          <w:color w:val="202020"/>
          <w:sz w:val="18"/>
          <w:szCs w:val="18"/>
        </w:rPr>
        <w:t xml:space="preserve">                                |</w:t>
      </w:r>
      <w:r>
        <w:br/>
      </w:r>
      <w:r>
        <w:rPr>
          <w:rFonts w:ascii="Consolas" w:cs="Consolas" w:eastAsia="Consolas" w:hAnsi="Consolas"/>
          <w:color w:val="202020"/>
          <w:sz w:val="18"/>
          <w:szCs w:val="18"/>
        </w:rPr>
        <w:t xml:space="preserve">                                v</w:t>
      </w:r>
      <w:r>
        <w:br/>
      </w:r>
      <w:r>
        <w:rPr>
          <w:rFonts w:ascii="Consolas" w:cs="Consolas" w:eastAsia="Consolas" w:hAnsi="Consolas"/>
          <w:color w:val="202020"/>
          <w:sz w:val="18"/>
          <w:szCs w:val="18"/>
        </w:rPr>
        <w:t xml:space="preserve">                    Monitoring Layer (novapay_fraud.monitoring)</w:t>
      </w:r>
    </w:p>
    <w:p>
      <w:pPr>
        <w:spacing w:after="160" w:line="300"/>
        <w:jc w:val="both"/>
      </w:pPr>
      <w:r>
        <w:rPr>
          <w:rFonts w:ascii="Calibri" w:cs="Calibri" w:eastAsia="Calibri" w:hAnsi="Calibri"/>
          <w:b/>
          <w:bCs/>
          <w:color w:val="1A1A1A"/>
          <w:sz w:val="22"/>
          <w:szCs w:val="22"/>
        </w:rPr>
        <w:t xml:space="preserve">Design principle: </w:t>
      </w:r>
      <w:r>
        <w:rPr>
          <w:rFonts w:ascii="Calibri" w:cs="Calibri" w:eastAsia="Calibri" w:hAnsi="Calibri"/>
          <w:color w:val="1A1A1A"/>
          <w:sz w:val="22"/>
          <w:szCs w:val="22"/>
        </w:rPr>
        <w:t xml:space="preserve">a single config.py module is the source of truth for file paths, feature lists, category-normalization rules, and model hyperparameters. Every other module — the training pipeline, the API, the Streamlit frontend, the drift monitor — imports from this one place rather than redefining its own copy of the schema. This was a deliberate choice to prevent the training pipeline and the serving layer from silently drifting apart, a common failure mode in ML systems where the notebook that produced the model and the service that serves it diverge over time.</w:t>
      </w:r>
    </w:p>
    <w:p>
      <w:pPr>
        <w:pStyle w:val="Heading2"/>
        <w:spacing w:after="120" w:before="240"/>
      </w:pPr>
      <w:r>
        <w:t xml:space="preserve">2.1 Repository Layout</w:t>
      </w:r>
    </w:p>
    <w:p>
      <w:pPr>
        <w:pBdr>
          <w:top w:val="single" w:color="D9D9D9" w:sz="4"/>
          <w:bottom w:val="single" w:color="D9D9D9" w:sz="4"/>
          <w:left w:val="single" w:color="D9D9D9" w:sz="4"/>
          <w:right w:val="single" w:color="D9D9D9" w:sz="4"/>
        </w:pBdr>
        <w:shd w:fill="F2F2F2" w:val="clear"/>
        <w:spacing w:after="160" w:before="120"/>
        <w:ind w:left="120" w:right="120"/>
      </w:pPr>
      <w:r>
        <w:rPr>
          <w:rFonts w:ascii="Consolas" w:cs="Consolas" w:eastAsia="Consolas" w:hAnsi="Consolas"/>
          <w:color w:val="202020"/>
          <w:sz w:val="18"/>
          <w:szCs w:val="18"/>
        </w:rPr>
        <w:t xml:space="preserve">run.py                          single entry point (train / API / frontend / tests)</w:t>
      </w:r>
      <w:r>
        <w:br/>
      </w:r>
      <w:r>
        <w:rPr>
          <w:rFonts w:ascii="Consolas" w:cs="Consolas" w:eastAsia="Consolas" w:hAnsi="Consolas"/>
          <w:color w:val="202020"/>
          <w:sz w:val="18"/>
          <w:szCs w:val="18"/>
        </w:rPr>
        <w:t xml:space="preserve">data/nova_pay_combined.csv       raw dataset (11,400 rows, 26 columns)</w:t>
      </w:r>
      <w:r>
        <w:br/>
      </w:r>
      <w:r>
        <w:rPr>
          <w:rFonts w:ascii="Consolas" w:cs="Consolas" w:eastAsia="Consolas" w:hAnsi="Consolas"/>
          <w:color w:val="202020"/>
          <w:sz w:val="18"/>
          <w:szCs w:val="18"/>
        </w:rPr>
        <w:t xml:space="preserve">notebooks/01_eda.ipynb           executed EDA notebook (40 cells, 0 errors)</w:t>
      </w:r>
      <w:r>
        <w:br/>
      </w:r>
      <w:r>
        <w:rPr>
          <w:rFonts w:ascii="Consolas" w:cs="Consolas" w:eastAsia="Consolas" w:hAnsi="Consolas"/>
          <w:color w:val="202020"/>
          <w:sz w:val="18"/>
          <w:szCs w:val="18"/>
        </w:rPr>
        <w:t xml:space="preserve">src/novapay_fraud/</w:t>
      </w:r>
      <w:r>
        <w:br/>
      </w:r>
      <w:r>
        <w:rPr>
          <w:rFonts w:ascii="Consolas" w:cs="Consolas" w:eastAsia="Consolas" w:hAnsi="Consolas"/>
          <w:color w:val="202020"/>
          <w:sz w:val="18"/>
          <w:szCs w:val="18"/>
        </w:rPr>
        <w:t xml:space="preserve">    config.py                     central configuration (135 lines)</w:t>
      </w:r>
      <w:r>
        <w:br/>
      </w:r>
      <w:r>
        <w:rPr>
          <w:rFonts w:ascii="Consolas" w:cs="Consolas" w:eastAsia="Consolas" w:hAnsi="Consolas"/>
          <w:color w:val="202020"/>
          <w:sz w:val="18"/>
          <w:szCs w:val="18"/>
        </w:rPr>
        <w:t xml:space="preserve">    data.py                       cleaning &amp; profiling (146 lines)</w:t>
      </w:r>
      <w:r>
        <w:br/>
      </w:r>
      <w:r>
        <w:rPr>
          <w:rFonts w:ascii="Consolas" w:cs="Consolas" w:eastAsia="Consolas" w:hAnsi="Consolas"/>
          <w:color w:val="202020"/>
          <w:sz w:val="18"/>
          <w:szCs w:val="18"/>
        </w:rPr>
        <w:t xml:space="preserve">    features.py                   feature engineering &amp; preprocessing (109 lines)</w:t>
      </w:r>
      <w:r>
        <w:br/>
      </w:r>
      <w:r>
        <w:rPr>
          <w:rFonts w:ascii="Consolas" w:cs="Consolas" w:eastAsia="Consolas" w:hAnsi="Consolas"/>
          <w:color w:val="202020"/>
          <w:sz w:val="18"/>
          <w:szCs w:val="18"/>
        </w:rPr>
        <w:t xml:space="preserve">    baseline.py                   rules-based comparator (45 lines)</w:t>
      </w:r>
      <w:r>
        <w:br/>
      </w:r>
      <w:r>
        <w:rPr>
          <w:rFonts w:ascii="Consolas" w:cs="Consolas" w:eastAsia="Consolas" w:hAnsi="Consolas"/>
          <w:color w:val="202020"/>
          <w:sz w:val="18"/>
          <w:szCs w:val="18"/>
        </w:rPr>
        <w:t xml:space="preserve">    modeling.py                   training &amp; evaluation (133 lines)</w:t>
      </w:r>
      <w:r>
        <w:br/>
      </w:r>
      <w:r>
        <w:rPr>
          <w:rFonts w:ascii="Consolas" w:cs="Consolas" w:eastAsia="Consolas" w:hAnsi="Consolas"/>
          <w:color w:val="202020"/>
          <w:sz w:val="18"/>
          <w:szCs w:val="18"/>
        </w:rPr>
        <w:t xml:space="preserve">    explain.py                    SHAP explainability (127 lines)</w:t>
      </w:r>
      <w:r>
        <w:br/>
      </w:r>
      <w:r>
        <w:rPr>
          <w:rFonts w:ascii="Consolas" w:cs="Consolas" w:eastAsia="Consolas" w:hAnsi="Consolas"/>
          <w:color w:val="202020"/>
          <w:sz w:val="18"/>
          <w:szCs w:val="18"/>
        </w:rPr>
        <w:t xml:space="preserve">    train.py                      pipeline orchestration (201 lines)</w:t>
      </w:r>
      <w:r>
        <w:br/>
      </w:r>
      <w:r>
        <w:rPr>
          <w:rFonts w:ascii="Consolas" w:cs="Consolas" w:eastAsia="Consolas" w:hAnsi="Consolas"/>
          <w:color w:val="202020"/>
          <w:sz w:val="18"/>
          <w:szCs w:val="18"/>
        </w:rPr>
        <w:t xml:space="preserve">    monitoring/drift_check.py      Evidently drift detection (213 lines)</w:t>
      </w:r>
      <w:r>
        <w:br/>
      </w:r>
      <w:r>
        <w:rPr>
          <w:rFonts w:ascii="Consolas" w:cs="Consolas" w:eastAsia="Consolas" w:hAnsi="Consolas"/>
          <w:color w:val="202020"/>
          <w:sz w:val="18"/>
          <w:szCs w:val="18"/>
        </w:rPr>
        <w:t xml:space="preserve">api/</w:t>
      </w:r>
      <w:r>
        <w:br/>
      </w:r>
      <w:r>
        <w:rPr>
          <w:rFonts w:ascii="Consolas" w:cs="Consolas" w:eastAsia="Consolas" w:hAnsi="Consolas"/>
          <w:color w:val="202020"/>
          <w:sz w:val="18"/>
          <w:szCs w:val="18"/>
        </w:rPr>
        <w:t xml:space="preserve">    main.py                       FastAPI service (150 lines)</w:t>
      </w:r>
      <w:r>
        <w:br/>
      </w:r>
      <w:r>
        <w:rPr>
          <w:rFonts w:ascii="Consolas" w:cs="Consolas" w:eastAsia="Consolas" w:hAnsi="Consolas"/>
          <w:color w:val="202020"/>
          <w:sz w:val="18"/>
          <w:szCs w:val="18"/>
        </w:rPr>
        <w:t xml:space="preserve">    schemas.py                    Pydantic request/response models (109 lines)</w:t>
      </w:r>
      <w:r>
        <w:br/>
      </w:r>
      <w:r>
        <w:rPr>
          <w:rFonts w:ascii="Consolas" w:cs="Consolas" w:eastAsia="Consolas" w:hAnsi="Consolas"/>
          <w:color w:val="202020"/>
          <w:sz w:val="18"/>
          <w:szCs w:val="18"/>
        </w:rPr>
        <w:t xml:space="preserve">frontend/</w:t>
      </w:r>
      <w:r>
        <w:br/>
      </w:r>
      <w:r>
        <w:rPr>
          <w:rFonts w:ascii="Consolas" w:cs="Consolas" w:eastAsia="Consolas" w:hAnsi="Consolas"/>
          <w:color w:val="202020"/>
          <w:sz w:val="18"/>
          <w:szCs w:val="18"/>
        </w:rPr>
        <w:t xml:space="preserve">    app.py                        Streamlit console (397 lines)</w:t>
      </w:r>
      <w:r>
        <w:br/>
      </w:r>
      <w:r>
        <w:rPr>
          <w:rFonts w:ascii="Consolas" w:cs="Consolas" w:eastAsia="Consolas" w:hAnsi="Consolas"/>
          <w:color w:val="202020"/>
          <w:sz w:val="18"/>
          <w:szCs w:val="18"/>
        </w:rPr>
        <w:t xml:space="preserve">artifacts/                       generated model, explainer, metrics, reference data</w:t>
      </w:r>
      <w:r>
        <w:br/>
      </w:r>
      <w:r>
        <w:rPr>
          <w:rFonts w:ascii="Consolas" w:cs="Consolas" w:eastAsia="Consolas" w:hAnsi="Consolas"/>
          <w:color w:val="202020"/>
          <w:sz w:val="18"/>
          <w:szCs w:val="18"/>
        </w:rPr>
        <w:t xml:space="preserve">tests/                            33 automated tests across 8 test files</w:t>
      </w:r>
      <w:r>
        <w:br/>
      </w:r>
      <w:r>
        <w:rPr>
          <w:rFonts w:ascii="Consolas" w:cs="Consolas" w:eastAsia="Consolas" w:hAnsi="Consolas"/>
          <w:color w:val="202020"/>
          <w:sz w:val="18"/>
          <w:szCs w:val="18"/>
        </w:rPr>
        <w:t xml:space="preserve">monitoring/RETRAINING_PLAYBOOK.md operational runbook</w:t>
      </w:r>
      <w:r>
        <w:br/>
      </w:r>
      <w:r>
        <w:rPr>
          <w:rFonts w:ascii="Consolas" w:cs="Consolas" w:eastAsia="Consolas" w:hAnsi="Consolas"/>
          <w:color w:val="202020"/>
          <w:sz w:val="18"/>
          <w:szCs w:val="18"/>
        </w:rPr>
        <w:t xml:space="preserve">docs/decision_log_template.md     model-promotion audit log template</w:t>
      </w:r>
      <w:r>
        <w:br/>
      </w:r>
      <w:r>
        <w:rPr>
          <w:rFonts w:ascii="Consolas" w:cs="Consolas" w:eastAsia="Consolas" w:hAnsi="Consolas"/>
          <w:color w:val="202020"/>
          <w:sz w:val="18"/>
          <w:szCs w:val="18"/>
        </w:rPr>
        <w:t xml:space="preserve">docker/Dockerfile, Dockerfile.frontend   production images</w:t>
      </w:r>
      <w:r>
        <w:br/>
      </w:r>
      <w:r>
        <w:rPr>
          <w:rFonts w:ascii="Consolas" w:cs="Consolas" w:eastAsia="Consolas" w:hAnsi="Consolas"/>
          <w:color w:val="202020"/>
          <w:sz w:val="18"/>
          <w:szCs w:val="18"/>
        </w:rPr>
        <w:t xml:space="preserve">docker-compose.yml                multi-service orchestration</w:t>
      </w:r>
      <w:r>
        <w:br/>
      </w:r>
      <w:r>
        <w:rPr>
          <w:rFonts w:ascii="Consolas" w:cs="Consolas" w:eastAsia="Consolas" w:hAnsi="Consolas"/>
          <w:color w:val="202020"/>
          <w:sz w:val="18"/>
          <w:szCs w:val="18"/>
        </w:rPr>
        <w:t xml:space="preserve">requirements.txt                  pinned, tested dependency versions</w:t>
      </w:r>
    </w:p>
    <w:p>
      <w:pPr>
        <w:spacing w:after="160" w:line="300"/>
        <w:jc w:val="both"/>
      </w:pPr>
      <w:r>
        <w:rPr>
          <w:rFonts w:ascii="Calibri" w:cs="Calibri" w:eastAsia="Calibri" w:hAnsi="Calibri"/>
          <w:color w:val="1A1A1A"/>
          <w:sz w:val="22"/>
          <w:szCs w:val="22"/>
        </w:rPr>
        <w:t xml:space="preserve">Total implementation: approximately 2,050 lines of Python across the core package, API, frontend, and orchestration script, excluding tests.</w:t>
      </w:r>
    </w:p>
    <w:p>
      <w:pPr>
        <w:pStyle w:val="Heading1"/>
        <w:pageBreakBefore/>
        <w:spacing w:after="180" w:before="360"/>
      </w:pPr>
      <w:r>
        <w:t xml:space="preserve">3. Data Pipeline</w:t>
      </w:r>
    </w:p>
    <w:p>
      <w:pPr>
        <w:pStyle w:val="Heading2"/>
        <w:spacing w:after="120" w:before="240"/>
      </w:pPr>
      <w:r>
        <w:t xml:space="preserve">3.1 Source Data</w:t>
      </w:r>
    </w:p>
    <w:p>
      <w:pPr>
        <w:spacing w:after="160" w:line="300"/>
        <w:jc w:val="both"/>
      </w:pPr>
      <w:r>
        <w:rPr>
          <w:rFonts w:ascii="Calibri" w:cs="Calibri" w:eastAsia="Calibri" w:hAnsi="Calibri"/>
          <w:color w:val="1A1A1A"/>
          <w:sz w:val="22"/>
          <w:szCs w:val="22"/>
        </w:rPr>
        <w:t xml:space="preserve">The raw dataset (data/nova_pay_combined.csv) contains 11,400 transactions across 26 columns, covering transaction attributes (amount, currency pair, channel, timestamp), customer/device signals (account age, KYC tier, device trust score, IP risk score), behavioral velocity features (transactions in the last 1h/24h), and the binary fraud label.</w:t>
      </w:r>
    </w:p>
    <w:p>
      <w:pPr>
        <w:pStyle w:val="Heading2"/>
        <w:spacing w:after="120" w:before="240"/>
      </w:pPr>
      <w:r>
        <w:t xml:space="preserve">3.2 Profiling (novapay_fraud.data.profile)</w:t>
      </w:r>
    </w:p>
    <w:p>
      <w:pPr>
        <w:spacing w:after="160" w:line="300"/>
        <w:jc w:val="both"/>
      </w:pPr>
      <w:r>
        <w:rPr>
          <w:rFonts w:ascii="Calibri" w:cs="Calibri" w:eastAsia="Calibri" w:hAnsi="Calibri"/>
          <w:color w:val="1A1A1A"/>
          <w:sz w:val="22"/>
          <w:szCs w:val="22"/>
        </w:rPr>
        <w:t xml:space="preserve">A dedicated profiling function reports dtype, missing-value count and percentage, and cardinality for every column before any cleaning occurs. This established the following data-quality findings:</w:t>
      </w:r>
    </w:p>
    <w:p>
      <w:pPr>
        <w:pStyle w:val="ListParagraph"/>
        <w:numPr>
          <w:ilvl w:val="0"/>
          <w:numId w:val="1"/>
        </w:numPr>
        <w:spacing w:after="80" w:line="280"/>
      </w:pPr>
      <w:r>
        <w:rPr>
          <w:rFonts w:ascii="Calibri" w:cs="Calibri" w:eastAsia="Calibri" w:hAnsi="Calibri"/>
          <w:color w:val="1A1A1A"/>
          <w:sz w:val="22"/>
          <w:szCs w:val="22"/>
        </w:rPr>
        <w:t xml:space="preserve">Six columns carry missing values: timestamp, amount_usd, fee, ip_address, ip_country, kyc_tier, and device_trust_score (each roughly 2.5–3%).</w:t>
      </w:r>
    </w:p>
    <w:p>
      <w:pPr>
        <w:pStyle w:val="ListParagraph"/>
        <w:numPr>
          <w:ilvl w:val="0"/>
          <w:numId w:val="1"/>
        </w:numPr>
        <w:spacing w:after="80" w:line="280"/>
      </w:pPr>
      <w:r>
        <w:rPr>
          <w:rFonts w:ascii="Calibri" w:cs="Calibri" w:eastAsia="Calibri" w:hAnsi="Calibri"/>
          <w:color w:val="1A1A1A"/>
          <w:sz w:val="22"/>
          <w:szCs w:val="22"/>
        </w:rPr>
        <w:t xml:space="preserve">amount_src is stored as text in places, with thousands-separator commas (e.g., </w:t>
      </w:r>
      <w:r>
        <w:rPr>
          <w:rFonts w:ascii="Consolas" w:cs="Consolas" w:eastAsia="Consolas" w:hAnsi="Consolas"/>
          <w:color w:val="8B0000"/>
          <w:sz w:val="20"/>
          <w:szCs w:val="20"/>
        </w:rPr>
        <w:t xml:space="preserve">"1,200.50"</w:t>
      </w:r>
      <w:r>
        <w:rPr>
          <w:rFonts w:ascii="Calibri" w:cs="Calibri" w:eastAsia="Calibri" w:hAnsi="Calibri"/>
          <w:color w:val="1A1A1A"/>
          <w:sz w:val="22"/>
          <w:szCs w:val="22"/>
        </w:rPr>
        <w:t xml:space="preserve">), preventing numeric parsing.</w:t>
      </w:r>
    </w:p>
    <w:p>
      <w:pPr>
        <w:pStyle w:val="ListParagraph"/>
        <w:numPr>
          <w:ilvl w:val="0"/>
          <w:numId w:val="1"/>
        </w:numPr>
        <w:spacing w:after="80" w:line="280"/>
      </w:pPr>
      <w:r>
        <w:rPr>
          <w:rFonts w:ascii="Calibri" w:cs="Calibri" w:eastAsia="Calibri" w:hAnsi="Calibri"/>
          <w:color w:val="1A1A1A"/>
          <w:sz w:val="22"/>
          <w:szCs w:val="22"/>
        </w:rPr>
        <w:t xml:space="preserve">Categorical columns (channel, kyc_tier, home_country, ip_country) contain whitespace and case-typo variants (</w:t>
      </w:r>
      <w:r>
        <w:rPr>
          <w:rFonts w:ascii="Consolas" w:cs="Consolas" w:eastAsia="Consolas" w:hAnsi="Consolas"/>
          <w:color w:val="8B0000"/>
          <w:sz w:val="20"/>
          <w:szCs w:val="20"/>
        </w:rPr>
        <w:t xml:space="preserve">' web  '</w:t>
      </w:r>
      <w:r>
        <w:rPr>
          <w:rFonts w:ascii="Calibri" w:cs="Calibri" w:eastAsia="Calibri" w:hAnsi="Calibri"/>
          <w:color w:val="1A1A1A"/>
          <w:sz w:val="22"/>
          <w:szCs w:val="22"/>
        </w:rPr>
        <w:t xml:space="preserve">, </w:t>
      </w:r>
      <w:r>
        <w:rPr>
          <w:rFonts w:ascii="Consolas" w:cs="Consolas" w:eastAsia="Consolas" w:hAnsi="Consolas"/>
          <w:color w:val="8B0000"/>
          <w:sz w:val="20"/>
          <w:szCs w:val="20"/>
        </w:rPr>
        <w:t xml:space="preserve">'ATm'</w:t>
      </w:r>
      <w:r>
        <w:rPr>
          <w:rFonts w:ascii="Calibri" w:cs="Calibri" w:eastAsia="Calibri" w:hAnsi="Calibri"/>
          <w:color w:val="1A1A1A"/>
          <w:sz w:val="22"/>
          <w:szCs w:val="22"/>
        </w:rPr>
        <w:t xml:space="preserve">, </w:t>
      </w:r>
      <w:r>
        <w:rPr>
          <w:rFonts w:ascii="Consolas" w:cs="Consolas" w:eastAsia="Consolas" w:hAnsi="Consolas"/>
          <w:color w:val="8B0000"/>
          <w:sz w:val="20"/>
          <w:szCs w:val="20"/>
        </w:rPr>
        <w:t xml:space="preserve">'enhancd'</w:t>
      </w:r>
      <w:r>
        <w:rPr>
          <w:rFonts w:ascii="Calibri" w:cs="Calibri" w:eastAsia="Calibri" w:hAnsi="Calibri"/>
          <w:color w:val="1A1A1A"/>
          <w:sz w:val="22"/>
          <w:szCs w:val="22"/>
        </w:rPr>
        <w:t xml:space="preserve">) and an explicit </w:t>
      </w:r>
      <w:r>
        <w:rPr>
          <w:rFonts w:ascii="Consolas" w:cs="Consolas" w:eastAsia="Consolas" w:hAnsi="Consolas"/>
          <w:color w:val="8B0000"/>
          <w:sz w:val="20"/>
          <w:szCs w:val="20"/>
        </w:rPr>
        <w:t xml:space="preserve">'unknown'</w:t>
      </w:r>
      <w:r>
        <w:rPr>
          <w:rFonts w:ascii="Calibri" w:cs="Calibri" w:eastAsia="Calibri" w:hAnsi="Calibri"/>
          <w:color w:val="1A1A1A"/>
          <w:sz w:val="22"/>
          <w:szCs w:val="22"/>
        </w:rPr>
        <w:t xml:space="preserve"> token.</w:t>
      </w:r>
    </w:p>
    <w:p>
      <w:pPr>
        <w:pStyle w:val="Heading2"/>
        <w:spacing w:after="120" w:before="240"/>
      </w:pPr>
      <w:r>
        <w:t xml:space="preserve">3.3 Cleaning (novapay_fraud.data.clean)</w:t>
      </w:r>
    </w:p>
    <w:p>
      <w:pPr>
        <w:spacing w:after="160" w:line="300"/>
        <w:jc w:val="both"/>
      </w:pPr>
      <w:r>
        <w:rPr>
          <w:rFonts w:ascii="Calibri" w:cs="Calibri" w:eastAsia="Calibri" w:hAnsi="Calibri"/>
          <w:color w:val="1A1A1A"/>
          <w:sz w:val="22"/>
          <w:szCs w:val="22"/>
        </w:rPr>
        <w:t xml:space="preserve">Cleaning is implemented as a sequence of small, independently testable functions rather than inline notebook cells:</w:t>
      </w:r>
    </w:p>
    <w:p>
      <w:pPr>
        <w:pStyle w:val="ListParagraph"/>
        <w:numPr>
          <w:ilvl w:val="0"/>
          <w:numId w:val="1"/>
        </w:numPr>
        <w:spacing w:after="80" w:line="280"/>
      </w:pPr>
      <w:r>
        <w:rPr>
          <w:rFonts w:ascii="Calibri" w:cs="Calibri" w:eastAsia="Calibri" w:hAnsi="Calibri"/>
          <w:b/>
          <w:bCs/>
          <w:color w:val="1A1A1A"/>
          <w:sz w:val="22"/>
          <w:szCs w:val="22"/>
        </w:rPr>
        <w:t xml:space="preserve">_normalize_categoricals</w:t>
      </w:r>
      <w:r>
        <w:rPr>
          <w:rFonts w:ascii="Calibri" w:cs="Calibri" w:eastAsia="Calibri" w:hAnsi="Calibri"/>
          <w:color w:val="1A1A1A"/>
          <w:sz w:val="22"/>
          <w:szCs w:val="22"/>
        </w:rPr>
        <w:t xml:space="preserve"> — normalizes on a lowercased, whitespace-stripped key so new typo variants of an already-known category are still caught, and routes any unrecognized value (including the literal 'unknown' token) to a real NaN rather than leaving it as a spurious extra category that a one-hot encoder would otherwise treat as meaningful.</w:t>
      </w:r>
    </w:p>
    <w:p>
      <w:pPr>
        <w:pStyle w:val="ListParagraph"/>
        <w:numPr>
          <w:ilvl w:val="0"/>
          <w:numId w:val="1"/>
        </w:numPr>
        <w:spacing w:after="80" w:line="280"/>
      </w:pPr>
      <w:r>
        <w:rPr>
          <w:rFonts w:ascii="Calibri" w:cs="Calibri" w:eastAsia="Calibri" w:hAnsi="Calibri"/>
          <w:b/>
          <w:bCs/>
          <w:color w:val="1A1A1A"/>
          <w:sz w:val="22"/>
          <w:szCs w:val="22"/>
        </w:rPr>
        <w:t xml:space="preserve">_clean_numeric_strings</w:t>
      </w:r>
      <w:r>
        <w:rPr>
          <w:rFonts w:ascii="Calibri" w:cs="Calibri" w:eastAsia="Calibri" w:hAnsi="Calibri"/>
          <w:color w:val="1A1A1A"/>
          <w:sz w:val="22"/>
          <w:szCs w:val="22"/>
        </w:rPr>
        <w:t xml:space="preserve"> — strips thousands separators from amount_src and coerces to numeric.</w:t>
      </w:r>
    </w:p>
    <w:p>
      <w:pPr>
        <w:pStyle w:val="ListParagraph"/>
        <w:numPr>
          <w:ilvl w:val="0"/>
          <w:numId w:val="1"/>
        </w:numPr>
        <w:spacing w:after="80" w:line="280"/>
      </w:pPr>
      <w:r>
        <w:rPr>
          <w:rFonts w:ascii="Calibri" w:cs="Calibri" w:eastAsia="Calibri" w:hAnsi="Calibri"/>
          <w:b/>
          <w:bCs/>
          <w:color w:val="1A1A1A"/>
          <w:sz w:val="22"/>
          <w:szCs w:val="22"/>
        </w:rPr>
        <w:t xml:space="preserve">_parse_timestamp</w:t>
      </w:r>
      <w:r>
        <w:rPr>
          <w:rFonts w:ascii="Calibri" w:cs="Calibri" w:eastAsia="Calibri" w:hAnsi="Calibri"/>
          <w:color w:val="1A1A1A"/>
          <w:sz w:val="22"/>
          <w:szCs w:val="22"/>
        </w:rPr>
        <w:t xml:space="preserve"> — parses timestamp to UTC-aware datetime, coercing unparseable values to NaT.</w:t>
      </w:r>
    </w:p>
    <w:p>
      <w:pPr>
        <w:pStyle w:val="ListParagraph"/>
        <w:numPr>
          <w:ilvl w:val="0"/>
          <w:numId w:val="1"/>
        </w:numPr>
        <w:spacing w:after="80" w:line="280"/>
      </w:pPr>
      <w:r>
        <w:rPr>
          <w:rFonts w:ascii="Calibri" w:cs="Calibri" w:eastAsia="Calibri" w:hAnsi="Calibri"/>
          <w:b/>
          <w:bCs/>
          <w:color w:val="1A1A1A"/>
          <w:sz w:val="22"/>
          <w:szCs w:val="22"/>
        </w:rPr>
        <w:t xml:space="preserve">resolve_duplicate_transaction_ids</w:t>
      </w:r>
      <w:r>
        <w:rPr>
          <w:rFonts w:ascii="Calibri" w:cs="Calibri" w:eastAsia="Calibri" w:hAnsi="Calibri"/>
          <w:color w:val="1A1A1A"/>
          <w:sz w:val="22"/>
          <w:szCs w:val="22"/>
        </w:rPr>
        <w:t xml:space="preserve"> — investigates rows sharing a transaction_id rather than assuming they are duplicate records. A repeated ID can represent a genuine retry with a different outcome; only rows that are fully identical across every column are treated as true duplicates and dropped. The function additionally computes the fraud rate within the dropped rows versus the dataset overall, so a cleaning step cannot silently remove a disproportionate share of fraud cases without that being visible in the cleaning report. On the actual dataset, this identified and removed 200 full-duplicate rows out of 11,400.</w:t>
      </w:r>
    </w:p>
    <w:p>
      <w:pPr>
        <w:pStyle w:val="ListParagraph"/>
        <w:numPr>
          <w:ilvl w:val="0"/>
          <w:numId w:val="1"/>
        </w:numPr>
        <w:spacing w:after="80" w:line="280"/>
      </w:pPr>
      <w:r>
        <w:rPr>
          <w:rFonts w:ascii="Calibri" w:cs="Calibri" w:eastAsia="Calibri" w:hAnsi="Calibri"/>
          <w:b/>
          <w:bCs/>
          <w:color w:val="1A1A1A"/>
          <w:sz w:val="22"/>
          <w:szCs w:val="22"/>
        </w:rPr>
        <w:t xml:space="preserve">analyze_missingness_vs_target</w:t>
      </w:r>
      <w:r>
        <w:rPr>
          <w:rFonts w:ascii="Calibri" w:cs="Calibri" w:eastAsia="Calibri" w:hAnsi="Calibri"/>
          <w:color w:val="1A1A1A"/>
          <w:sz w:val="22"/>
          <w:szCs w:val="22"/>
        </w:rPr>
        <w:t xml:space="preserve"> — compares the fraud rate among rows with any missing value against rows with none, before a decision is made to drop incomplete rows. This makes the “is it safe to drop missing rows” assumption checkable rather than implicit.</w:t>
      </w:r>
    </w:p>
    <w:p>
      <w:pPr>
        <w:spacing w:after="160" w:line="300"/>
        <w:jc w:val="both"/>
      </w:pPr>
      <w:r>
        <w:rPr>
          <w:rFonts w:ascii="Calibri" w:cs="Calibri" w:eastAsia="Calibri" w:hAnsi="Calibri"/>
          <w:b/>
          <w:bCs/>
          <w:color w:val="1A1A1A"/>
          <w:sz w:val="22"/>
          <w:szCs w:val="22"/>
        </w:rPr>
        <w:t xml:space="preserve">Result of the full cleaning pipeline: </w:t>
      </w:r>
      <w:r>
        <w:rPr>
          <w:rFonts w:ascii="Calibri" w:cs="Calibri" w:eastAsia="Calibri" w:hAnsi="Calibri"/>
          <w:color w:val="1A1A1A"/>
          <w:sz w:val="22"/>
          <w:szCs w:val="22"/>
        </w:rPr>
        <w:t xml:space="preserve">11,400 raw rows → 10,733 clean rows (467 dropped for missing data, 200 dropped as full duplicates), with a measured fraud rate of </w:t>
      </w:r>
      <w:r>
        <w:rPr>
          <w:rFonts w:ascii="Calibri" w:cs="Calibri" w:eastAsia="Calibri" w:hAnsi="Calibri"/>
          <w:b/>
          <w:bCs/>
          <w:color w:val="1A1A1A"/>
          <w:sz w:val="22"/>
          <w:szCs w:val="22"/>
        </w:rPr>
        <w:t xml:space="preserve">9.17%</w:t>
      </w:r>
      <w:r>
        <w:rPr>
          <w:rFonts w:ascii="Calibri" w:cs="Calibri" w:eastAsia="Calibri" w:hAnsi="Calibri"/>
          <w:color w:val="1A1A1A"/>
          <w:sz w:val="22"/>
          <w:szCs w:val="22"/>
        </w:rPr>
        <w:t xml:space="preserve">.</w:t>
      </w:r>
    </w:p>
    <w:p>
      <w:pPr>
        <w:pStyle w:val="Heading2"/>
        <w:spacing w:after="120" w:before="240"/>
      </w:pPr>
      <w:r>
        <w:t xml:space="preserve">3.4 Feature Engineering (novapay_fraud.features)</w:t>
      </w:r>
    </w:p>
    <w:p>
      <w:pPr>
        <w:spacing w:after="160" w:line="300"/>
        <w:jc w:val="both"/>
      </w:pPr>
      <w:r>
        <w:rPr>
          <w:rFonts w:ascii="Calibri" w:cs="Calibri" w:eastAsia="Calibri" w:hAnsi="Calibri"/>
          <w:color w:val="1A1A1A"/>
          <w:sz w:val="22"/>
          <w:szCs w:val="22"/>
        </w:rPr>
        <w:t xml:space="preserve">Ten binary risk flags and four time-derived features are engineered from EDA-identified patterns, each expressed as a named constant with a documented threshold rather than a magic number embedded in a transformation call:</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700"/>
        <w:gridCol w:w="2900"/>
        <w:gridCol w:w="3760"/>
      </w:tblGrid>
      <w:tr>
        <w:trPr>
          <w:tblHeader/>
        </w:trPr>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Feature</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Rule</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EDA rationale</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night_hour</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hour ∈ [0, 7]</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Elevated fraud rate observed 00:00–07:00</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account_very_new</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account age &lt; 30 days</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New accounts show substantially higher fraud rates</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account_new</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30–90 days</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Secondary elevated-risk band</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velocity_burst</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≥3 txns in last 1h</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Rapid transaction sequences correlate with fraud</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amount_high</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amount ≥ $2,000 USD</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High-value transfers show elevated risk</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ip_high_risk</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IP risk score ≥ 0.7</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Direct risk signal</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device_low_trust</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device trust score &lt; 0.5</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Direct risk signal</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corridor_high_risk</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corridor risk ≥ 0.5</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Direct risk signal</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cross_border</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source currency ≠ dest currency</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Cross-border transfers carry structurally higher risk</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high_chargeback_history</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chargeback count ≥ 1</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Repeat-offender signal</w:t>
            </w:r>
          </w:p>
        </w:tc>
      </w:tr>
    </w:tbl>
    <w:p>
      <w:pPr>
        <w:spacing w:after="160"/>
      </w:pPr>
    </w:p>
    <w:p>
      <w:pPr>
        <w:spacing w:after="160" w:line="300"/>
        <w:jc w:val="both"/>
      </w:pPr>
      <w:r>
        <w:rPr>
          <w:rFonts w:ascii="Calibri" w:cs="Calibri" w:eastAsia="Calibri" w:hAnsi="Calibri"/>
          <w:color w:val="1A1A1A"/>
          <w:sz w:val="22"/>
          <w:szCs w:val="22"/>
        </w:rPr>
        <w:t xml:space="preserve">Time features (hour_of_day, day_of_week, is_weekend, month) are derived directly from the parsed timestamp.</w:t>
      </w:r>
    </w:p>
    <w:p>
      <w:pPr>
        <w:pStyle w:val="Heading2"/>
        <w:spacing w:after="120" w:before="240"/>
      </w:pPr>
      <w:r>
        <w:t xml:space="preserve">3.5 Preprocessing</w:t>
      </w:r>
    </w:p>
    <w:p>
      <w:pPr>
        <w:spacing w:after="160" w:line="300"/>
        <w:jc w:val="both"/>
      </w:pPr>
      <w:r>
        <w:rPr>
          <w:rFonts w:ascii="Calibri" w:cs="Calibri" w:eastAsia="Calibri" w:hAnsi="Calibri"/>
          <w:color w:val="1A1A1A"/>
          <w:sz w:val="22"/>
          <w:szCs w:val="22"/>
        </w:rPr>
        <w:t xml:space="preserve">A single </w:t>
      </w:r>
      <w:r>
        <w:rPr>
          <w:rFonts w:ascii="Consolas" w:cs="Consolas" w:eastAsia="Consolas" w:hAnsi="Consolas"/>
          <w:color w:val="8B0000"/>
          <w:sz w:val="20"/>
          <w:szCs w:val="20"/>
        </w:rPr>
        <w:t xml:space="preserve">sklearn.compose.ColumnTransformer</w:t>
      </w:r>
      <w:r>
        <w:rPr>
          <w:rFonts w:ascii="Calibri" w:cs="Calibri" w:eastAsia="Calibri" w:hAnsi="Calibri"/>
          <w:color w:val="1A1A1A"/>
          <w:sz w:val="22"/>
          <w:szCs w:val="22"/>
        </w:rPr>
        <w:t xml:space="preserve"> (</w:t>
      </w:r>
      <w:r>
        <w:rPr>
          <w:rFonts w:ascii="Consolas" w:cs="Consolas" w:eastAsia="Consolas" w:hAnsi="Consolas"/>
          <w:color w:val="8B0000"/>
          <w:sz w:val="20"/>
          <w:szCs w:val="20"/>
        </w:rPr>
        <w:t xml:space="preserve">features.build_preprocessor</w:t>
      </w:r>
      <w:r>
        <w:rPr>
          <w:rFonts w:ascii="Calibri" w:cs="Calibri" w:eastAsia="Calibri" w:hAnsi="Calibri"/>
          <w:color w:val="1A1A1A"/>
          <w:sz w:val="22"/>
          <w:szCs w:val="22"/>
        </w:rPr>
        <w:t xml:space="preserve">) applies one-hot encoding to categorical fields (</w:t>
      </w:r>
      <w:r>
        <w:rPr>
          <w:rFonts w:ascii="Consolas" w:cs="Consolas" w:eastAsia="Consolas" w:hAnsi="Consolas"/>
          <w:color w:val="8B0000"/>
          <w:sz w:val="20"/>
          <w:szCs w:val="20"/>
        </w:rPr>
        <w:t xml:space="preserve">OneHotEncoder(handle_unknown="ignore", drop="if_binary", sparse_output=False)</w:t>
      </w:r>
      <w:r>
        <w:rPr>
          <w:rFonts w:ascii="Calibri" w:cs="Calibri" w:eastAsia="Calibri" w:hAnsi="Calibri"/>
          <w:color w:val="1A1A1A"/>
          <w:sz w:val="22"/>
          <w:szCs w:val="22"/>
        </w:rPr>
        <w:t xml:space="preserve">) and standard scaling to numeric fields, configured with </w:t>
      </w:r>
      <w:r>
        <w:rPr>
          <w:rFonts w:ascii="Consolas" w:cs="Consolas" w:eastAsia="Consolas" w:hAnsi="Consolas"/>
          <w:color w:val="8B0000"/>
          <w:sz w:val="20"/>
          <w:szCs w:val="20"/>
        </w:rPr>
        <w:t xml:space="preserve">set_output(transform="pandas")</w:t>
      </w:r>
      <w:r>
        <w:rPr>
          <w:rFonts w:ascii="Calibri" w:cs="Calibri" w:eastAsia="Calibri" w:hAnsi="Calibri"/>
          <w:color w:val="1A1A1A"/>
          <w:sz w:val="22"/>
          <w:szCs w:val="22"/>
        </w:rPr>
        <w:t xml:space="preserve"> so that named columns flow through the entire pipeline — this both eliminates a scikit-learn “missing feature names” warning and, more importantly, ensures SHAP explanations can be mapped back to human-readable feature names at inference time without a separate reconstruction step (see Section 6.2, which documents a real bug this design choice was introduced to fix).</w:t>
      </w:r>
    </w:p>
    <w:p>
      <w:pPr>
        <w:pStyle w:val="Heading1"/>
        <w:pageBreakBefore/>
        <w:spacing w:after="180" w:before="360"/>
      </w:pPr>
      <w:r>
        <w:t xml:space="preserve">4. Modeling Methodology</w:t>
      </w:r>
    </w:p>
    <w:p>
      <w:pPr>
        <w:pStyle w:val="Heading2"/>
        <w:spacing w:after="120" w:before="240"/>
      </w:pPr>
      <w:r>
        <w:t xml:space="preserve">4.1 Splitting Strategy</w:t>
      </w:r>
    </w:p>
    <w:p>
      <w:pPr>
        <w:spacing w:after="160" w:line="300"/>
        <w:jc w:val="both"/>
      </w:pPr>
      <w:r>
        <w:rPr>
          <w:rFonts w:ascii="Calibri" w:cs="Calibri" w:eastAsia="Calibri" w:hAnsi="Calibri"/>
          <w:color w:val="1A1A1A"/>
          <w:sz w:val="22"/>
          <w:szCs w:val="22"/>
        </w:rPr>
        <w:t xml:space="preserve">All splits are </w:t>
      </w:r>
      <w:r>
        <w:rPr>
          <w:rFonts w:ascii="Calibri" w:cs="Calibri" w:eastAsia="Calibri" w:hAnsi="Calibri"/>
          <w:b/>
          <w:bCs/>
          <w:color w:val="1A1A1A"/>
          <w:sz w:val="22"/>
          <w:szCs w:val="22"/>
        </w:rPr>
        <w:t xml:space="preserve">chronological</w:t>
      </w:r>
      <w:r>
        <w:rPr>
          <w:rFonts w:ascii="Calibri" w:cs="Calibri" w:eastAsia="Calibri" w:hAnsi="Calibri"/>
          <w:color w:val="1A1A1A"/>
          <w:sz w:val="22"/>
          <w:szCs w:val="22"/>
        </w:rPr>
        <w:t xml:space="preserve">, not randomly shuffled. </w:t>
      </w:r>
      <w:r>
        <w:rPr>
          <w:rFonts w:ascii="Consolas" w:cs="Consolas" w:eastAsia="Consolas" w:hAnsi="Consolas"/>
          <w:color w:val="8B0000"/>
          <w:sz w:val="20"/>
          <w:szCs w:val="20"/>
        </w:rPr>
        <w:t xml:space="preserve">modeling.time_based_split</w:t>
      </w:r>
      <w:r>
        <w:rPr>
          <w:rFonts w:ascii="Calibri" w:cs="Calibri" w:eastAsia="Calibri" w:hAnsi="Calibri"/>
          <w:color w:val="1A1A1A"/>
          <w:sz w:val="22"/>
          <w:szCs w:val="22"/>
        </w:rPr>
        <w:t xml:space="preserve"> sorts the dataset by timestamp and carves out, in order: a training window, a validation window (15% of the pre-test data), and a held-out test window (the most recent 20% of all data). This mirrors the actual deployment scenario — a fraud model is trained on transaction history and must generalize to transactions that occur after it was trained — and avoids the look-ahead leakage that a random shuffle-split would introduce.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120"/>
        <w:gridCol w:w="3120"/>
        <w:gridCol w:w="3120"/>
      </w:tblGrid>
      <w:tr>
        <w:trPr>
          <w:tblHeader/>
        </w:trPr>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Split</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Rows</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Fraud rate</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Training</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7,298</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7.08%</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Validation</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1,288</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12.34%</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Test</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2,147</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14.35%</w:t>
            </w:r>
          </w:p>
        </w:tc>
      </w:tr>
    </w:tbl>
    <w:p>
      <w:pPr>
        <w:spacing w:after="160"/>
      </w:pPr>
    </w:p>
    <w:p>
      <w:pPr>
        <w:spacing w:after="160" w:line="300"/>
        <w:jc w:val="both"/>
      </w:pPr>
      <w:r>
        <w:rPr>
          <w:rFonts w:ascii="Calibri" w:cs="Calibri" w:eastAsia="Calibri" w:hAnsi="Calibri"/>
          <w:color w:val="1A1A1A"/>
          <w:sz w:val="22"/>
          <w:szCs w:val="22"/>
        </w:rPr>
        <w:t xml:space="preserve">The rising fraud rate across the three windows reflects genuine temporal drift in the underlying data and is itself informative for the monitoring design discussed in Section 9.</w:t>
      </w:r>
    </w:p>
    <w:p>
      <w:pPr>
        <w:pStyle w:val="Heading2"/>
        <w:spacing w:after="120" w:before="240"/>
      </w:pPr>
      <w:r>
        <w:t xml:space="preserve">4.2 Class Imbalance Handling</w:t>
      </w:r>
    </w:p>
    <w:p>
      <w:pPr>
        <w:spacing w:after="160" w:line="300"/>
        <w:jc w:val="both"/>
      </w:pPr>
      <w:r>
        <w:rPr>
          <w:rFonts w:ascii="Calibri" w:cs="Calibri" w:eastAsia="Calibri" w:hAnsi="Calibri"/>
          <w:color w:val="1A1A1A"/>
          <w:sz w:val="22"/>
          <w:szCs w:val="22"/>
        </w:rPr>
        <w:t xml:space="preserve">At a measured 9.17% fraud prevalence, class-weighting (</w:t>
      </w:r>
      <w:r>
        <w:rPr>
          <w:rFonts w:ascii="Consolas" w:cs="Consolas" w:eastAsia="Consolas" w:hAnsi="Consolas"/>
          <w:color w:val="8B0000"/>
          <w:sz w:val="20"/>
          <w:szCs w:val="20"/>
        </w:rPr>
        <w:t xml:space="preserve">class_weight="balanced"</w:t>
      </w:r>
      <w:r>
        <w:rPr>
          <w:rFonts w:ascii="Calibri" w:cs="Calibri" w:eastAsia="Calibri" w:hAnsi="Calibri"/>
          <w:color w:val="1A1A1A"/>
          <w:sz w:val="22"/>
          <w:szCs w:val="22"/>
        </w:rPr>
        <w:t xml:space="preserve"> for Logistic Regression and Random Forest, </w:t>
      </w:r>
      <w:r>
        <w:rPr>
          <w:rFonts w:ascii="Consolas" w:cs="Consolas" w:eastAsia="Consolas" w:hAnsi="Consolas"/>
          <w:color w:val="8B0000"/>
          <w:sz w:val="20"/>
          <w:szCs w:val="20"/>
        </w:rPr>
        <w:t xml:space="preserve">scale_pos_weight</w:t>
      </w:r>
      <w:r>
        <w:rPr>
          <w:rFonts w:ascii="Calibri" w:cs="Calibri" w:eastAsia="Calibri" w:hAnsi="Calibri"/>
          <w:color w:val="1A1A1A"/>
          <w:sz w:val="22"/>
          <w:szCs w:val="22"/>
        </w:rPr>
        <w:t xml:space="preserve"> computed from the training split's class ratio for XGBoost, </w:t>
      </w:r>
      <w:r>
        <w:rPr>
          <w:rFonts w:ascii="Consolas" w:cs="Consolas" w:eastAsia="Consolas" w:hAnsi="Consolas"/>
          <w:color w:val="8B0000"/>
          <w:sz w:val="20"/>
          <w:szCs w:val="20"/>
        </w:rPr>
        <w:t xml:space="preserve">class_weight="balanced"</w:t>
      </w:r>
      <w:r>
        <w:rPr>
          <w:rFonts w:ascii="Calibri" w:cs="Calibri" w:eastAsia="Calibri" w:hAnsi="Calibri"/>
          <w:color w:val="1A1A1A"/>
          <w:sz w:val="22"/>
          <w:szCs w:val="22"/>
        </w:rPr>
        <w:t xml:space="preserve"> for LightGBM) was used rather than synthetic oversampling (SMOTE). This is a deliberate choice documented in config.py and the EDA notebook: SMOTE is designed for much more severe imbalance (often sub-1%) and introduces synthetic minority-class artifacts; at ~9% prevalence, class-weighting is sufficient and avoids that risk.</w:t>
      </w:r>
    </w:p>
    <w:p>
      <w:pPr>
        <w:pStyle w:val="Heading2"/>
        <w:spacing w:after="120" w:before="240"/>
      </w:pPr>
      <w:r>
        <w:t xml:space="preserve">4.3 Candidate Models</w:t>
      </w:r>
    </w:p>
    <w:p>
      <w:pPr>
        <w:spacing w:after="160" w:line="300"/>
        <w:jc w:val="both"/>
      </w:pPr>
      <w:r>
        <w:rPr>
          <w:rFonts w:ascii="Calibri" w:cs="Calibri" w:eastAsia="Calibri" w:hAnsi="Calibri"/>
          <w:color w:val="1A1A1A"/>
          <w:sz w:val="22"/>
          <w:szCs w:val="22"/>
        </w:rPr>
        <w:t xml:space="preserve">Four models are trained and compared on identical splits and identical engineered features, each configured via a single MODEL_REGISTRY dictionary in config.py:</w:t>
      </w:r>
    </w:p>
    <w:p>
      <w:pPr>
        <w:pStyle w:val="ListParagraph"/>
        <w:numPr>
          <w:ilvl w:val="0"/>
          <w:numId w:val="1"/>
        </w:numPr>
        <w:spacing w:after="80" w:line="280"/>
      </w:pPr>
      <w:r>
        <w:rPr>
          <w:rFonts w:ascii="Calibri" w:cs="Calibri" w:eastAsia="Calibri" w:hAnsi="Calibri"/>
          <w:b/>
          <w:bCs/>
          <w:color w:val="1A1A1A"/>
          <w:sz w:val="22"/>
          <w:szCs w:val="22"/>
        </w:rPr>
        <w:t xml:space="preserve">Logistic Regression</w:t>
      </w:r>
      <w:r>
        <w:rPr>
          <w:rFonts w:ascii="Calibri" w:cs="Calibri" w:eastAsia="Calibri" w:hAnsi="Calibri"/>
          <w:color w:val="1A1A1A"/>
          <w:sz w:val="22"/>
          <w:szCs w:val="22"/>
        </w:rPr>
        <w:t xml:space="preserve"> — class_weight="balanced", max_iter=2000.</w:t>
      </w:r>
    </w:p>
    <w:p>
      <w:pPr>
        <w:pStyle w:val="ListParagraph"/>
        <w:numPr>
          <w:ilvl w:val="0"/>
          <w:numId w:val="1"/>
        </w:numPr>
        <w:spacing w:after="80" w:line="280"/>
      </w:pPr>
      <w:r>
        <w:rPr>
          <w:rFonts w:ascii="Calibri" w:cs="Calibri" w:eastAsia="Calibri" w:hAnsi="Calibri"/>
          <w:b/>
          <w:bCs/>
          <w:color w:val="1A1A1A"/>
          <w:sz w:val="22"/>
          <w:szCs w:val="22"/>
        </w:rPr>
        <w:t xml:space="preserve">Random Forest</w:t>
      </w:r>
      <w:r>
        <w:rPr>
          <w:rFonts w:ascii="Calibri" w:cs="Calibri" w:eastAsia="Calibri" w:hAnsi="Calibri"/>
          <w:color w:val="1A1A1A"/>
          <w:sz w:val="22"/>
          <w:szCs w:val="22"/>
        </w:rPr>
        <w:t xml:space="preserve"> — 400 trees, class_weight="balanced_subsample".</w:t>
      </w:r>
    </w:p>
    <w:p>
      <w:pPr>
        <w:pStyle w:val="ListParagraph"/>
        <w:numPr>
          <w:ilvl w:val="0"/>
          <w:numId w:val="1"/>
        </w:numPr>
        <w:spacing w:after="80" w:line="280"/>
      </w:pPr>
      <w:r>
        <w:rPr>
          <w:rFonts w:ascii="Calibri" w:cs="Calibri" w:eastAsia="Calibri" w:hAnsi="Calibri"/>
          <w:b/>
          <w:bCs/>
          <w:color w:val="1A1A1A"/>
          <w:sz w:val="22"/>
          <w:szCs w:val="22"/>
        </w:rPr>
        <w:t xml:space="preserve">XGBoost</w:t>
      </w:r>
      <w:r>
        <w:rPr>
          <w:rFonts w:ascii="Calibri" w:cs="Calibri" w:eastAsia="Calibri" w:hAnsi="Calibri"/>
          <w:color w:val="1A1A1A"/>
          <w:sz w:val="22"/>
          <w:szCs w:val="22"/>
        </w:rPr>
        <w:t xml:space="preserve"> — 400 estimators, max depth 6, learning rate 0.05, eval_metric="aucpr", scale_pos_weight computed at fit time.</w:t>
      </w:r>
    </w:p>
    <w:p>
      <w:pPr>
        <w:pStyle w:val="ListParagraph"/>
        <w:numPr>
          <w:ilvl w:val="0"/>
          <w:numId w:val="1"/>
        </w:numPr>
        <w:spacing w:after="80" w:line="280"/>
      </w:pPr>
      <w:r>
        <w:rPr>
          <w:rFonts w:ascii="Calibri" w:cs="Calibri" w:eastAsia="Calibri" w:hAnsi="Calibri"/>
          <w:b/>
          <w:bCs/>
          <w:color w:val="1A1A1A"/>
          <w:sz w:val="22"/>
          <w:szCs w:val="22"/>
        </w:rPr>
        <w:t xml:space="preserve">LightGBM</w:t>
      </w:r>
      <w:r>
        <w:rPr>
          <w:rFonts w:ascii="Calibri" w:cs="Calibri" w:eastAsia="Calibri" w:hAnsi="Calibri"/>
          <w:color w:val="1A1A1A"/>
          <w:sz w:val="22"/>
          <w:szCs w:val="22"/>
        </w:rPr>
        <w:t xml:space="preserve"> — 400 estimators, learning rate 0.05, class_weight="balanced".</w:t>
      </w:r>
    </w:p>
    <w:p>
      <w:pPr>
        <w:pStyle w:val="Heading2"/>
        <w:spacing w:after="120" w:before="240"/>
      </w:pPr>
      <w:r>
        <w:t xml:space="preserve">4.4 Threshold Selection</w:t>
      </w:r>
    </w:p>
    <w:p>
      <w:pPr>
        <w:spacing w:after="160" w:line="300"/>
        <w:jc w:val="both"/>
      </w:pPr>
      <w:r>
        <w:rPr>
          <w:rFonts w:ascii="Calibri" w:cs="Calibri" w:eastAsia="Calibri" w:hAnsi="Calibri"/>
          <w:color w:val="1A1A1A"/>
          <w:sz w:val="22"/>
          <w:szCs w:val="22"/>
        </w:rPr>
        <w:t xml:space="preserve">For each candidate model, the decision threshold is selected on the validation split only, by sweeping a fixed grid (0.10 to 0.70 in 0.05 increments) and choosing the value that maximizes F1. This threshold is then applied, unmodified, to the held-out test split for final evaluation — the test set is never used for any tuning decision.</w:t>
      </w:r>
    </w:p>
    <w:p>
      <w:pPr>
        <w:pStyle w:val="Heading2"/>
        <w:spacing w:after="120" w:before="240"/>
      </w:pPr>
      <w:r>
        <w:t xml:space="preserve">4.5 Model Selection Criterion</w:t>
      </w:r>
    </w:p>
    <w:p>
      <w:pPr>
        <w:spacing w:after="160" w:line="300"/>
        <w:jc w:val="both"/>
      </w:pPr>
      <w:r>
        <w:rPr>
          <w:rFonts w:ascii="Calibri" w:cs="Calibri" w:eastAsia="Calibri" w:hAnsi="Calibri"/>
          <w:color w:val="1A1A1A"/>
          <w:sz w:val="22"/>
          <w:szCs w:val="22"/>
        </w:rPr>
        <w:t xml:space="preserve">The primary selection metric is PR-AUC (precision-recall area under curve), which is the appropriate summary statistic for an imbalanced binary classification problem — unlike ROC-AUC, PR-AUC is sensitive to the minority-class performance that actually matters here and is not inflated by the large true-negative count.</w:t>
      </w:r>
    </w:p>
    <w:p>
      <w:pPr>
        <w:pStyle w:val="Heading2"/>
        <w:spacing w:after="120" w:before="240"/>
      </w:pPr>
      <w:r>
        <w:t xml:space="preserve">4.6 Rules-Based Baseline</w:t>
      </w:r>
    </w:p>
    <w:p>
      <w:pPr>
        <w:spacing w:after="160" w:line="300"/>
        <w:jc w:val="both"/>
      </w:pPr>
      <w:r>
        <w:rPr>
          <w:rFonts w:ascii="Calibri" w:cs="Calibri" w:eastAsia="Calibri" w:hAnsi="Calibri"/>
          <w:color w:val="1A1A1A"/>
          <w:sz w:val="22"/>
          <w:szCs w:val="22"/>
        </w:rPr>
        <w:t xml:space="preserve">A static, rules-based comparator (novapay_fraud.baseline) was implemented to provide a real, measurable answer to the recall-uplift requirement, rather than an assumed or hypothetical baseline number. It deliberately uses simple, single-signal, fixed-threshold checks — flagging a transaction if IP risk score ≥ 0.9, OR transaction amount ≥ $5,000, OR chargeback history count ≥ 2 — rather than compound behavioral logic. This design choice reflects what an actual static rules engine looks like in practice (fixed limits an operations team configured once and rarely revisits), as distinct from the adaptive, multi-signal detection the ML system is being built to add. Folding velocity- or device-trust-aware logic into the “baseline” would have made the comparison meaningless, since that adaptive logic is precisely what the ML system contributes.</w:t>
      </w:r>
    </w:p>
    <w:p>
      <w:pPr>
        <w:spacing w:after="160" w:line="300"/>
        <w:jc w:val="both"/>
      </w:pPr>
      <w:r>
        <w:rPr>
          <w:rFonts w:ascii="Calibri" w:cs="Calibri" w:eastAsia="Calibri" w:hAnsi="Calibri"/>
          <w:color w:val="1A1A1A"/>
          <w:sz w:val="22"/>
          <w:szCs w:val="22"/>
        </w:rPr>
        <w:t xml:space="preserve">On the held-out test set, this baseline achieves precision 0.667, recall 0.805, F1 0.729.</w:t>
      </w:r>
    </w:p>
    <w:p>
      <w:pPr>
        <w:pStyle w:val="Heading1"/>
        <w:pageBreakBefore/>
        <w:spacing w:after="180" w:before="360"/>
      </w:pPr>
      <w:r>
        <w:t xml:space="preserve">5. Model Results</w:t>
      </w:r>
    </w:p>
    <w:p>
      <w:pPr>
        <w:pStyle w:val="Heading2"/>
        <w:spacing w:after="120" w:before="240"/>
      </w:pPr>
      <w:r>
        <w:t xml:space="preserve">5.1 Full Comparison Table</w:t>
      </w:r>
    </w:p>
    <w:p>
      <w:pPr>
        <w:spacing w:after="160" w:line="300"/>
        <w:jc w:val="both"/>
      </w:pPr>
      <w:r>
        <w:rPr>
          <w:rFonts w:ascii="Calibri" w:cs="Calibri" w:eastAsia="Calibri" w:hAnsi="Calibri"/>
          <w:color w:val="1A1A1A"/>
          <w:sz w:val="22"/>
          <w:szCs w:val="22"/>
        </w:rPr>
        <w:t xml:space="preserve">All figures below are computed on the held-out, time-ordered test set (2,147 transactions, 14.35% fraud), using each model's independently-selected validation threshold.</w:t>
      </w:r>
    </w:p>
    <w:tbl>
      <w:tblPr>
        <w:tblW w:type="dxa" w:w="9230"/>
        <w:tblBorders>
          <w:top w:val="single" w:color="D9D9D9" w:sz="4"/>
          <w:left w:val="single" w:color="D9D9D9" w:sz="4"/>
          <w:bottom w:val="single" w:color="D9D9D9" w:sz="4"/>
          <w:right w:val="single" w:color="D9D9D9" w:sz="4"/>
          <w:insideH w:val="single" w:color="D9D9D9" w:sz="4"/>
          <w:insideV w:val="single" w:color="D9D9D9" w:sz="4"/>
        </w:tblBorders>
      </w:tblPr>
      <w:tblGrid>
        <w:gridCol w:w="1650"/>
        <w:gridCol w:w="1050"/>
        <w:gridCol w:w="1120"/>
        <w:gridCol w:w="1010"/>
        <w:gridCol w:w="940"/>
        <w:gridCol w:w="1080"/>
        <w:gridCol w:w="1080"/>
        <w:gridCol w:w="1300"/>
      </w:tblGrid>
      <w:tr>
        <w:trPr>
          <w:tblHeader/>
        </w:trPr>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Model</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Threshold</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Precision</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Recall</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F1</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ROC-AUC</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PR-AUC</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Flagged</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Rules baseline</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0.667</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0.805</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0.729</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Logistic Regression</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0.70</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0.923</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0.938</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0.931</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0.983</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0.969</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313/2,147</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Random Forest</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0.60</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1.000</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0.919</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0.958</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0.973</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0.955</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283/2,147</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XGBoost</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0.60</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0.979</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0.919</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0.948</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0.971</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0.953</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289/2,147</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LightGBM</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0.40</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0.973</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0.919</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0.945</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0.968</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0.952</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291/2,147</w:t>
            </w:r>
          </w:p>
        </w:tc>
      </w:tr>
    </w:tbl>
    <w:p>
      <w:pPr>
        <w:spacing w:after="160"/>
      </w:pPr>
    </w:p>
    <w:p>
      <w:pPr>
        <w:spacing w:after="160" w:line="300"/>
        <w:jc w:val="both"/>
      </w:pPr>
      <w:r>
        <w:rPr>
          <w:rFonts w:ascii="Calibri" w:cs="Calibri" w:eastAsia="Calibri" w:hAnsi="Calibri"/>
          <w:b/>
          <w:bCs/>
          <w:color w:val="1A1A1A"/>
          <w:sz w:val="22"/>
          <w:szCs w:val="22"/>
        </w:rPr>
        <w:t xml:space="preserve">Selected model: Logistic Regression</w:t>
      </w:r>
      <w:r>
        <w:rPr>
          <w:rFonts w:ascii="Calibri" w:cs="Calibri" w:eastAsia="Calibri" w:hAnsi="Calibri"/>
          <w:color w:val="1A1A1A"/>
          <w:sz w:val="22"/>
          <w:szCs w:val="22"/>
        </w:rPr>
        <w:t xml:space="preserve">, on the basis of the highest PR-AUC (0.969). This result is reported alongside the full comparison table rather than presented in isolation: Random Forest's 100% test precision (zero false positives) is a genuinely notable result, and the trade-off between the two — Logistic Regression's higher recall and PR-AUC versus Random Forest's perfect precision — is preserved in artifacts/metrics.json for a human reviewer to weigh, rather than resolved silently by the selection code.</w:t>
      </w:r>
    </w:p>
    <w:p>
      <w:pPr>
        <w:pStyle w:val="Heading2"/>
        <w:spacing w:after="120" w:before="240"/>
      </w:pPr>
      <w:r>
        <w:t xml:space="preserve">5.2 Recall Uplift Against the Rules Baseline</w:t>
      </w:r>
    </w:p>
    <w:p>
      <w:pPr>
        <w:spacing w:after="160" w:line="300"/>
        <w:jc w:val="center"/>
      </w:pPr>
      <w:r>
        <w:rPr>
          <w:rFonts w:ascii="Calibri" w:cs="Calibri" w:eastAsia="Calibri" w:hAnsi="Calibri"/>
          <w:color w:val="1A1A1A"/>
          <w:sz w:val="22"/>
          <w:szCs w:val="22"/>
        </w:rPr>
        <w:t xml:space="preserve">uplift = (0.938 − 0.805) / 0.805 × 100% = 16.5%</w:t>
      </w:r>
    </w:p>
    <w:p>
      <w:pPr>
        <w:spacing w:after="160" w:line="300"/>
        <w:jc w:val="both"/>
      </w:pPr>
      <w:r>
        <w:rPr>
          <w:rFonts w:ascii="Calibri" w:cs="Calibri" w:eastAsia="Calibri" w:hAnsi="Calibri"/>
          <w:color w:val="1A1A1A"/>
          <w:sz w:val="22"/>
          <w:szCs w:val="22"/>
        </w:rPr>
        <w:t xml:space="preserve">This exceeds the ≥15% recall-uplift requirement. The check is computed automatically in train.py and recorded as a boolean (</w:t>
      </w:r>
      <w:r>
        <w:rPr>
          <w:rFonts w:ascii="Consolas" w:cs="Consolas" w:eastAsia="Consolas" w:hAnsi="Consolas"/>
          <w:color w:val="8B0000"/>
          <w:sz w:val="20"/>
          <w:szCs w:val="20"/>
        </w:rPr>
        <w:t xml:space="preserve">meets_min_recall_uplift_requirement</w:t>
      </w:r>
      <w:r>
        <w:rPr>
          <w:rFonts w:ascii="Calibri" w:cs="Calibri" w:eastAsia="Calibri" w:hAnsi="Calibri"/>
          <w:color w:val="1A1A1A"/>
          <w:sz w:val="22"/>
          <w:szCs w:val="22"/>
        </w:rPr>
        <w:t xml:space="preserve">) in artifacts/model_metadata.json, so the promotion decision documented in Section 9 (retraining playbook) can be gated on this value programmatically rather than read off a report by a human each time.</w:t>
      </w:r>
    </w:p>
    <w:p>
      <w:pPr>
        <w:pStyle w:val="Heading2"/>
        <w:spacing w:after="120" w:before="240"/>
      </w:pPr>
      <w:r>
        <w:t xml:space="preserve">5.3 A Note on How This Number Was Arrived At</w:t>
      </w:r>
    </w:p>
    <w:p>
      <w:pPr>
        <w:spacing w:after="160" w:line="300"/>
        <w:jc w:val="both"/>
      </w:pPr>
      <w:r>
        <w:rPr>
          <w:rFonts w:ascii="Calibri" w:cs="Calibri" w:eastAsia="Calibri" w:hAnsi="Calibri"/>
          <w:color w:val="1A1A1A"/>
          <w:sz w:val="22"/>
          <w:szCs w:val="22"/>
        </w:rPr>
        <w:t xml:space="preserve">An earlier version of the rules baseline used compound behavioral logic (velocity bursts combined with new-device flags, location mismatch combined with low device trust) and achieved 89% recall on its own — too strong to plausibly represent a static legacy system, and it produced a recall uplift of only 5.1%, which would have failed the requirement. The baseline was redesigned to use only simple, independent, fixed-threshold rules, which is a more honest representation of what a “static rules-based system” (the actual system NovaPay is described as replacing) looks like. This is reported here because the final 16.5% figure is only meaningful in light of what it is being measured against, and that comparator was a deliberate engineering decision, not an incidental default.</w:t>
      </w:r>
    </w:p>
    <w:p>
      <w:pPr>
        <w:pStyle w:val="Heading2"/>
        <w:spacing w:after="120" w:before="240"/>
      </w:pPr>
      <w:r>
        <w:t xml:space="preserve">5.4 Global Feature Importance (SHAP)</w:t>
      </w:r>
    </w:p>
    <w:p>
      <w:pPr>
        <w:spacing w:after="160" w:line="300"/>
        <w:jc w:val="both"/>
      </w:pPr>
      <w:r>
        <w:rPr>
          <w:rFonts w:ascii="Calibri" w:cs="Calibri" w:eastAsia="Calibri" w:hAnsi="Calibri"/>
          <w:color w:val="1A1A1A"/>
          <w:sz w:val="22"/>
          <w:szCs w:val="22"/>
        </w:rPr>
        <w:t xml:space="preserve">The ten highest-ranked features by mean absolute SHAP value on the test set:</w:t>
      </w:r>
    </w:p>
    <w:tbl>
      <w:tblPr>
        <w:tblW w:type="dxa" w:w="9160"/>
        <w:tblBorders>
          <w:top w:val="single" w:color="D9D9D9" w:sz="4"/>
          <w:left w:val="single" w:color="D9D9D9" w:sz="4"/>
          <w:bottom w:val="single" w:color="D9D9D9" w:sz="4"/>
          <w:right w:val="single" w:color="D9D9D9" w:sz="4"/>
          <w:insideH w:val="single" w:color="D9D9D9" w:sz="4"/>
          <w:insideV w:val="single" w:color="D9D9D9" w:sz="4"/>
        </w:tblBorders>
      </w:tblPr>
      <w:tblGrid>
        <w:gridCol w:w="1200"/>
        <w:gridCol w:w="5000"/>
        <w:gridCol w:w="2960"/>
      </w:tblGrid>
      <w:tr>
        <w:trPr>
          <w:tblHeader/>
        </w:trPr>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Rank</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Feature</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Mean |SHAP|</w:t>
            </w:r>
          </w:p>
        </w:tc>
      </w:tr>
      <w:tr>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1</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account_very_new</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1.017</w:t>
            </w:r>
          </w:p>
        </w:tc>
      </w:tr>
      <w:tr>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2</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device_low_trust</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0.552</w:t>
            </w:r>
          </w:p>
        </w:tc>
      </w:tr>
      <w:tr>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3</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txn_velocity_24h</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0.529</w:t>
            </w:r>
          </w:p>
        </w:tc>
      </w:tr>
      <w:tr>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4</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velocity_burst</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0.456</w:t>
            </w:r>
          </w:p>
        </w:tc>
      </w:tr>
      <w:tr>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5</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kyc_tier_ENHANCED</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0.453</w:t>
            </w:r>
          </w:p>
        </w:tc>
      </w:tr>
      <w:tr>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6</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txn_velocity_1h</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0.394</w:t>
            </w:r>
          </w:p>
        </w:tc>
      </w:tr>
      <w:tr>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7</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corridor_risk</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0.337</w:t>
            </w:r>
          </w:p>
        </w:tc>
      </w:tr>
      <w:tr>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8</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dest_currency_NGN</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0.322</w:t>
            </w:r>
          </w:p>
        </w:tc>
      </w:tr>
      <w:tr>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9</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location_mismatch</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0.283</w:t>
            </w:r>
          </w:p>
        </w:tc>
      </w:tr>
      <w:tr>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10</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chargeback_history_count</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0.264</w:t>
            </w:r>
          </w:p>
        </w:tc>
      </w:tr>
    </w:tbl>
    <w:p>
      <w:pPr>
        <w:spacing w:after="160"/>
      </w:pPr>
    </w:p>
    <w:p>
      <w:pPr>
        <w:spacing w:after="160" w:line="300"/>
        <w:jc w:val="both"/>
      </w:pPr>
      <w:r>
        <w:rPr>
          <w:rFonts w:ascii="Calibri" w:cs="Calibri" w:eastAsia="Calibri" w:hAnsi="Calibri"/>
          <w:color w:val="1A1A1A"/>
          <w:sz w:val="22"/>
          <w:szCs w:val="22"/>
        </w:rPr>
        <w:t xml:space="preserve">Account age (account_very_new) is the single strongest driver, consistent with the EDA finding that newly-opened accounts carry disproportionate fraud risk — this validates that the engineered risk flags, rather than only raw fields, are pulling meaningful weight in the final model.</w:t>
      </w:r>
    </w:p>
    <w:p>
      <w:pPr>
        <w:pStyle w:val="Heading1"/>
        <w:pageBreakBefore/>
        <w:spacing w:after="180" w:before="360"/>
      </w:pPr>
      <w:r>
        <w:t xml:space="preserve">6. Explainability (SHAP)</w:t>
      </w:r>
    </w:p>
    <w:p>
      <w:pPr>
        <w:pStyle w:val="Heading2"/>
        <w:spacing w:after="120" w:before="240"/>
      </w:pPr>
      <w:r>
        <w:t xml:space="preserve">6.1 Explainer Selection</w:t>
      </w:r>
    </w:p>
    <w:p>
      <w:pPr>
        <w:spacing w:after="160" w:line="300"/>
        <w:jc w:val="both"/>
      </w:pPr>
      <w:r>
        <w:rPr>
          <w:rFonts w:ascii="Consolas" w:cs="Consolas" w:eastAsia="Consolas" w:hAnsi="Consolas"/>
          <w:color w:val="8B0000"/>
          <w:sz w:val="20"/>
          <w:szCs w:val="20"/>
        </w:rPr>
        <w:t xml:space="preserve">novapay_fraud.explain.build_explainer</w:t>
      </w:r>
      <w:r>
        <w:rPr>
          <w:rFonts w:ascii="Calibri" w:cs="Calibri" w:eastAsia="Calibri" w:hAnsi="Calibri"/>
          <w:color w:val="1A1A1A"/>
          <w:sz w:val="22"/>
          <w:szCs w:val="22"/>
        </w:rPr>
        <w:t xml:space="preserve"> automatically selects the SHAP explainer appropriate to the winning model's type: </w:t>
      </w:r>
      <w:r>
        <w:rPr>
          <w:rFonts w:ascii="Consolas" w:cs="Consolas" w:eastAsia="Consolas" w:hAnsi="Consolas"/>
          <w:color w:val="8B0000"/>
          <w:sz w:val="20"/>
          <w:szCs w:val="20"/>
        </w:rPr>
        <w:t xml:space="preserve">shap.TreeExplainer</w:t>
      </w:r>
      <w:r>
        <w:rPr>
          <w:rFonts w:ascii="Calibri" w:cs="Calibri" w:eastAsia="Calibri" w:hAnsi="Calibri"/>
          <w:color w:val="1A1A1A"/>
          <w:sz w:val="22"/>
          <w:szCs w:val="22"/>
        </w:rPr>
        <w:t xml:space="preserve"> for Random Forest, XGBoost, or LightGBM (exact, fast, requires no background sample — suitable for real-time per-transaction scoring), or </w:t>
      </w:r>
      <w:r>
        <w:rPr>
          <w:rFonts w:ascii="Consolas" w:cs="Consolas" w:eastAsia="Consolas" w:hAnsi="Consolas"/>
          <w:color w:val="8B0000"/>
          <w:sz w:val="20"/>
          <w:szCs w:val="20"/>
        </w:rPr>
        <w:t xml:space="preserve">shap.LinearExplainer</w:t>
      </w:r>
      <w:r>
        <w:rPr>
          <w:rFonts w:ascii="Calibri" w:cs="Calibri" w:eastAsia="Calibri" w:hAnsi="Calibri"/>
          <w:color w:val="1A1A1A"/>
          <w:sz w:val="22"/>
          <w:szCs w:val="22"/>
        </w:rPr>
        <w:t xml:space="preserve"> for Logistic Regression (exact for linear models, requires a background sample to estimate feature correlations). This automatic dispatch exists because shap.TreeExplainer does not support Logistic Regression — a genuine InvalidModelError was encountered during development when Logistic Regression won model selection on one run and the explainer construction code still assumed a tree model. The fix ensures explainability does not silently break on a future retrain that selects a different model type.</w:t>
      </w:r>
    </w:p>
    <w:p>
      <w:pPr>
        <w:pStyle w:val="Heading2"/>
        <w:spacing w:after="120" w:before="240"/>
      </w:pPr>
      <w:r>
        <w:t xml:space="preserve">6.2 Human-Readable Explanations</w:t>
      </w:r>
    </w:p>
    <w:p>
      <w:pPr>
        <w:spacing w:after="160" w:line="300"/>
        <w:jc w:val="both"/>
      </w:pPr>
      <w:r>
        <w:rPr>
          <w:rFonts w:ascii="Consolas" w:cs="Consolas" w:eastAsia="Consolas" w:hAnsi="Consolas"/>
          <w:color w:val="8B0000"/>
          <w:sz w:val="20"/>
          <w:szCs w:val="20"/>
        </w:rPr>
        <w:t xml:space="preserve">explain.explain_instance</w:t>
      </w:r>
      <w:r>
        <w:rPr>
          <w:rFonts w:ascii="Calibri" w:cs="Calibri" w:eastAsia="Calibri" w:hAnsi="Calibri"/>
          <w:color w:val="1A1A1A"/>
          <w:sz w:val="22"/>
          <w:szCs w:val="22"/>
        </w:rPr>
        <w:t xml:space="preserve"> returns, for a single transaction, the top-N features by absolute SHAP contribution, each annotated with a direction (increases_fraud_risk / decreases_fraud_risk). A second implementation defect was found and fixed here: the initial version reported the </w:t>
      </w:r>
      <w:r>
        <w:rPr>
          <w:rFonts w:ascii="Calibri" w:cs="Calibri" w:eastAsia="Calibri" w:hAnsi="Calibri"/>
          <w:b/>
          <w:bCs/>
          <w:color w:val="1A1A1A"/>
          <w:sz w:val="22"/>
          <w:szCs w:val="22"/>
        </w:rPr>
        <w:t xml:space="preserve">scaled/standardized</w:t>
      </w:r>
      <w:r>
        <w:rPr>
          <w:rFonts w:ascii="Calibri" w:cs="Calibri" w:eastAsia="Calibri" w:hAnsi="Calibri"/>
          <w:color w:val="1A1A1A"/>
          <w:sz w:val="22"/>
          <w:szCs w:val="22"/>
        </w:rPr>
        <w:t xml:space="preserve"> feature value (e.g., corridor_risk: 6.01, the output of StandardScaler) rather than the original transaction value — meaningless to a fraud analyst or a regulator asking “why was this transaction flagged.” The fix (</w:t>
      </w:r>
      <w:r>
        <w:rPr>
          <w:rFonts w:ascii="Consolas" w:cs="Consolas" w:eastAsia="Consolas" w:hAnsi="Consolas"/>
          <w:color w:val="8B0000"/>
          <w:sz w:val="20"/>
          <w:szCs w:val="20"/>
        </w:rPr>
        <w:t xml:space="preserve">_resolve_display_value</w:t>
      </w:r>
      <w:r>
        <w:rPr>
          <w:rFonts w:ascii="Calibri" w:cs="Calibri" w:eastAsia="Calibri" w:hAnsi="Calibri"/>
          <w:color w:val="1A1A1A"/>
          <w:sz w:val="22"/>
          <w:szCs w:val="22"/>
        </w:rPr>
        <w:t xml:space="preserve">) maps each transformed feature name back to its raw, human-readable value from the pre-scaling engineered row — resolving numeric/boolean features directly by name, and one-hot encoded categorical columns (e.g., channel_WEB) back to the source column's actual category. After the fix, the same transaction's explanation correctly reports corridor_risk: 0.55.</w:t>
      </w:r>
    </w:p>
    <w:p>
      <w:pPr>
        <w:spacing w:after="160" w:line="300"/>
        <w:jc w:val="both"/>
      </w:pPr>
      <w:r>
        <w:rPr>
          <w:rFonts w:ascii="Calibri" w:cs="Calibri" w:eastAsia="Calibri" w:hAnsi="Calibri"/>
          <w:color w:val="1A1A1A"/>
          <w:sz w:val="22"/>
          <w:szCs w:val="22"/>
        </w:rPr>
        <w:t xml:space="preserve">This satisfies the project's regulatory-compliance requirement for transparent, per-transaction reasoning, not only an offline global-importance plot for analysts.</w:t>
      </w:r>
    </w:p>
    <w:p>
      <w:pPr>
        <w:pStyle w:val="Heading1"/>
        <w:pageBreakBefore/>
        <w:spacing w:after="180" w:before="360"/>
      </w:pPr>
      <w:r>
        <w:t xml:space="preserve">7. Serving Layer: FastAPI Microservice</w:t>
      </w:r>
    </w:p>
    <w:p>
      <w:pPr>
        <w:pStyle w:val="Heading2"/>
        <w:spacing w:after="120" w:before="240"/>
      </w:pPr>
      <w:r>
        <w:t xml:space="preserve">7.1 Endpoints (api/main.py)</w:t>
      </w:r>
    </w:p>
    <w:tbl>
      <w:tblPr>
        <w:tblW w:type="dxa" w:w="9160"/>
        <w:tblBorders>
          <w:top w:val="single" w:color="D9D9D9" w:sz="4"/>
          <w:left w:val="single" w:color="D9D9D9" w:sz="4"/>
          <w:bottom w:val="single" w:color="D9D9D9" w:sz="4"/>
          <w:right w:val="single" w:color="D9D9D9" w:sz="4"/>
          <w:insideH w:val="single" w:color="D9D9D9" w:sz="4"/>
          <w:insideV w:val="single" w:color="D9D9D9" w:sz="4"/>
        </w:tblBorders>
      </w:tblPr>
      <w:tblGrid>
        <w:gridCol w:w="1800"/>
        <w:gridCol w:w="1100"/>
        <w:gridCol w:w="6260"/>
      </w:tblGrid>
      <w:tr>
        <w:trPr>
          <w:tblHeader/>
        </w:trPr>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Endpoint</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Method</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Purpose</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/health</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GET</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Liveness/readiness probe; reports whether the model is loaded</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/model/metadata</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GET</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Returns the full training metadata (selected model, threshold, recall uplift, feature schema, library versions)</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/score</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POST</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Score a single transaction; returns fraud probability, flag decision, and top-5 SHAP reasons</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/score/batch</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POST</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Score up to 500 transactions in one call</w:t>
            </w:r>
          </w:p>
        </w:tc>
      </w:tr>
    </w:tbl>
    <w:p>
      <w:pPr>
        <w:spacing w:after="160"/>
      </w:pPr>
    </w:p>
    <w:p>
      <w:pPr>
        <w:pStyle w:val="Heading2"/>
        <w:spacing w:after="120" w:before="240"/>
      </w:pPr>
      <w:r>
        <w:t xml:space="preserve">7.2 Request/Response Contract (api/schemas.py)</w:t>
      </w:r>
    </w:p>
    <w:p>
      <w:pPr>
        <w:spacing w:after="160" w:line="300"/>
        <w:jc w:val="both"/>
      </w:pPr>
      <w:r>
        <w:rPr>
          <w:rFonts w:ascii="Calibri" w:cs="Calibri" w:eastAsia="Calibri" w:hAnsi="Calibri"/>
          <w:color w:val="1A1A1A"/>
          <w:sz w:val="22"/>
          <w:szCs w:val="22"/>
        </w:rPr>
        <w:t xml:space="preserve">Requests are validated with Pydantic models (</w:t>
      </w:r>
      <w:r>
        <w:rPr>
          <w:rFonts w:ascii="Consolas" w:cs="Consolas" w:eastAsia="Consolas" w:hAnsi="Consolas"/>
          <w:color w:val="8B0000"/>
          <w:sz w:val="20"/>
          <w:szCs w:val="20"/>
        </w:rPr>
        <w:t xml:space="preserve">TransactionRequest</w:t>
      </w:r>
      <w:r>
        <w:rPr>
          <w:rFonts w:ascii="Calibri" w:cs="Calibri" w:eastAsia="Calibri" w:hAnsi="Calibri"/>
          <w:color w:val="1A1A1A"/>
          <w:sz w:val="22"/>
          <w:szCs w:val="22"/>
        </w:rPr>
        <w:t xml:space="preserve">) enforcing field types, bounded ranges (e.g., risk scores in [0, 1]), enum-constrained categorical fields, and a custom validator rejecting implausibly large transaction amounts. This ensures malformed input fails fast with a structured 422 error rather than reaching the model.</w:t>
      </w:r>
    </w:p>
    <w:p>
      <w:pPr>
        <w:pStyle w:val="Heading2"/>
        <w:spacing w:after="120" w:before="240"/>
      </w:pPr>
      <w:r>
        <w:t xml:space="preserve">7.3 Feature Engineering at Inference Time</w:t>
      </w:r>
    </w:p>
    <w:p>
      <w:pPr>
        <w:spacing w:after="160" w:line="300"/>
        <w:jc w:val="both"/>
      </w:pPr>
      <w:r>
        <w:rPr>
          <w:rFonts w:ascii="Calibri" w:cs="Calibri" w:eastAsia="Calibri" w:hAnsi="Calibri"/>
          <w:color w:val="1A1A1A"/>
          <w:sz w:val="22"/>
          <w:szCs w:val="22"/>
        </w:rPr>
        <w:t xml:space="preserve">The API calls the same </w:t>
      </w:r>
      <w:r>
        <w:rPr>
          <w:rFonts w:ascii="Consolas" w:cs="Consolas" w:eastAsia="Consolas" w:hAnsi="Consolas"/>
          <w:color w:val="8B0000"/>
          <w:sz w:val="20"/>
          <w:szCs w:val="20"/>
        </w:rPr>
        <w:t xml:space="preserve">novapay_fraud.features.engineer_features</w:t>
      </w:r>
      <w:r>
        <w:rPr>
          <w:rFonts w:ascii="Calibri" w:cs="Calibri" w:eastAsia="Calibri" w:hAnsi="Calibri"/>
          <w:color w:val="1A1A1A"/>
          <w:sz w:val="22"/>
          <w:szCs w:val="22"/>
        </w:rPr>
        <w:t xml:space="preserve"> function used during training on every incoming request (</w:t>
      </w:r>
      <w:r>
        <w:rPr>
          <w:rFonts w:ascii="Consolas" w:cs="Consolas" w:eastAsia="Consolas" w:hAnsi="Consolas"/>
          <w:color w:val="8B0000"/>
          <w:sz w:val="20"/>
          <w:szCs w:val="20"/>
        </w:rPr>
        <w:t xml:space="preserve">_request_to_row</w:t>
      </w:r>
      <w:r>
        <w:rPr>
          <w:rFonts w:ascii="Calibri" w:cs="Calibri" w:eastAsia="Calibri" w:hAnsi="Calibri"/>
          <w:color w:val="1A1A1A"/>
          <w:sz w:val="22"/>
          <w:szCs w:val="22"/>
        </w:rPr>
        <w:t xml:space="preserve"> in api/main.py), so callers submit only raw transaction fields — engineered features (time-of-day, risk flags) are computed server-side using identical logic to training. This directly addresses train/serve skew: there is no second, hand-maintained reimplementation of feature engineering inside the API.</w:t>
      </w:r>
    </w:p>
    <w:p>
      <w:pPr>
        <w:pStyle w:val="Heading2"/>
        <w:spacing w:after="120" w:before="240"/>
      </w:pPr>
      <w:r>
        <w:t xml:space="preserve">7.4 Model Artifact Loading</w:t>
      </w:r>
    </w:p>
    <w:p>
      <w:pPr>
        <w:spacing w:after="160" w:line="300"/>
        <w:jc w:val="both"/>
      </w:pPr>
      <w:r>
        <w:rPr>
          <w:rFonts w:ascii="Calibri" w:cs="Calibri" w:eastAsia="Calibri" w:hAnsi="Calibri"/>
          <w:color w:val="1A1A1A"/>
          <w:sz w:val="22"/>
          <w:szCs w:val="22"/>
        </w:rPr>
        <w:t xml:space="preserve">The full sklearn.pipeline.Pipeline (preprocessor + model, fit together) is persisted as a single joblib artifact and loaded once at API startup via a lifespan context manager, alongside the fitted SHAP explainer and training metadata. Persisting preprocessor and model together as one object eliminates the possibility of the API loading a preprocessor and model that were not fit together — a class of deployment bug where an artifact-versioning mismatch would silently produce wrong predictions.</w:t>
      </w:r>
    </w:p>
    <w:p>
      <w:pPr>
        <w:pStyle w:val="Heading2"/>
        <w:spacing w:after="120" w:before="240"/>
      </w:pPr>
      <w:r>
        <w:t xml:space="preserve">7.5 Operational Details</w:t>
      </w:r>
    </w:p>
    <w:p>
      <w:pPr>
        <w:spacing w:after="160" w:line="300"/>
        <w:jc w:val="both"/>
      </w:pPr>
      <w:r>
        <w:rPr>
          <w:rFonts w:ascii="Calibri" w:cs="Calibri" w:eastAsia="Calibri" w:hAnsi="Calibri"/>
          <w:color w:val="1A1A1A"/>
          <w:sz w:val="22"/>
          <w:szCs w:val="22"/>
        </w:rPr>
        <w:t xml:space="preserve">A middleware layer adds an </w:t>
      </w:r>
      <w:r>
        <w:rPr>
          <w:rFonts w:ascii="Consolas" w:cs="Consolas" w:eastAsia="Consolas" w:hAnsi="Consolas"/>
          <w:color w:val="8B0000"/>
          <w:sz w:val="20"/>
          <w:szCs w:val="20"/>
        </w:rPr>
        <w:t xml:space="preserve">X-Process-Time-Ms</w:t>
      </w:r>
      <w:r>
        <w:rPr>
          <w:rFonts w:ascii="Calibri" w:cs="Calibri" w:eastAsia="Calibri" w:hAnsi="Calibri"/>
          <w:color w:val="1A1A1A"/>
          <w:sz w:val="22"/>
          <w:szCs w:val="22"/>
        </w:rPr>
        <w:t xml:space="preserve"> response header for latency observability. A global exception handler catches unhandled errors, logs them server-side with a full traceback, and returns a generic 500 to the caller rather than leaking internals.</w:t>
      </w:r>
    </w:p>
    <w:p>
      <w:pPr>
        <w:pStyle w:val="Heading1"/>
        <w:pageBreakBefore/>
        <w:spacing w:after="180" w:before="360"/>
      </w:pPr>
      <w:r>
        <w:t xml:space="preserve">8. Frontend: Streamlit Analyst Console</w:t>
      </w:r>
    </w:p>
    <w:p>
      <w:pPr>
        <w:pStyle w:val="Heading2"/>
        <w:spacing w:after="120" w:before="240"/>
      </w:pPr>
      <w:r>
        <w:t xml:space="preserve">8.1 Architectural Role</w:t>
      </w:r>
    </w:p>
    <w:p>
      <w:pPr>
        <w:spacing w:after="160" w:line="300"/>
        <w:jc w:val="both"/>
      </w:pPr>
      <w:r>
        <w:rPr>
          <w:rFonts w:ascii="Calibri" w:cs="Calibri" w:eastAsia="Calibri" w:hAnsi="Calibri"/>
          <w:color w:val="1A1A1A"/>
          <w:sz w:val="22"/>
          <w:szCs w:val="22"/>
        </w:rPr>
        <w:t xml:space="preserve">frontend/app.py is explicitly designed and documented (in its own module docstring) as a thin client over the FastAPI service — it contains no scoring logic of its own. Every fraud probability, flag decision, and SHAP explanation displayed in the console is retrieved from the same /score and /score/batch endpoints any other API caller would use, guaranteeing that what an analyst sees in the UI is exactly what the production API returns, not a parallel implementation that could diverge.</w:t>
      </w:r>
    </w:p>
    <w:p>
      <w:pPr>
        <w:spacing w:after="160" w:line="300"/>
        <w:jc w:val="both"/>
      </w:pPr>
      <w:r>
        <w:rPr>
          <w:rFonts w:ascii="Calibri" w:cs="Calibri" w:eastAsia="Calibri" w:hAnsi="Calibri"/>
          <w:color w:val="1A1A1A"/>
          <w:sz w:val="22"/>
          <w:szCs w:val="22"/>
        </w:rPr>
        <w:t xml:space="preserve">The single documented exception is the Drift Monitoring tab, which imports novapay_fraud.monitoring directly rather than calling the API, because drift-checking is an offline/batch analyst workflow with no corresponding real-time scoring endpoint (there is deliberately no /drift route in the API).</w:t>
      </w:r>
    </w:p>
    <w:p>
      <w:pPr>
        <w:pStyle w:val="Heading2"/>
        <w:spacing w:after="120" w:before="240"/>
      </w:pPr>
      <w:r>
        <w:t xml:space="preserve">8.2 Tabs</w:t>
      </w:r>
    </w:p>
    <w:p>
      <w:pPr>
        <w:pStyle w:val="ListParagraph"/>
        <w:numPr>
          <w:ilvl w:val="0"/>
          <w:numId w:val="1"/>
        </w:numPr>
        <w:spacing w:after="80" w:line="280"/>
      </w:pPr>
      <w:r>
        <w:rPr>
          <w:rFonts w:ascii="Calibri" w:cs="Calibri" w:eastAsia="Calibri" w:hAnsi="Calibri"/>
          <w:b/>
          <w:bCs/>
          <w:color w:val="1A1A1A"/>
          <w:sz w:val="22"/>
          <w:szCs w:val="22"/>
        </w:rPr>
        <w:t xml:space="preserve">Score a Transaction</w:t>
      </w:r>
      <w:r>
        <w:rPr>
          <w:rFonts w:ascii="Calibri" w:cs="Calibri" w:eastAsia="Calibri" w:hAnsi="Calibri"/>
          <w:color w:val="1A1A1A"/>
          <w:sz w:val="22"/>
          <w:szCs w:val="22"/>
        </w:rPr>
        <w:t xml:space="preserve"> — a form covering all raw transaction fields, submitting to /score and rendering two Plotly visualizations: a gauge chart showing fraud probability against the decision threshold, and a horizontal bar chart of the top-5 SHAP reasons (red bars increasing fraud risk, green decreasing), each labeled with the transaction's actual field value.</w:t>
      </w:r>
    </w:p>
    <w:p>
      <w:pPr>
        <w:pStyle w:val="ListParagraph"/>
        <w:numPr>
          <w:ilvl w:val="0"/>
          <w:numId w:val="1"/>
        </w:numPr>
        <w:spacing w:after="80" w:line="280"/>
      </w:pPr>
      <w:r>
        <w:rPr>
          <w:rFonts w:ascii="Calibri" w:cs="Calibri" w:eastAsia="Calibri" w:hAnsi="Calibri"/>
          <w:b/>
          <w:bCs/>
          <w:color w:val="1A1A1A"/>
          <w:sz w:val="22"/>
          <w:szCs w:val="22"/>
        </w:rPr>
        <w:t xml:space="preserve">Batch Scoring</w:t>
      </w:r>
      <w:r>
        <w:rPr>
          <w:rFonts w:ascii="Calibri" w:cs="Calibri" w:eastAsia="Calibri" w:hAnsi="Calibri"/>
          <w:color w:val="1A1A1A"/>
          <w:sz w:val="22"/>
          <w:szCs w:val="22"/>
        </w:rPr>
        <w:t xml:space="preserve"> — CSV upload with required-column validation, submission to /score/batch, a results table sortable by fraud probability, summary metrics (flag rate), and a CSV download of results.</w:t>
      </w:r>
    </w:p>
    <w:p>
      <w:pPr>
        <w:pStyle w:val="ListParagraph"/>
        <w:numPr>
          <w:ilvl w:val="0"/>
          <w:numId w:val="1"/>
        </w:numPr>
        <w:spacing w:after="80" w:line="280"/>
      </w:pPr>
      <w:r>
        <w:rPr>
          <w:rFonts w:ascii="Calibri" w:cs="Calibri" w:eastAsia="Calibri" w:hAnsi="Calibri"/>
          <w:b/>
          <w:bCs/>
          <w:color w:val="1A1A1A"/>
          <w:sz w:val="22"/>
          <w:szCs w:val="22"/>
        </w:rPr>
        <w:t xml:space="preserve">Model Info</w:t>
      </w:r>
      <w:r>
        <w:rPr>
          <w:rFonts w:ascii="Calibri" w:cs="Calibri" w:eastAsia="Calibri" w:hAnsi="Calibri"/>
          <w:color w:val="1A1A1A"/>
          <w:sz w:val="22"/>
          <w:szCs w:val="22"/>
        </w:rPr>
        <w:t xml:space="preserve"> — displays the deployed model's name, decision threshold, and — prominently, as its own metric — the recall-uplift-vs-baseline percentage alongside a pass/fail indicator against the ≥15% requirement, plus the global SHAP feature ranking and dataset/library-version metadata.</w:t>
      </w:r>
    </w:p>
    <w:p>
      <w:pPr>
        <w:pStyle w:val="ListParagraph"/>
        <w:numPr>
          <w:ilvl w:val="0"/>
          <w:numId w:val="1"/>
        </w:numPr>
        <w:spacing w:after="80" w:line="280"/>
      </w:pPr>
      <w:r>
        <w:rPr>
          <w:rFonts w:ascii="Calibri" w:cs="Calibri" w:eastAsia="Calibri" w:hAnsi="Calibri"/>
          <w:b/>
          <w:bCs/>
          <w:color w:val="1A1A1A"/>
          <w:sz w:val="22"/>
          <w:szCs w:val="22"/>
        </w:rPr>
        <w:t xml:space="preserve">Drift Monitoring</w:t>
      </w:r>
      <w:r>
        <w:rPr>
          <w:rFonts w:ascii="Calibri" w:cs="Calibri" w:eastAsia="Calibri" w:hAnsi="Calibri"/>
          <w:color w:val="1A1A1A"/>
          <w:sz w:val="22"/>
          <w:szCs w:val="22"/>
        </w:rPr>
        <w:t xml:space="preserve"> — runs a drift check (via direct import of the monitoring module, described in Section 9) against either an uploaded CSV of recently-scored transactions or a synthetic perturbed sample of the reference window, and surfaces per-feature, per-prediction, and flag-rate-shift alerts.</w:t>
      </w:r>
    </w:p>
    <w:p>
      <w:pPr>
        <w:pStyle w:val="Heading2"/>
        <w:spacing w:after="120" w:before="240"/>
      </w:pPr>
      <w:r>
        <w:t xml:space="preserve">8.3 Configuration</w:t>
      </w:r>
    </w:p>
    <w:p>
      <w:pPr>
        <w:spacing w:after="160" w:line="300"/>
        <w:jc w:val="both"/>
      </w:pPr>
      <w:r>
        <w:rPr>
          <w:rFonts w:ascii="Calibri" w:cs="Calibri" w:eastAsia="Calibri" w:hAnsi="Calibri"/>
          <w:color w:val="1A1A1A"/>
          <w:sz w:val="22"/>
          <w:szCs w:val="22"/>
        </w:rPr>
        <w:t xml:space="preserve">The API base URL is configurable in the sidebar (defaulting to the </w:t>
      </w:r>
      <w:r>
        <w:rPr>
          <w:rFonts w:ascii="Consolas" w:cs="Consolas" w:eastAsia="Consolas" w:hAnsi="Consolas"/>
          <w:color w:val="8B0000"/>
          <w:sz w:val="20"/>
          <w:szCs w:val="20"/>
        </w:rPr>
        <w:t xml:space="preserve">NOVAPAY_API_URL</w:t>
      </w:r>
      <w:r>
        <w:rPr>
          <w:rFonts w:ascii="Calibri" w:cs="Calibri" w:eastAsia="Calibri" w:hAnsi="Calibri"/>
          <w:color w:val="1A1A1A"/>
          <w:sz w:val="22"/>
          <w:szCs w:val="22"/>
        </w:rPr>
        <w:t xml:space="preserve"> environment variable, or </w:t>
      </w:r>
      <w:r>
        <w:rPr>
          <w:rFonts w:ascii="Consolas" w:cs="Consolas" w:eastAsia="Consolas" w:hAnsi="Consolas"/>
          <w:color w:val="8B0000"/>
          <w:sz w:val="20"/>
          <w:szCs w:val="20"/>
        </w:rPr>
        <w:t xml:space="preserve">http://localhost:8000</w:t>
      </w:r>
      <w:r>
        <w:rPr>
          <w:rFonts w:ascii="Calibri" w:cs="Calibri" w:eastAsia="Calibri" w:hAnsi="Calibri"/>
          <w:color w:val="1A1A1A"/>
          <w:sz w:val="22"/>
          <w:szCs w:val="22"/>
        </w:rPr>
        <w:t xml:space="preserve">), with a live health indicator that distinguishes “API unreachable” from “API reachable but model not loaded” from “connected.”</w:t>
      </w:r>
    </w:p>
    <w:p>
      <w:pPr>
        <w:pStyle w:val="Heading1"/>
        <w:pageBreakBefore/>
        <w:spacing w:after="180" w:before="360"/>
      </w:pPr>
      <w:r>
        <w:t xml:space="preserve">9. Monitoring &amp; Drift Detection</w:t>
      </w:r>
    </w:p>
    <w:p>
      <w:pPr>
        <w:pStyle w:val="Heading2"/>
        <w:spacing w:after="120" w:before="240"/>
      </w:pPr>
      <w:r>
        <w:t xml:space="preserve">9.1 Design</w:t>
      </w:r>
    </w:p>
    <w:p>
      <w:pPr>
        <w:spacing w:after="160" w:line="300"/>
        <w:jc w:val="both"/>
      </w:pPr>
      <w:r>
        <w:rPr>
          <w:rFonts w:ascii="Consolas" w:cs="Consolas" w:eastAsia="Consolas" w:hAnsi="Consolas"/>
          <w:color w:val="8B0000"/>
          <w:sz w:val="20"/>
          <w:szCs w:val="20"/>
        </w:rPr>
        <w:t xml:space="preserve">novapay_fraud.monitoring.drift_check</w:t>
      </w:r>
      <w:r>
        <w:rPr>
          <w:rFonts w:ascii="Calibri" w:cs="Calibri" w:eastAsia="Calibri" w:hAnsi="Calibri"/>
          <w:color w:val="1A1A1A"/>
          <w:sz w:val="22"/>
          <w:szCs w:val="22"/>
        </w:rPr>
        <w:t xml:space="preserve"> compares a window of recently-scored production transactions against the reference distribution captured at training time (artifacts/reference_data.parquet, a scored sample of the validation window), using the Evidently library's DataDriftPreset. Three distinct signal types are checked:</w:t>
      </w:r>
    </w:p>
    <w:p>
      <w:pPr>
        <w:pStyle w:val="ListParagraph"/>
        <w:numPr>
          <w:ilvl w:val="0"/>
          <w:numId w:val="1"/>
        </w:numPr>
        <w:spacing w:after="80" w:line="280"/>
      </w:pPr>
      <w:r>
        <w:rPr>
          <w:rFonts w:ascii="Calibri" w:cs="Calibri" w:eastAsia="Calibri" w:hAnsi="Calibri"/>
          <w:b/>
          <w:bCs/>
          <w:color w:val="1A1A1A"/>
          <w:sz w:val="22"/>
          <w:szCs w:val="22"/>
        </w:rPr>
        <w:t xml:space="preserve">Feature drift</w:t>
      </w:r>
      <w:r>
        <w:rPr>
          <w:rFonts w:ascii="Calibri" w:cs="Calibri" w:eastAsia="Calibri" w:hAnsi="Calibri"/>
          <w:color w:val="1A1A1A"/>
          <w:sz w:val="22"/>
          <w:szCs w:val="22"/>
        </w:rPr>
        <w:t xml:space="preserve"> — per-column Wasserstein-distance-based drift scores across all numeric, boolean, and categorical model inputs. An alert fires if ≥30% of features show drift.</w:t>
      </w:r>
    </w:p>
    <w:p>
      <w:pPr>
        <w:pStyle w:val="ListParagraph"/>
        <w:numPr>
          <w:ilvl w:val="0"/>
          <w:numId w:val="1"/>
        </w:numPr>
        <w:spacing w:after="80" w:line="280"/>
      </w:pPr>
      <w:r>
        <w:rPr>
          <w:rFonts w:ascii="Calibri" w:cs="Calibri" w:eastAsia="Calibri" w:hAnsi="Calibri"/>
          <w:b/>
          <w:bCs/>
          <w:color w:val="1A1A1A"/>
          <w:sz w:val="22"/>
          <w:szCs w:val="22"/>
        </w:rPr>
        <w:t xml:space="preserve">Prediction drift</w:t>
      </w:r>
      <w:r>
        <w:rPr>
          <w:rFonts w:ascii="Calibri" w:cs="Calibri" w:eastAsia="Calibri" w:hAnsi="Calibri"/>
          <w:color w:val="1A1A1A"/>
          <w:sz w:val="22"/>
          <w:szCs w:val="22"/>
        </w:rPr>
        <w:t xml:space="preserve"> — drift in the model's output probability distribution, which can indicate model decay even when individual input features look stable. Alert threshold: 0.10 (normalized Wasserstein distance).</w:t>
      </w:r>
    </w:p>
    <w:p>
      <w:pPr>
        <w:pStyle w:val="ListParagraph"/>
        <w:numPr>
          <w:ilvl w:val="0"/>
          <w:numId w:val="1"/>
        </w:numPr>
        <w:spacing w:after="80" w:line="280"/>
      </w:pPr>
      <w:r>
        <w:rPr>
          <w:rFonts w:ascii="Calibri" w:cs="Calibri" w:eastAsia="Calibri" w:hAnsi="Calibri"/>
          <w:b/>
          <w:bCs/>
          <w:color w:val="1A1A1A"/>
          <w:sz w:val="22"/>
          <w:szCs w:val="22"/>
        </w:rPr>
        <w:t xml:space="preserve">Flag-rate shift</w:t>
      </w:r>
      <w:r>
        <w:rPr>
          <w:rFonts w:ascii="Calibri" w:cs="Calibri" w:eastAsia="Calibri" w:hAnsi="Calibri"/>
          <w:color w:val="1A1A1A"/>
          <w:sz w:val="22"/>
          <w:szCs w:val="22"/>
        </w:rPr>
        <w:t xml:space="preserve"> — the operational review-queue volume implied by the current decision threshold, compared to the reference window. Alert threshold: ±50% relative change. This is an operational signal fraud-ops needs regardless of whether it is accompanied by statistical drift (e.g., a broken upstream feature pipeline can spike the flag rate without any single feature crossing the statistical drift threshold).</w:t>
      </w:r>
    </w:p>
    <w:p>
      <w:pPr>
        <w:pStyle w:val="Heading2"/>
        <w:spacing w:after="120" w:before="240"/>
      </w:pPr>
      <w:r>
        <w:t xml:space="preserve">9.2 Validation of the Alerting Logic</w:t>
      </w:r>
    </w:p>
    <w:p>
      <w:pPr>
        <w:spacing w:after="160" w:line="300"/>
        <w:jc w:val="both"/>
      </w:pPr>
      <w:r>
        <w:rPr>
          <w:rFonts w:ascii="Calibri" w:cs="Calibri" w:eastAsia="Calibri" w:hAnsi="Calibri"/>
          <w:color w:val="1A1A1A"/>
          <w:sz w:val="22"/>
          <w:szCs w:val="22"/>
        </w:rPr>
        <w:t xml:space="preserve">The drift detector was validated both for false-positive suppression and true-positive sensitivity, using the actual reference dataset (not synthetic dummy data):</w:t>
      </w:r>
    </w:p>
    <w:p>
      <w:pPr>
        <w:pStyle w:val="ListParagraph"/>
        <w:numPr>
          <w:ilvl w:val="0"/>
          <w:numId w:val="1"/>
        </w:numPr>
        <w:spacing w:after="80" w:line="280"/>
      </w:pPr>
      <w:r>
        <w:rPr>
          <w:rFonts w:ascii="Calibri" w:cs="Calibri" w:eastAsia="Calibri" w:hAnsi="Calibri"/>
          <w:b/>
          <w:bCs/>
          <w:color w:val="1A1A1A"/>
          <w:sz w:val="22"/>
          <w:szCs w:val="22"/>
        </w:rPr>
        <w:t xml:space="preserve">No-drift case: </w:t>
      </w:r>
      <w:r>
        <w:rPr>
          <w:rFonts w:ascii="Calibri" w:cs="Calibri" w:eastAsia="Calibri" w:hAnsi="Calibri"/>
          <w:color w:val="1A1A1A"/>
          <w:sz w:val="22"/>
          <w:szCs w:val="22"/>
        </w:rPr>
        <w:t xml:space="preserve">a fresh random sample drawn from the same reference distribution produces zero alerts.</w:t>
      </w:r>
    </w:p>
    <w:p>
      <w:pPr>
        <w:pStyle w:val="ListParagraph"/>
        <w:numPr>
          <w:ilvl w:val="0"/>
          <w:numId w:val="1"/>
        </w:numPr>
        <w:spacing w:after="80" w:line="280"/>
      </w:pPr>
      <w:r>
        <w:rPr>
          <w:rFonts w:ascii="Calibri" w:cs="Calibri" w:eastAsia="Calibri" w:hAnsi="Calibri"/>
          <w:b/>
          <w:bCs/>
          <w:color w:val="1A1A1A"/>
          <w:sz w:val="22"/>
          <w:szCs w:val="22"/>
        </w:rPr>
        <w:t xml:space="preserve">Severe-drift case: </w:t>
      </w:r>
      <w:r>
        <w:rPr>
          <w:rFonts w:ascii="Calibri" w:cs="Calibri" w:eastAsia="Calibri" w:hAnsi="Calibri"/>
          <w:color w:val="1A1A1A"/>
          <w:sz w:val="22"/>
          <w:szCs w:val="22"/>
        </w:rPr>
        <w:t xml:space="preserve">a synthetic perturbation multiplying eleven numeric features by 6× and quadrupling predicted probabilities produces all three alert types simultaneously (11/34 features drifted, prediction drift score 1.046, flag-rate increase of 244%).</w:t>
      </w:r>
    </w:p>
    <w:p>
      <w:pPr>
        <w:pStyle w:val="ListParagraph"/>
        <w:numPr>
          <w:ilvl w:val="0"/>
          <w:numId w:val="1"/>
        </w:numPr>
        <w:spacing w:after="80" w:line="280"/>
      </w:pPr>
      <w:r>
        <w:rPr>
          <w:rFonts w:ascii="Calibri" w:cs="Calibri" w:eastAsia="Calibri" w:hAnsi="Calibri"/>
          <w:b/>
          <w:bCs/>
          <w:color w:val="1A1A1A"/>
          <w:sz w:val="22"/>
          <w:szCs w:val="22"/>
        </w:rPr>
        <w:t xml:space="preserve">Mild, realistic drift case: </w:t>
      </w:r>
      <w:r>
        <w:rPr>
          <w:rFonts w:ascii="Calibri" w:cs="Calibri" w:eastAsia="Calibri" w:hAnsi="Calibri"/>
          <w:color w:val="1A1A1A"/>
          <w:sz w:val="22"/>
          <w:szCs w:val="22"/>
        </w:rPr>
        <w:t xml:space="preserve">a smaller perturbation (amount scaled 1.4×, IP risk score scaled 1.2×) correctly identifies 3 of 34 features as drifted (8.8% share) without crossing the 30% system-wide alert threshold — demonstrating the detector distinguishes localized, non-actionable variation from broad distributional shift.</w:t>
      </w:r>
    </w:p>
    <w:p>
      <w:pPr>
        <w:pStyle w:val="Heading2"/>
        <w:spacing w:after="120" w:before="240"/>
      </w:pPr>
      <w:r>
        <w:t xml:space="preserve">9.3 Operational Runbook</w:t>
      </w:r>
    </w:p>
    <w:p>
      <w:pPr>
        <w:spacing w:after="160" w:line="300"/>
        <w:jc w:val="both"/>
      </w:pPr>
      <w:r>
        <w:rPr>
          <w:rFonts w:ascii="Calibri" w:cs="Calibri" w:eastAsia="Calibri" w:hAnsi="Calibri"/>
          <w:color w:val="1A1A1A"/>
          <w:sz w:val="22"/>
          <w:szCs w:val="22"/>
        </w:rPr>
        <w:t xml:space="preserve">monitoring/RETRAINING_PLAYBOOK.md documents concrete triggers for retraining (scheduled quarterly cadence, any of the three drift alert types, label-backlog resolution, new corridor/currency launches), a pre-retraining checklist (label-lag verification, schema diffing against artifacts/feature_schema.json), an explicit promotion gate (the new model must meet the ≥15% recall-uplift requirement, must not regress precision by more than 5 percentage points, must have PR-AUC within a reasonable band of the previous model, and must be schema-compatible with the API), a shadow/canary deployment procedure, and a rollback plan based on versioned artifact directories rather than in-place overwrites. docs/decision_log_template.md provides an append-only audit-log format for recording each promotion decision.</w:t>
      </w:r>
    </w:p>
    <w:p>
      <w:pPr>
        <w:pStyle w:val="Heading1"/>
        <w:pageBreakBefore/>
        <w:spacing w:after="180" w:before="360"/>
      </w:pPr>
      <w:r>
        <w:t xml:space="preserve">10. Deployment</w:t>
      </w:r>
    </w:p>
    <w:p>
      <w:pPr>
        <w:pStyle w:val="Heading2"/>
        <w:spacing w:after="120" w:before="240"/>
      </w:pPr>
      <w:r>
        <w:t xml:space="preserve">10.1 Docker Images</w:t>
      </w:r>
    </w:p>
    <w:p>
      <w:pPr>
        <w:spacing w:after="160" w:line="300"/>
        <w:jc w:val="both"/>
      </w:pPr>
      <w:r>
        <w:rPr>
          <w:rFonts w:ascii="Calibri" w:cs="Calibri" w:eastAsia="Calibri" w:hAnsi="Calibri"/>
          <w:color w:val="1A1A1A"/>
          <w:sz w:val="22"/>
          <w:szCs w:val="22"/>
        </w:rPr>
        <w:t xml:space="preserve">Two separate images are built, deliberately kept apart:</w:t>
      </w:r>
    </w:p>
    <w:p>
      <w:pPr>
        <w:pStyle w:val="ListParagraph"/>
        <w:numPr>
          <w:ilvl w:val="0"/>
          <w:numId w:val="1"/>
        </w:numPr>
        <w:spacing w:after="80" w:line="280"/>
      </w:pPr>
      <w:r>
        <w:rPr>
          <w:rFonts w:ascii="Calibri" w:cs="Calibri" w:eastAsia="Calibri" w:hAnsi="Calibri"/>
          <w:b/>
          <w:bCs/>
          <w:color w:val="1A1A1A"/>
          <w:sz w:val="22"/>
          <w:szCs w:val="22"/>
        </w:rPr>
        <w:t xml:space="preserve">docker/Dockerfile</w:t>
      </w:r>
      <w:r>
        <w:rPr>
          <w:rFonts w:ascii="Calibri" w:cs="Calibri" w:eastAsia="Calibri" w:hAnsi="Calibri"/>
          <w:color w:val="1A1A1A"/>
          <w:sz w:val="22"/>
          <w:szCs w:val="22"/>
        </w:rPr>
        <w:t xml:space="preserve"> — the API service. Multi-stage build (a builder stage compiles dependencies; the runtime stage is a slim image with no build toolchain), runs as a non-root user (appuser, UID 1000), includes libgomp1 (required at runtime by XGBoost/LightGBM's OpenMP dependency), and defines a HEALTHCHECK against /health.</w:t>
      </w:r>
    </w:p>
    <w:p>
      <w:pPr>
        <w:pStyle w:val="ListParagraph"/>
        <w:numPr>
          <w:ilvl w:val="0"/>
          <w:numId w:val="1"/>
        </w:numPr>
        <w:spacing w:after="80" w:line="280"/>
      </w:pPr>
      <w:r>
        <w:rPr>
          <w:rFonts w:ascii="Calibri" w:cs="Calibri" w:eastAsia="Calibri" w:hAnsi="Calibri"/>
          <w:b/>
          <w:bCs/>
          <w:color w:val="1A1A1A"/>
          <w:sz w:val="22"/>
          <w:szCs w:val="22"/>
        </w:rPr>
        <w:t xml:space="preserve">docker/Dockerfile.frontend</w:t>
      </w:r>
      <w:r>
        <w:rPr>
          <w:rFonts w:ascii="Calibri" w:cs="Calibri" w:eastAsia="Calibri" w:hAnsi="Calibri"/>
          <w:color w:val="1A1A1A"/>
          <w:sz w:val="22"/>
          <w:szCs w:val="22"/>
        </w:rPr>
        <w:t xml:space="preserve"> — the Streamlit console, as a separate image because its dependency footprint (Streamlit, Plotly) is materially larger than the scoring service needs and has no reason to inflate the API's attack surface or image size. Includes a HEALTHCHECK against Streamlit's built-in /_stcore/health endpoint.</w:t>
      </w:r>
    </w:p>
    <w:p>
      <w:pPr>
        <w:pStyle w:val="Heading2"/>
        <w:spacing w:after="120" w:before="240"/>
      </w:pPr>
      <w:r>
        <w:t xml:space="preserve">10.2 Compose Orchestration</w:t>
      </w:r>
    </w:p>
    <w:p>
      <w:pPr>
        <w:spacing w:after="160" w:line="300"/>
        <w:jc w:val="both"/>
      </w:pPr>
      <w:r>
        <w:rPr>
          <w:rFonts w:ascii="Calibri" w:cs="Calibri" w:eastAsia="Calibri" w:hAnsi="Calibri"/>
          <w:color w:val="1A1A1A"/>
          <w:sz w:val="22"/>
          <w:szCs w:val="22"/>
        </w:rPr>
        <w:t xml:space="preserve">docker-compose.yml defines three services: </w:t>
      </w:r>
      <w:r>
        <w:rPr>
          <w:rFonts w:ascii="Consolas" w:cs="Consolas" w:eastAsia="Consolas" w:hAnsi="Consolas"/>
          <w:color w:val="8B0000"/>
          <w:sz w:val="20"/>
          <w:szCs w:val="20"/>
        </w:rPr>
        <w:t xml:space="preserve">fraud-api</w:t>
      </w:r>
      <w:r>
        <w:rPr>
          <w:rFonts w:ascii="Calibri" w:cs="Calibri" w:eastAsia="Calibri" w:hAnsi="Calibri"/>
          <w:color w:val="1A1A1A"/>
          <w:sz w:val="22"/>
          <w:szCs w:val="22"/>
        </w:rPr>
        <w:t xml:space="preserve">, </w:t>
      </w:r>
      <w:r>
        <w:rPr>
          <w:rFonts w:ascii="Consolas" w:cs="Consolas" w:eastAsia="Consolas" w:hAnsi="Consolas"/>
          <w:color w:val="8B0000"/>
          <w:sz w:val="20"/>
          <w:szCs w:val="20"/>
        </w:rPr>
        <w:t xml:space="preserve">fraud-frontend</w:t>
      </w:r>
      <w:r>
        <w:rPr>
          <w:rFonts w:ascii="Calibri" w:cs="Calibri" w:eastAsia="Calibri" w:hAnsi="Calibri"/>
          <w:color w:val="1A1A1A"/>
          <w:sz w:val="22"/>
          <w:szCs w:val="22"/>
        </w:rPr>
        <w:t xml:space="preserve"> (configured to reach the API via the container-network hostname http://fraud-api:8000, not localhost, via the NOVAPAY_API_URL environment variable, with depends_on: condition: service_healthy so the frontend does not start before the API is ready), and a </w:t>
      </w:r>
      <w:r>
        <w:rPr>
          <w:rFonts w:ascii="Consolas" w:cs="Consolas" w:eastAsia="Consolas" w:hAnsi="Consolas"/>
          <w:color w:val="8B0000"/>
          <w:sz w:val="20"/>
          <w:szCs w:val="20"/>
        </w:rPr>
        <w:t xml:space="preserve">retrain</w:t>
      </w:r>
      <w:r>
        <w:rPr>
          <w:rFonts w:ascii="Calibri" w:cs="Calibri" w:eastAsia="Calibri" w:hAnsi="Calibri"/>
          <w:color w:val="1A1A1A"/>
          <w:sz w:val="22"/>
          <w:szCs w:val="22"/>
        </w:rPr>
        <w:t xml:space="preserve"> one-off job (docker compose run --rm retrain) that mounts artifacts/ and data/ as volumes and is not started automatically by docker compose up, since retraining is treated as a deliberate, scheduled action rather than a side effect of bringing the stack up.</w:t>
      </w:r>
    </w:p>
    <w:p>
      <w:pPr>
        <w:pStyle w:val="Heading2"/>
        <w:spacing w:after="120" w:before="240"/>
      </w:pPr>
      <w:r>
        <w:t xml:space="preserve">10.3 Dependency Pinning</w:t>
      </w:r>
    </w:p>
    <w:p>
      <w:pPr>
        <w:spacing w:after="160" w:line="300"/>
        <w:jc w:val="both"/>
      </w:pPr>
      <w:r>
        <w:rPr>
          <w:rFonts w:ascii="Calibri" w:cs="Calibri" w:eastAsia="Calibri" w:hAnsi="Calibri"/>
          <w:color w:val="1A1A1A"/>
          <w:sz w:val="22"/>
          <w:szCs w:val="22"/>
        </w:rPr>
        <w:t xml:space="preserve">requirements.txt is pinned to the exact versions verified to install and function together in this project's test environment (confirmed via a from-scratch virtual-environment rebuild), rather than to versions assumed from memory or loosely constrained ranges — an untested version bump in a fraud model's dependency tree (particularly scikit-learn, xgboost, lightgbm, and shap, where minor version changes can silently alter model behavior) is treated as a real risk, not a formality.</w:t>
      </w:r>
    </w:p>
    <w:p>
      <w:pPr>
        <w:pStyle w:val="Heading1"/>
        <w:pageBreakBefore/>
        <w:spacing w:after="180" w:before="360"/>
      </w:pPr>
      <w:r>
        <w:t xml:space="preserve">11. Orchestration: run.py</w:t>
      </w:r>
    </w:p>
    <w:p>
      <w:pPr>
        <w:pStyle w:val="Heading2"/>
        <w:spacing w:after="120" w:before="240"/>
      </w:pPr>
      <w:r>
        <w:t xml:space="preserve">11.1 Purpose</w:t>
      </w:r>
    </w:p>
    <w:p>
      <w:pPr>
        <w:spacing w:after="160" w:line="300"/>
        <w:jc w:val="both"/>
      </w:pPr>
      <w:r>
        <w:rPr>
          <w:rFonts w:ascii="Consolas" w:cs="Consolas" w:eastAsia="Consolas" w:hAnsi="Consolas"/>
          <w:color w:val="8B0000"/>
          <w:sz w:val="20"/>
          <w:szCs w:val="20"/>
        </w:rPr>
        <w:t xml:space="preserve">run.py</w:t>
      </w:r>
      <w:r>
        <w:rPr>
          <w:rFonts w:ascii="Calibri" w:cs="Calibri" w:eastAsia="Calibri" w:hAnsi="Calibri"/>
          <w:color w:val="1A1A1A"/>
          <w:sz w:val="22"/>
          <w:szCs w:val="22"/>
        </w:rPr>
        <w:t xml:space="preserve"> is the single entry point for the whole system, providing five subcommands: train, api, frontend, test, and all (the default when no subcommand is given). It contains no modeling, API, or UI logic itself — it only orchestrates the existing, independently-tested entry points (novapay_fraud.train, uvicorn api.main:app, streamlit run frontend/app.py, pytest tests/).</w:t>
      </w:r>
    </w:p>
    <w:p>
      <w:pPr>
        <w:pStyle w:val="Heading2"/>
        <w:spacing w:after="120" w:before="240"/>
      </w:pPr>
      <w:r>
        <w:t xml:space="preserve">11.2 Behavior of run.py all</w:t>
      </w:r>
    </w:p>
    <w:p>
      <w:pPr>
        <w:pStyle w:val="ListParagraph"/>
        <w:numPr>
          <w:ilvl w:val="0"/>
          <w:numId w:val="1"/>
        </w:numPr>
        <w:spacing w:after="80" w:line="280"/>
      </w:pPr>
      <w:r>
        <w:rPr>
          <w:rFonts w:ascii="Calibri" w:cs="Calibri" w:eastAsia="Calibri" w:hAnsi="Calibri"/>
          <w:color w:val="1A1A1A"/>
          <w:sz w:val="22"/>
          <w:szCs w:val="22"/>
        </w:rPr>
        <w:t xml:space="preserve">Checks whether artifacts/fraud_model.joblib already exists; trains only if absent, or unconditionally if --retrain is passed.</w:t>
      </w:r>
    </w:p>
    <w:p>
      <w:pPr>
        <w:pStyle w:val="ListParagraph"/>
        <w:numPr>
          <w:ilvl w:val="0"/>
          <w:numId w:val="1"/>
        </w:numPr>
        <w:spacing w:after="80" w:line="280"/>
      </w:pPr>
      <w:r>
        <w:rPr>
          <w:rFonts w:ascii="Calibri" w:cs="Calibri" w:eastAsia="Calibri" w:hAnsi="Calibri"/>
          <w:color w:val="1A1A1A"/>
          <w:sz w:val="22"/>
          <w:szCs w:val="22"/>
        </w:rPr>
        <w:t xml:space="preserve">Launches the API as a subprocess and polls /health until it reports model_loaded: true or a configurable timeout (default 60s) elapses.</w:t>
      </w:r>
    </w:p>
    <w:p>
      <w:pPr>
        <w:pStyle w:val="ListParagraph"/>
        <w:numPr>
          <w:ilvl w:val="0"/>
          <w:numId w:val="1"/>
        </w:numPr>
        <w:spacing w:after="80" w:line="280"/>
      </w:pPr>
      <w:r>
        <w:rPr>
          <w:rFonts w:ascii="Calibri" w:cs="Calibri" w:eastAsia="Calibri" w:hAnsi="Calibri"/>
          <w:color w:val="1A1A1A"/>
          <w:sz w:val="22"/>
          <w:szCs w:val="22"/>
        </w:rPr>
        <w:t xml:space="preserve">Launches the Streamlit frontend as a subprocess (unless --no-frontend is passed), configured via environment variable to point at the just-started API, and polls Streamlit's /_stcore/health endpoint.</w:t>
      </w:r>
    </w:p>
    <w:p>
      <w:pPr>
        <w:pStyle w:val="ListParagraph"/>
        <w:numPr>
          <w:ilvl w:val="0"/>
          <w:numId w:val="1"/>
        </w:numPr>
        <w:spacing w:after="80" w:line="280"/>
      </w:pPr>
      <w:r>
        <w:rPr>
          <w:rFonts w:ascii="Calibri" w:cs="Calibri" w:eastAsia="Calibri" w:hAnsi="Calibri"/>
          <w:color w:val="1A1A1A"/>
          <w:sz w:val="22"/>
          <w:szCs w:val="22"/>
        </w:rPr>
        <w:t xml:space="preserve">Prints both service URLs once healthy.</w:t>
      </w:r>
    </w:p>
    <w:p>
      <w:pPr>
        <w:pStyle w:val="ListParagraph"/>
        <w:numPr>
          <w:ilvl w:val="0"/>
          <w:numId w:val="1"/>
        </w:numPr>
        <w:spacing w:after="80" w:line="280"/>
      </w:pPr>
      <w:r>
        <w:rPr>
          <w:rFonts w:ascii="Calibri" w:cs="Calibri" w:eastAsia="Calibri" w:hAnsi="Calibri"/>
          <w:color w:val="1A1A1A"/>
          <w:sz w:val="22"/>
          <w:szCs w:val="22"/>
        </w:rPr>
        <w:t xml:space="preserve">Registers SIGINT/SIGTERM handlers that terminate both child processes (with a 10-second grace period before SIGKILL) and blocks until either a signal is received or a child process exits unexpectedly (in which case it treats this as a fatal condition, shuts down the remaining children, and exits non-zero).</w:t>
      </w:r>
    </w:p>
    <w:p>
      <w:pPr>
        <w:pStyle w:val="Heading2"/>
        <w:spacing w:after="120" w:before="240"/>
      </w:pPr>
      <w:r>
        <w:t xml:space="preserve">11.3 A Defect Found Through Clean-Room Testing</w:t>
      </w:r>
    </w:p>
    <w:p>
      <w:pPr>
        <w:spacing w:after="160" w:line="300"/>
        <w:jc w:val="both"/>
      </w:pPr>
      <w:r>
        <w:rPr>
          <w:rFonts w:ascii="Calibri" w:cs="Calibri" w:eastAsia="Calibri" w:hAnsi="Calibri"/>
          <w:color w:val="1A1A1A"/>
          <w:sz w:val="22"/>
          <w:szCs w:val="22"/>
        </w:rPr>
        <w:t xml:space="preserve">The first implementation added the package's src/ directory to sys.path at the top of run.py, on the reasoning that this would let the script run without requiring pip install -e . first. This works for any code executed within run.py's own process (e.g., calling novapay_fraud.train.run() directly for the train subcommand), but does not propagate to subprocesses spawned via subprocess.Popen/subprocess.call — each is a fresh Python interpreter with its own default sys.path, and uvicorn api.main:app / streamlit run frontend/app.py both import novapay_fraud internally.</w:t>
      </w:r>
    </w:p>
    <w:p>
      <w:pPr>
        <w:spacing w:after="160" w:line="300"/>
        <w:jc w:val="both"/>
      </w:pPr>
      <w:r>
        <w:rPr>
          <w:rFonts w:ascii="Calibri" w:cs="Calibri" w:eastAsia="Calibri" w:hAnsi="Calibri"/>
          <w:color w:val="1A1A1A"/>
          <w:sz w:val="22"/>
          <w:szCs w:val="22"/>
        </w:rPr>
        <w:t xml:space="preserve">This was not caught during initial testing because that development environment already had the package installed via pip install -e . from earlier work, masking the defect. It was caught by deliberately rebuilding a completely fresh virtual environment (requirements.txt only, no editable install) and re-running run.py all — the API subprocess failed immediately with ModuleNotFoundError: No module named 'novapay_fraud'.</w:t>
      </w:r>
    </w:p>
    <w:tbl>
      <w:tblPr>
        <w:tblW w:type="dxa" w:w="9360"/>
        <w:tblBorders>
          <w:top w:val="single" w:color="2E5395" w:sz="8"/>
          <w:left w:val="single" w:color="2E5395" w:sz="8"/>
          <w:bottom w:val="single" w:color="2E5395" w:sz="8"/>
          <w:right w:val="single" w:color="2E5395" w:sz="8"/>
          <w:insideH w:val="single" w:color="auto" w:sz="4"/>
          <w:insideV w:val="single" w:color="auto" w:sz="4"/>
        </w:tblBorders>
      </w:tblPr>
      <w:tblGrid>
        <w:gridCol w:w="9360"/>
      </w:tblGrid>
      <w:tr>
        <w:tc>
          <w:tcPr>
            <w:tcW w:type="dxa" w:w="9360"/>
            <w:shd w:fill="EDF1F8" w:val="clear"/>
            <w:tcMar>
              <w:top w:type="dxa" w:w="150"/>
              <w:left w:type="dxa" w:w="200"/>
              <w:bottom w:type="dxa" w:w="150"/>
              <w:right w:type="dxa" w:w="200"/>
            </w:tcMar>
          </w:tcPr>
          <w:p>
            <w:pPr>
              <w:spacing w:after="80"/>
            </w:pPr>
            <w:r>
              <w:rPr>
                <w:rFonts w:ascii="Calibri" w:cs="Calibri" w:eastAsia="Calibri" w:hAnsi="Calibri"/>
                <w:b/>
                <w:bCs/>
                <w:color w:val="1F3864"/>
                <w:sz w:val="21"/>
                <w:szCs w:val="21"/>
              </w:rPr>
              <w:t xml:space="preserve">Fix</w:t>
            </w:r>
          </w:p>
          <w:p>
            <w:pPr>
              <w:spacing/>
              <w:jc w:val="both"/>
            </w:pPr>
            <w:r>
              <w:rPr>
                <w:rFonts w:ascii="Calibri" w:cs="Calibri" w:eastAsia="Calibri" w:hAnsi="Calibri"/>
                <w:color w:val="1A1A1A"/>
                <w:sz w:val="21"/>
                <w:szCs w:val="21"/>
              </w:rPr>
              <w:t xml:space="preserve">A _child_env() helper constructs the environment passed to every spawned subprocess, explicitly setting PYTHONPATH to include the src/ directory (prepended to any existing PYTHONPATH). This was verified to resolve the issue by rerunning the exact same clean-room scenario: the API subprocess started successfully and correctly scored a live test transaction with no package installed beyond requirements.txt.</w:t>
            </w:r>
          </w:p>
        </w:tc>
      </w:tr>
    </w:tbl>
    <w:p>
      <w:pPr>
        <w:spacing w:after="160"/>
      </w:pPr>
    </w:p>
    <w:p>
      <w:pPr>
        <w:spacing w:after="160" w:line="300"/>
        <w:jc w:val="both"/>
      </w:pPr>
      <w:r>
        <w:rPr>
          <w:rFonts w:ascii="Calibri" w:cs="Calibri" w:eastAsia="Calibri" w:hAnsi="Calibri"/>
          <w:color w:val="1A1A1A"/>
          <w:sz w:val="22"/>
          <w:szCs w:val="22"/>
        </w:rPr>
        <w:t xml:space="preserve">This defect and its discovery process are recorded here because it is a direct illustration of why the clean-room verification step (Section 12) is treated as mandatory rather than optional in this project's development process — the bug was invisible in the (already-primed) development environment and only surfaced under conditions matching what an actual new user would experience.</w:t>
      </w:r>
    </w:p>
    <w:p>
      <w:pPr>
        <w:pStyle w:val="Heading1"/>
        <w:pageBreakBefore/>
        <w:spacing w:after="180" w:before="360"/>
      </w:pPr>
      <w:r>
        <w:t xml:space="preserve">12. Testing &amp; Verification</w:t>
      </w:r>
    </w:p>
    <w:p>
      <w:pPr>
        <w:pStyle w:val="Heading2"/>
        <w:spacing w:after="120" w:before="240"/>
      </w:pPr>
      <w:r>
        <w:t xml:space="preserve">12.1 Test Suite Composition</w:t>
      </w:r>
    </w:p>
    <w:p>
      <w:pPr>
        <w:spacing w:after="160" w:line="300"/>
        <w:jc w:val="both"/>
      </w:pPr>
      <w:r>
        <w:rPr>
          <w:rFonts w:ascii="Calibri" w:cs="Calibri" w:eastAsia="Calibri" w:hAnsi="Calibri"/>
          <w:color w:val="1A1A1A"/>
          <w:sz w:val="22"/>
          <w:szCs w:val="22"/>
        </w:rPr>
        <w:t xml:space="preserve">33 automated tests across 8 files, all passing together in a single pytest tests/ run:</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6060"/>
        <w:gridCol w:w="900"/>
      </w:tblGrid>
      <w:tr>
        <w:trPr>
          <w:tblHeader/>
        </w:trPr>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File</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Focus</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Count</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test_data.py</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Category normalization, numeric-string cleaning, duplicate resolution, missingness-vs-target analysis, full clean() pipeline</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5</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test_features.py</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Time-feature extraction, risk-flag threshold correctness, preprocessor shape consistency</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4</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test_baseline.py</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Rules-baseline flagging logic</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2</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test_modeling.py</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Chronological split correctness (no leakage), scale_pos_weight computation, threshold selection, metric bounds</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4</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test_api.py</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Live HTTP integration via FastAPI TestClient: health, metadata, single/batch scoring, input validation rejection, relative risk ordering</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6</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test_monitoring.py</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Drift detector: no false alarms on resampled reference data, correct alerting under severe synthetic drift, clean JSON serialization</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3</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test_frontend.py</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Streamlit app via headless AppTest: graceful degradation with API down, successful connection and full tab render with API up, end-to-end form-submission scoring with chart verification, model-info tab content, drift-tab execution, batch-scoring schema regression test</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6</w:t>
            </w:r>
          </w:p>
        </w:tc>
      </w:tr>
      <w:tr>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test_run_entrypoint.py</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run.py as a real subprocess: help/subcommand listing, train producing real artifacts, full all --no-frontend process-tree launch with a live scoring call and verified clean shutdown</w:t>
            </w:r>
          </w:p>
        </w:tc>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3</w:t>
            </w:r>
          </w:p>
        </w:tc>
      </w:tr>
    </w:tbl>
    <w:p>
      <w:pPr>
        <w:spacing w:after="160"/>
      </w:pPr>
    </w:p>
    <w:p>
      <w:pPr>
        <w:pStyle w:val="Heading2"/>
        <w:spacing w:after="120" w:before="240"/>
      </w:pPr>
      <w:r>
        <w:t xml:space="preserve">12.2 Verification Methodology</w:t>
      </w:r>
    </w:p>
    <w:p>
      <w:pPr>
        <w:spacing w:after="160" w:line="300"/>
        <w:jc w:val="both"/>
      </w:pPr>
      <w:r>
        <w:rPr>
          <w:rFonts w:ascii="Calibri" w:cs="Calibri" w:eastAsia="Calibri" w:hAnsi="Calibri"/>
          <w:color w:val="1A1A1A"/>
          <w:sz w:val="22"/>
          <w:szCs w:val="22"/>
        </w:rPr>
        <w:t xml:space="preserve">Every quantitative claim in this report was produced by actually executing the corresponding code in this session, not asserted from the implementation plan. Specific verification steps taken, beyond routine unit testing:</w:t>
      </w:r>
    </w:p>
    <w:p>
      <w:pPr>
        <w:pStyle w:val="ListParagraph"/>
        <w:numPr>
          <w:ilvl w:val="0"/>
          <w:numId w:val="1"/>
        </w:numPr>
        <w:spacing w:after="80" w:line="280"/>
      </w:pPr>
      <w:r>
        <w:rPr>
          <w:rFonts w:ascii="Calibri" w:cs="Calibri" w:eastAsia="Calibri" w:hAnsi="Calibri"/>
          <w:color w:val="1A1A1A"/>
          <w:sz w:val="22"/>
          <w:szCs w:val="22"/>
        </w:rPr>
        <w:t xml:space="preserve">The EDA notebook (notebooks/01_eda.ipynb) was executed end-to-end via jupyter nbconvert --execute, and its 40 cells were programmatically checked for zero execution errors; a sample rendered plot was extracted and visually inspected to confirm it displays real, correctly-computed data (the 9.2% class-balance chart) rather than a placeholder.</w:t>
      </w:r>
    </w:p>
    <w:p>
      <w:pPr>
        <w:pStyle w:val="ListParagraph"/>
        <w:numPr>
          <w:ilvl w:val="0"/>
          <w:numId w:val="1"/>
        </w:numPr>
        <w:spacing w:after="80" w:line="280"/>
      </w:pPr>
      <w:r>
        <w:rPr>
          <w:rFonts w:ascii="Calibri" w:cs="Calibri" w:eastAsia="Calibri" w:hAnsi="Calibri"/>
          <w:color w:val="1A1A1A"/>
          <w:sz w:val="22"/>
          <w:szCs w:val="22"/>
        </w:rPr>
        <w:t xml:space="preserve">The Streamlit frontend was tested using Streamlit's AppTest headless testing framework against a live FastAPI subprocess, exercising real form submission, real HTTP calls to /score, and inspection of the rendered chart elements (at.get("plotly_chart")) — not mocked responses.</w:t>
      </w:r>
    </w:p>
    <w:p>
      <w:pPr>
        <w:pStyle w:val="ListParagraph"/>
        <w:numPr>
          <w:ilvl w:val="0"/>
          <w:numId w:val="1"/>
        </w:numPr>
        <w:spacing w:after="80" w:line="280"/>
      </w:pPr>
      <w:r>
        <w:rPr>
          <w:rFonts w:ascii="Calibri" w:cs="Calibri" w:eastAsia="Calibri" w:hAnsi="Calibri"/>
          <w:color w:val="1A1A1A"/>
          <w:sz w:val="22"/>
          <w:szCs w:val="22"/>
        </w:rPr>
        <w:t xml:space="preserve">The drift-monitoring alert logic was validated against both a no-drift control (a resample of the reference data, expected zero alerts) and a deliberately severe synthetic-drift case (expected all three alert types), confirming the detector is neither oversensitive nor unresponsive.</w:t>
      </w:r>
    </w:p>
    <w:p>
      <w:pPr>
        <w:pStyle w:val="ListParagraph"/>
        <w:numPr>
          <w:ilvl w:val="0"/>
          <w:numId w:val="1"/>
        </w:numPr>
        <w:spacing w:after="80" w:line="280"/>
      </w:pPr>
      <w:r>
        <w:rPr>
          <w:rFonts w:ascii="Calibri" w:cs="Calibri" w:eastAsia="Calibri" w:hAnsi="Calibri"/>
          <w:color w:val="1A1A1A"/>
          <w:sz w:val="22"/>
          <w:szCs w:val="22"/>
        </w:rPr>
        <w:t xml:space="preserve">The complete system was rebuilt from a genuinely fresh Python virtual environment on three separate occasions during development (once before the frontend was added, once after, and once after run.py was added), each time reinstalling only from requirements.txt, retraining from raw data, and running the full test suite — producing bit-identical training metrics each time and catching the two defects documented in Sections 6.2 and 11.3.</w:t>
      </w:r>
    </w:p>
    <w:p>
      <w:pPr>
        <w:pStyle w:val="ListParagraph"/>
        <w:numPr>
          <w:ilvl w:val="0"/>
          <w:numId w:val="1"/>
        </w:numPr>
        <w:spacing w:after="80" w:line="280"/>
      </w:pPr>
      <w:r>
        <w:rPr>
          <w:rFonts w:ascii="Calibri" w:cs="Calibri" w:eastAsia="Calibri" w:hAnsi="Calibri"/>
          <w:color w:val="1A1A1A"/>
          <w:sz w:val="22"/>
          <w:szCs w:val="22"/>
        </w:rPr>
        <w:t xml:space="preserve">run.py all's process lifecycle was tested by sending a real SIGTERM to the orchestrator process and confirming via ps aux that both the API and (where applicable) frontend child processes actually terminated, rather than merely checking that the parent command returned.</w:t>
      </w:r>
    </w:p>
    <w:p>
      <w:pPr>
        <w:pStyle w:val="Heading2"/>
        <w:spacing w:after="120" w:before="240"/>
      </w:pPr>
      <w:r>
        <w:t xml:space="preserve">12.3 Known Verification Gaps</w:t>
      </w:r>
    </w:p>
    <w:p>
      <w:pPr>
        <w:pStyle w:val="ListParagraph"/>
        <w:numPr>
          <w:ilvl w:val="0"/>
          <w:numId w:val="1"/>
        </w:numPr>
        <w:spacing w:after="80" w:line="280"/>
      </w:pPr>
      <w:r>
        <w:rPr>
          <w:rFonts w:ascii="Calibri" w:cs="Calibri" w:eastAsia="Calibri" w:hAnsi="Calibri"/>
          <w:color w:val="1A1A1A"/>
          <w:sz w:val="22"/>
          <w:szCs w:val="22"/>
        </w:rPr>
        <w:t xml:space="preserve">Docker image builds (docker build, docker compose up) could not be executed in the development sandbox, which lacks a Docker daemon. Verification was instead performed at the level the sandbox permits: confirming requirements.txt installs cleanly with no dependency conflicts in an isolated virtual environment, and manually reviewing the Dockerfiles against that confirmed-working dependency set.</w:t>
      </w:r>
    </w:p>
    <w:p>
      <w:pPr>
        <w:pStyle w:val="ListParagraph"/>
        <w:numPr>
          <w:ilvl w:val="0"/>
          <w:numId w:val="1"/>
        </w:numPr>
        <w:spacing w:after="80" w:line="280"/>
      </w:pPr>
      <w:r>
        <w:rPr>
          <w:rFonts w:ascii="Calibri" w:cs="Calibri" w:eastAsia="Calibri" w:hAnsi="Calibri"/>
          <w:color w:val="1A1A1A"/>
          <w:sz w:val="22"/>
          <w:szCs w:val="22"/>
        </w:rPr>
        <w:t xml:space="preserve">Drift monitoring has been validated only against synthetic perturbations of the reference dataset, not against a live production feed, since no such feed exists for this project.</w:t>
      </w:r>
    </w:p>
    <w:p>
      <w:pPr>
        <w:pStyle w:val="Heading1"/>
        <w:pageBreakBefore/>
        <w:spacing w:after="180" w:before="360"/>
      </w:pPr>
      <w:r>
        <w:t xml:space="preserve">13. Summary of Verified Defects and Fixes</w:t>
      </w:r>
    </w:p>
    <w:p>
      <w:pPr>
        <w:spacing w:after="160" w:line="300"/>
        <w:jc w:val="both"/>
      </w:pPr>
      <w:r>
        <w:rPr>
          <w:rFonts w:ascii="Calibri" w:cs="Calibri" w:eastAsia="Calibri" w:hAnsi="Calibri"/>
          <w:color w:val="1A1A1A"/>
          <w:sz w:val="22"/>
          <w:szCs w:val="22"/>
        </w:rPr>
        <w:t xml:space="preserve">For traceability, every implementation defect identified and corrected during this project is listed here in one place: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3060"/>
        <w:gridCol w:w="2400"/>
        <w:gridCol w:w="3400"/>
      </w:tblGrid>
      <w:tr>
        <w:trPr>
          <w:tblHeader/>
        </w:trPr>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Defect</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Where found</w:t>
            </w:r>
          </w:p>
        </w:tc>
        <w:tc>
          <w:tcPr>
            <w:shd w:fill="1F3864" w:val="clear"/>
            <w:tcMar>
              <w:top w:type="dxa" w:w="60"/>
              <w:left w:type="dxa" w:w="100"/>
              <w:bottom w:type="dxa" w:w="60"/>
              <w:right w:type="dxa" w:w="100"/>
            </w:tcMar>
            <w:vAlign w:val="center"/>
          </w:tcPr>
          <w:p>
            <w:pPr>
              <w:spacing w:after="40" w:before="40"/>
              <w:jc w:val="left"/>
            </w:pPr>
            <w:r>
              <w:rPr>
                <w:rFonts w:ascii="Calibri" w:cs="Calibri" w:eastAsia="Calibri" w:hAnsi="Calibri"/>
                <w:b/>
                <w:bCs/>
                <w:color w:val="FFFFFF"/>
                <w:sz w:val="20"/>
                <w:szCs w:val="20"/>
              </w:rPr>
              <w:t xml:space="preserve">Fix</w:t>
            </w:r>
          </w:p>
        </w:tc>
      </w:tr>
      <w:tr>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1</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shap.TreeExplainer does not support Logistic Regression, raising InvalidModelError when that model wins selection</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Running the full training pipeline</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explain.build_explainer auto-selects TreeExplainer or LinearExplainer by model type</w:t>
            </w:r>
          </w:p>
        </w:tc>
      </w:tr>
      <w:tr>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2</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SHAP explanations reported standardized/scaled feature values (e.g., corridor_risk: 6.01) instead of the transaction's actual value</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Manual inspection of a live /score API response</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explain._resolve_display_value maps transformed feature names back to raw engineered-row values</w:t>
            </w:r>
          </w:p>
        </w:tc>
      </w:tr>
      <w:tr>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3</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An initial rules-based baseline used compound behavioral logic strong enough (89% recall) to make the required recall-uplift comparison unpassable and unrepresentative of a real legacy system</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Reviewing the recall-uplift result against the ≥15% requirement</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Baseline redesigned to simple, independent, fixed-threshold rules</w:t>
            </w:r>
          </w:p>
        </w:tc>
      </w:tr>
      <w:tr>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4</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scikit-learn's pandas-output mode rejected sparse OneHotEncoder output</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Running the training pipeline after enabling set_output(transform="pandas")</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OneHotEncoder(sparse_output=False)</w:t>
            </w:r>
          </w:p>
        </w:tc>
      </w:tr>
      <w:tr>
        <w:tc>
          <w:tcPr>
            <w:shd w:fill="FFFFFF" w:val="clear"/>
            <w:tcMar>
              <w:top w:type="dxa" w:w="60"/>
              <w:left w:type="dxa" w:w="100"/>
              <w:bottom w:type="dxa" w:w="60"/>
              <w:right w:type="dxa" w:w="100"/>
            </w:tcMar>
            <w:vAlign w:val="center"/>
          </w:tcPr>
          <w:p>
            <w:pPr>
              <w:spacing w:after="40" w:before="40"/>
              <w:jc w:val="center"/>
            </w:pPr>
            <w:r>
              <w:rPr>
                <w:rFonts w:ascii="Calibri" w:cs="Calibri" w:eastAsia="Calibri" w:hAnsi="Calibri"/>
                <w:b w:val="false"/>
                <w:bCs w:val="false"/>
                <w:color w:val="1A1A1A"/>
                <w:sz w:val="19"/>
                <w:szCs w:val="19"/>
              </w:rPr>
              <w:t xml:space="preserve">5</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run.py's subprocess children (uvicorn, streamlit) could not import novapay_fraud in an environment without an editable package install</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Clean-room virtual-environment rebuild</w:t>
            </w:r>
          </w:p>
        </w:tc>
        <w:tc>
          <w:tcPr>
            <w:shd w:fill="FFFFFF" w:val="clear"/>
            <w:tcMar>
              <w:top w:type="dxa" w:w="60"/>
              <w:left w:type="dxa" w:w="100"/>
              <w:bottom w:type="dxa" w:w="60"/>
              <w:right w:type="dxa" w:w="100"/>
            </w:tcMar>
            <w:vAlign w:val="center"/>
          </w:tcPr>
          <w:p>
            <w:pPr>
              <w:spacing w:after="40" w:before="40"/>
              <w:jc w:val="left"/>
            </w:pPr>
            <w:r>
              <w:rPr>
                <w:rFonts w:ascii="Calibri" w:cs="Calibri" w:eastAsia="Calibri" w:hAnsi="Calibri"/>
                <w:b w:val="false"/>
                <w:bCs w:val="false"/>
                <w:color w:val="1A1A1A"/>
                <w:sz w:val="19"/>
                <w:szCs w:val="19"/>
              </w:rPr>
              <w:t xml:space="preserve">_child_env() explicitly sets PYTHONPATH for spawned subprocesses</w:t>
            </w:r>
          </w:p>
        </w:tc>
      </w:tr>
    </w:tbl>
    <w:p>
      <w:pPr>
        <w:spacing w:after="160"/>
      </w:pPr>
    </w:p>
    <w:p>
      <w:pPr>
        <w:pStyle w:val="Heading1"/>
        <w:pageBreakBefore/>
        <w:spacing w:after="180" w:before="360"/>
      </w:pPr>
      <w:r>
        <w:t xml:space="preserve">14. Conclusion</w:t>
      </w:r>
    </w:p>
    <w:p>
      <w:pPr>
        <w:spacing w:after="160" w:line="300"/>
        <w:jc w:val="both"/>
      </w:pPr>
      <w:r>
        <w:rPr>
          <w:rFonts w:ascii="Calibri" w:cs="Calibri" w:eastAsia="Calibri" w:hAnsi="Calibri"/>
          <w:color w:val="1A1A1A"/>
          <w:sz w:val="22"/>
          <w:szCs w:val="22"/>
        </w:rPr>
        <w:t xml:space="preserve">The system implements the complete data-to-deployment lifecycle for a fraud-detection use case: profiled and cleaned real transaction data with auditable, testable cleaning decisions; engineered and empirically justified a set of behavioral risk features; trained and honestly compared four candidate models against a genuine (not assumed) rules-based baseline, meeting the required 15% recall-uplift threshold at 16.5%; wired per-transaction, human-readable SHAP explainability into a real-time API; built a thin-client analyst console and an Evidently-based drift monitor with validated alerting logic; packaged the service for containerized deployment; and unified the whole system behind a single, tested entry point. Every number and behavior reported above was produced by running the corresponding code during this project, including in conditions — a genuinely fresh environment with no prior state — designed specifically to surface the kind of defect that only appears outside an already-primed development setup.</w:t>
      </w:r>
    </w:p>
    <w:sectPr>
      <w:headerReference w:type="default" r:id="rId9"/>
      <w:footerReference w:type="default" r:id="rId10"/>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jc w:val="center"/>
    </w:pPr>
    <w:r>
      <w:rPr>
        <w:rFonts w:ascii="Calibri" w:cs="Calibri" w:eastAsia="Calibri" w:hAnsi="Calibri"/>
        <w:color w:val="666666"/>
        <w:sz w:val="16"/>
        <w:szCs w:val="16"/>
      </w:rPr>
      <w:t xml:space="preserve">NovaPay Fraud Detection System — Technical Report   |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pacing w:val="20"/>
        <w:sz w:val="15"/>
        <w:szCs w:val="15"/>
      </w:rPr>
      <w:t xml:space="preserve">NOVAPAY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95" w:sz="6" w:space="4"/>
      </w:pBdr>
      <w:spacing w:after="18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40"/>
    </w:pPr>
    <w:rPr>
      <w:rFonts w:ascii="Calibri" w:cs="Calibri" w:eastAsia="Calibri" w:hAnsi="Calibri"/>
      <w:b/>
      <w:bCs/>
      <w:color w:val="2E5395"/>
      <w:sz w:val="26"/>
      <w:szCs w:val="26"/>
    </w:rPr>
  </w:style>
  <w:style w:type="paragraph" w:styleId="Heading3">
    <w:name w:val="Heading 3"/>
    <w:basedOn w:val="Normal"/>
    <w:next w:val="Normal"/>
    <w:qFormat/>
    <w:pPr>
      <w:spacing w:after="100" w:before="180"/>
    </w:pPr>
    <w:rPr>
      <w:rFonts w:ascii="Calibri" w:cs="Calibri" w:eastAsia="Calibri" w:hAnsi="Calibri"/>
      <w:b/>
      <w:bCs/>
      <w:i/>
      <w:i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NovaPay Fraud Detection System — Technical Report</dc:title>
  <dc:creator>NovaPay ML Engineering</dc:creator>
  <dc:description>Comprehensive technical report covering data pipeline, modeling, explainability, API, frontend, monitoring, deployment, orchestration, and testing.</dc:description>
  <cp:lastModifiedBy>Un-named</cp:lastModifiedBy>
  <cp:revision>1</cp:revision>
  <dcterms:created xsi:type="dcterms:W3CDTF">2026-09-03T01:50:29.622Z</dcterms:created>
  <dcterms:modified xsi:type="dcterms:W3CDTF">2026-09-03T01:50:29.622Z</dcterms:modified>
</cp:coreProperties>
</file>

<file path=docProps/custom.xml><?xml version="1.0" encoding="utf-8"?>
<Properties xmlns="http://schemas.openxmlformats.org/officeDocument/2006/custom-properties" xmlns:vt="http://schemas.openxmlformats.org/officeDocument/2006/docPropsVTypes"/>
</file>