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49842F" w14:textId="77777777" w:rsidR="00A84DEA" w:rsidRDefault="005C3C04">
      <w:pPr>
        <w:rPr>
          <w:rFonts w:ascii="Calibri" w:eastAsia="Calibri" w:hAnsi="Calibri" w:cs="Calibri"/>
          <w:b/>
          <w:sz w:val="36"/>
          <w:szCs w:val="36"/>
        </w:rPr>
      </w:pPr>
      <w:bookmarkStart w:id="0" w:name="_GoBack"/>
      <w:bookmarkEnd w:id="0"/>
      <w:r>
        <w:rPr>
          <w:rFonts w:ascii="Calibri" w:eastAsia="Calibri" w:hAnsi="Calibri" w:cs="Calibri"/>
          <w:b/>
          <w:sz w:val="36"/>
          <w:szCs w:val="36"/>
        </w:rPr>
        <w:t>Supplementary Figures</w:t>
      </w:r>
    </w:p>
    <w:p w14:paraId="3660AA75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sdt>
      <w:sdtPr>
        <w:id w:val="-53240439"/>
        <w:docPartObj>
          <w:docPartGallery w:val="Table of Contents"/>
          <w:docPartUnique/>
        </w:docPartObj>
      </w:sdtPr>
      <w:sdtEndPr/>
      <w:sdtContent>
        <w:p w14:paraId="35782ADD" w14:textId="77777777" w:rsidR="00A84DEA" w:rsidRDefault="005C3C04">
          <w:pPr>
            <w:tabs>
              <w:tab w:val="right" w:pos="9025"/>
            </w:tabs>
            <w:spacing w:before="80" w:line="240" w:lineRule="auto"/>
            <w:rPr>
              <w:rFonts w:ascii="Calibri" w:eastAsia="Calibri" w:hAnsi="Calibri" w:cs="Calibri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i6b37pfbnck0">
            <w:r>
              <w:rPr>
                <w:rFonts w:ascii="Calibri" w:eastAsia="Calibri" w:hAnsi="Calibri" w:cs="Calibri"/>
                <w:sz w:val="24"/>
                <w:szCs w:val="24"/>
              </w:rPr>
              <w:t>Figure S1. Pairwise comparison of susceptible (Farm 1) and either moderate or high ivermectin resistant parasite populations on US farms.</w:t>
            </w:r>
          </w:hyperlink>
          <w:r>
            <w:rPr>
              <w:rFonts w:ascii="Calibri" w:eastAsia="Calibri" w:hAnsi="Calibri" w:cs="Calibri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_i6b37pfbnck0 \h </w:instrText>
          </w:r>
          <w:r>
            <w:fldChar w:fldCharType="separate"/>
          </w:r>
          <w:r>
            <w:rPr>
              <w:rFonts w:ascii="Calibri" w:eastAsia="Calibri" w:hAnsi="Calibri" w:cs="Calibri"/>
              <w:sz w:val="24"/>
              <w:szCs w:val="24"/>
            </w:rPr>
            <w:t>2</w:t>
          </w:r>
          <w:r>
            <w:fldChar w:fldCharType="end"/>
          </w:r>
        </w:p>
        <w:p w14:paraId="5E114164" w14:textId="77777777" w:rsidR="00A84DEA" w:rsidRDefault="003D7976">
          <w:pPr>
            <w:tabs>
              <w:tab w:val="right" w:pos="9025"/>
            </w:tabs>
            <w:spacing w:before="200" w:line="240" w:lineRule="auto"/>
            <w:rPr>
              <w:rFonts w:ascii="Calibri" w:eastAsia="Calibri" w:hAnsi="Calibri" w:cs="Calibri"/>
              <w:sz w:val="24"/>
              <w:szCs w:val="24"/>
            </w:rPr>
          </w:pPr>
          <w:hyperlink w:anchor="_s0xp7174dgmv">
            <w:r w:rsidR="005C3C04">
              <w:rPr>
                <w:rFonts w:ascii="Calibri" w:eastAsia="Calibri" w:hAnsi="Calibri" w:cs="Calibri"/>
                <w:sz w:val="24"/>
                <w:szCs w:val="24"/>
              </w:rPr>
              <w:t>Figure S2. Pairwise comparison of susceptible (Farm 9) and either moderate or high ivermectin resistant parasite populations on US farms.</w:t>
            </w:r>
          </w:hyperlink>
          <w:r w:rsidR="005C3C04">
            <w:rPr>
              <w:rFonts w:ascii="Calibri" w:eastAsia="Calibri" w:hAnsi="Calibri" w:cs="Calibri"/>
              <w:sz w:val="24"/>
              <w:szCs w:val="24"/>
            </w:rPr>
            <w:tab/>
          </w:r>
          <w:r w:rsidR="005C3C04">
            <w:fldChar w:fldCharType="begin"/>
          </w:r>
          <w:r w:rsidR="005C3C04">
            <w:instrText xml:space="preserve"> PAGEREF _s0xp7174dgmv \h </w:instrText>
          </w:r>
          <w:r w:rsidR="005C3C04">
            <w:fldChar w:fldCharType="separate"/>
          </w:r>
          <w:r w:rsidR="005C3C04">
            <w:rPr>
              <w:rFonts w:ascii="Calibri" w:eastAsia="Calibri" w:hAnsi="Calibri" w:cs="Calibri"/>
              <w:b/>
              <w:sz w:val="24"/>
              <w:szCs w:val="24"/>
            </w:rPr>
            <w:t>3</w:t>
          </w:r>
          <w:r w:rsidR="005C3C04">
            <w:fldChar w:fldCharType="end"/>
          </w:r>
        </w:p>
        <w:p w14:paraId="570682C0" w14:textId="77777777" w:rsidR="00A84DEA" w:rsidRDefault="003D7976">
          <w:pPr>
            <w:tabs>
              <w:tab w:val="right" w:pos="9025"/>
            </w:tabs>
            <w:spacing w:before="200" w:line="240" w:lineRule="auto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73gqvxsgq9gl">
            <w:r w:rsidR="005C3C0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Figure S3. Frequency of Phe167Tyr and Phe200Tyr variants of beta-tubulin isotype 1 associated with benzimidazole resistance on US farms</w:t>
            </w:r>
          </w:hyperlink>
          <w:r w:rsidR="005C3C04">
            <w:rPr>
              <w:rFonts w:ascii="Calibri" w:eastAsia="Calibri" w:hAnsi="Calibri" w:cs="Calibri"/>
              <w:color w:val="000000"/>
              <w:sz w:val="24"/>
              <w:szCs w:val="24"/>
            </w:rPr>
            <w:tab/>
          </w:r>
          <w:r w:rsidR="005C3C04">
            <w:fldChar w:fldCharType="begin"/>
          </w:r>
          <w:r w:rsidR="005C3C04">
            <w:instrText xml:space="preserve"> PAGEREF _73gqvxsgq9gl \h </w:instrText>
          </w:r>
          <w:r w:rsidR="005C3C04">
            <w:fldChar w:fldCharType="separate"/>
          </w:r>
          <w:r w:rsidR="005C3C04">
            <w:rPr>
              <w:rFonts w:ascii="Calibri" w:eastAsia="Calibri" w:hAnsi="Calibri" w:cs="Calibri"/>
              <w:b/>
              <w:color w:val="000000"/>
              <w:sz w:val="24"/>
              <w:szCs w:val="24"/>
            </w:rPr>
            <w:t>4</w:t>
          </w:r>
          <w:r w:rsidR="005C3C04">
            <w:fldChar w:fldCharType="end"/>
          </w:r>
        </w:p>
        <w:p w14:paraId="2FD2EF65" w14:textId="77777777" w:rsidR="00A84DEA" w:rsidRDefault="003D7976">
          <w:pPr>
            <w:tabs>
              <w:tab w:val="right" w:pos="9025"/>
            </w:tabs>
            <w:spacing w:before="200" w:line="240" w:lineRule="auto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u7i9lnat3pl">
            <w:r w:rsidR="005C3C0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Figure S4. No evidence of ivermectin selection on beta-tubulin isotype 1 resistant alleles in the genetic cross or US farms</w:t>
            </w:r>
          </w:hyperlink>
          <w:r w:rsidR="005C3C04">
            <w:rPr>
              <w:rFonts w:ascii="Calibri" w:eastAsia="Calibri" w:hAnsi="Calibri" w:cs="Calibri"/>
              <w:color w:val="000000"/>
              <w:sz w:val="24"/>
              <w:szCs w:val="24"/>
            </w:rPr>
            <w:tab/>
          </w:r>
          <w:r w:rsidR="005C3C04">
            <w:fldChar w:fldCharType="begin"/>
          </w:r>
          <w:r w:rsidR="005C3C04">
            <w:instrText xml:space="preserve"> PAGEREF _u7i9lnat3pl \h </w:instrText>
          </w:r>
          <w:r w:rsidR="005C3C04">
            <w:fldChar w:fldCharType="separate"/>
          </w:r>
          <w:r w:rsidR="005C3C04">
            <w:rPr>
              <w:rFonts w:ascii="Calibri" w:eastAsia="Calibri" w:hAnsi="Calibri" w:cs="Calibri"/>
              <w:b/>
              <w:color w:val="000000"/>
              <w:sz w:val="24"/>
              <w:szCs w:val="24"/>
            </w:rPr>
            <w:t>5</w:t>
          </w:r>
          <w:r w:rsidR="005C3C04">
            <w:fldChar w:fldCharType="end"/>
          </w:r>
        </w:p>
        <w:p w14:paraId="4A36C1E5" w14:textId="77777777" w:rsidR="00A84DEA" w:rsidRDefault="003D7976">
          <w:pPr>
            <w:tabs>
              <w:tab w:val="right" w:pos="9025"/>
            </w:tabs>
            <w:spacing w:before="200" w:line="240" w:lineRule="auto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lg8xtzue8y2v">
            <w:r w:rsidR="005C3C0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Figure S5. Multiple sequence alignment of Clade V orthologs of acetylcholine receptor subunit acr-8.</w:t>
            </w:r>
          </w:hyperlink>
          <w:r w:rsidR="005C3C04">
            <w:rPr>
              <w:rFonts w:ascii="Calibri" w:eastAsia="Calibri" w:hAnsi="Calibri" w:cs="Calibri"/>
              <w:color w:val="000000"/>
              <w:sz w:val="24"/>
              <w:szCs w:val="24"/>
            </w:rPr>
            <w:tab/>
          </w:r>
          <w:r w:rsidR="005C3C04">
            <w:fldChar w:fldCharType="begin"/>
          </w:r>
          <w:r w:rsidR="005C3C04">
            <w:instrText xml:space="preserve"> PAGEREF _lg8xtzue8y2v \h </w:instrText>
          </w:r>
          <w:r w:rsidR="005C3C04">
            <w:fldChar w:fldCharType="separate"/>
          </w:r>
          <w:r w:rsidR="005C3C04">
            <w:rPr>
              <w:rFonts w:ascii="Calibri" w:eastAsia="Calibri" w:hAnsi="Calibri" w:cs="Calibri"/>
              <w:b/>
              <w:color w:val="000000"/>
              <w:sz w:val="24"/>
              <w:szCs w:val="24"/>
            </w:rPr>
            <w:t>6</w:t>
          </w:r>
          <w:r w:rsidR="005C3C04">
            <w:fldChar w:fldCharType="end"/>
          </w:r>
        </w:p>
        <w:p w14:paraId="31B93D9E" w14:textId="77777777" w:rsidR="00A84DEA" w:rsidRDefault="003D7976">
          <w:pPr>
            <w:tabs>
              <w:tab w:val="right" w:pos="9025"/>
            </w:tabs>
            <w:spacing w:before="200" w:line="240" w:lineRule="auto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cq2g2xg7h2hs">
            <w:r w:rsidR="005C3C0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Figure S6. Consistent evidence of selection on the chromosome 5 locus with respect to direct versus indirect measurements of genetic diversity after treatment</w:t>
            </w:r>
          </w:hyperlink>
          <w:r w:rsidR="005C3C04">
            <w:rPr>
              <w:rFonts w:ascii="Calibri" w:eastAsia="Calibri" w:hAnsi="Calibri" w:cs="Calibri"/>
              <w:color w:val="000000"/>
              <w:sz w:val="24"/>
              <w:szCs w:val="24"/>
            </w:rPr>
            <w:tab/>
          </w:r>
          <w:r w:rsidR="005C3C04">
            <w:fldChar w:fldCharType="begin"/>
          </w:r>
          <w:r w:rsidR="005C3C04">
            <w:instrText xml:space="preserve"> PAGEREF _cq2g2xg7h2hs \h </w:instrText>
          </w:r>
          <w:r w:rsidR="005C3C04">
            <w:fldChar w:fldCharType="separate"/>
          </w:r>
          <w:r w:rsidR="005C3C04">
            <w:rPr>
              <w:rFonts w:ascii="Calibri" w:eastAsia="Calibri" w:hAnsi="Calibri" w:cs="Calibri"/>
              <w:b/>
              <w:color w:val="000000"/>
              <w:sz w:val="24"/>
              <w:szCs w:val="24"/>
            </w:rPr>
            <w:t>7</w:t>
          </w:r>
          <w:r w:rsidR="005C3C04">
            <w:fldChar w:fldCharType="end"/>
          </w:r>
        </w:p>
        <w:p w14:paraId="2A7D9E8E" w14:textId="77777777" w:rsidR="00A84DEA" w:rsidRDefault="003D7976">
          <w:pPr>
            <w:tabs>
              <w:tab w:val="right" w:pos="9025"/>
            </w:tabs>
            <w:spacing w:before="200" w:after="80" w:line="240" w:lineRule="auto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xypxr5wv0klb">
            <w:r w:rsidR="005C3C04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Figure S7. A higher number of L3 per pool helps to increase the resolution of the peaks of differentiation</w:t>
            </w:r>
          </w:hyperlink>
          <w:r w:rsidR="005C3C04">
            <w:rPr>
              <w:rFonts w:ascii="Calibri" w:eastAsia="Calibri" w:hAnsi="Calibri" w:cs="Calibri"/>
              <w:color w:val="000000"/>
              <w:sz w:val="24"/>
              <w:szCs w:val="24"/>
            </w:rPr>
            <w:tab/>
          </w:r>
          <w:r w:rsidR="005C3C04">
            <w:fldChar w:fldCharType="begin"/>
          </w:r>
          <w:r w:rsidR="005C3C04">
            <w:instrText xml:space="preserve"> PAGEREF _xypxr5wv0klb \h </w:instrText>
          </w:r>
          <w:r w:rsidR="005C3C04">
            <w:fldChar w:fldCharType="separate"/>
          </w:r>
          <w:r w:rsidR="005C3C04">
            <w:rPr>
              <w:rFonts w:ascii="Calibri" w:eastAsia="Calibri" w:hAnsi="Calibri" w:cs="Calibri"/>
              <w:b/>
              <w:color w:val="000000"/>
              <w:sz w:val="24"/>
              <w:szCs w:val="24"/>
            </w:rPr>
            <w:t>9</w:t>
          </w:r>
          <w:r w:rsidR="005C3C04">
            <w:fldChar w:fldCharType="end"/>
          </w:r>
          <w:r w:rsidR="005C3C04">
            <w:fldChar w:fldCharType="end"/>
          </w:r>
        </w:p>
      </w:sdtContent>
    </w:sdt>
    <w:p w14:paraId="3038845B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p w14:paraId="033A5793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p w14:paraId="703E64F0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p w14:paraId="24B3306C" w14:textId="77777777" w:rsidR="00A84DEA" w:rsidRDefault="005C3C0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09555290" w14:textId="77777777" w:rsidR="00A84DEA" w:rsidRDefault="00A84DEA">
      <w:pPr>
        <w:pStyle w:val="Heading2"/>
        <w:rPr>
          <w:sz w:val="24"/>
          <w:szCs w:val="24"/>
        </w:rPr>
      </w:pPr>
      <w:bookmarkStart w:id="1" w:name="_3rc7l6ewt7ma" w:colFirst="0" w:colLast="0"/>
      <w:bookmarkEnd w:id="1"/>
    </w:p>
    <w:p w14:paraId="294D220D" w14:textId="77777777" w:rsidR="00A84DEA" w:rsidRDefault="005C3C04">
      <w:pPr>
        <w:pStyle w:val="Heading2"/>
        <w:rPr>
          <w:sz w:val="24"/>
          <w:szCs w:val="24"/>
        </w:rPr>
      </w:pPr>
      <w:bookmarkStart w:id="2" w:name="_72suet7mcrwp" w:colFirst="0" w:colLast="0"/>
      <w:bookmarkEnd w:id="2"/>
      <w:r>
        <w:br w:type="page"/>
      </w: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D0106FF" wp14:editId="1B762AEC">
            <wp:extent cx="5523478" cy="812006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3478" cy="8120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007FF" w14:textId="77777777" w:rsidR="00A84DEA" w:rsidRDefault="005C3C04">
      <w:pPr>
        <w:pStyle w:val="Heading4"/>
      </w:pPr>
      <w:bookmarkStart w:id="3" w:name="_i6b37pfbnck0" w:colFirst="0" w:colLast="0"/>
      <w:bookmarkEnd w:id="3"/>
      <w:r>
        <w:t>Figure S1. Pairwise comparison of susceptible (Farm 1) and either moderate or high ivermectin resistant parasite populations on US farms.</w:t>
      </w:r>
    </w:p>
    <w:p w14:paraId="5ADF68BF" w14:textId="77777777" w:rsidR="00A84DEA" w:rsidRDefault="005C3C04">
      <w:r>
        <w:rPr>
          <w:noProof/>
        </w:rPr>
        <w:lastRenderedPageBreak/>
        <w:drawing>
          <wp:inline distT="114300" distB="114300" distL="114300" distR="114300" wp14:anchorId="1F5961C0" wp14:editId="4307B733">
            <wp:extent cx="5346790" cy="782478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6790" cy="782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2608C" w14:textId="77777777" w:rsidR="00A84DEA" w:rsidRDefault="005C3C04">
      <w:pPr>
        <w:pStyle w:val="Heading4"/>
      </w:pPr>
      <w:bookmarkStart w:id="4" w:name="_s0xp7174dgmv" w:colFirst="0" w:colLast="0"/>
      <w:bookmarkEnd w:id="4"/>
      <w:r>
        <w:t>Figure S2. Pairwise comparison of susceptible (Farm 9) and either moderate or high ivermectin resistant parasite populations on US farms.</w:t>
      </w:r>
    </w:p>
    <w:p w14:paraId="06FEA9B0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p w14:paraId="72C07BB5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p w14:paraId="5D56C67D" w14:textId="77777777" w:rsidR="00A84DEA" w:rsidRDefault="005C3C0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114300" distB="114300" distL="114300" distR="114300" wp14:anchorId="1A0BFF10" wp14:editId="5944D2FE">
            <wp:extent cx="5734050" cy="2400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98D70" w14:textId="77777777" w:rsidR="00A84DEA" w:rsidRDefault="00A84DEA">
      <w:pPr>
        <w:pStyle w:val="Heading4"/>
      </w:pPr>
      <w:bookmarkStart w:id="5" w:name="_ur5hw05tyo2l" w:colFirst="0" w:colLast="0"/>
      <w:bookmarkEnd w:id="5"/>
    </w:p>
    <w:p w14:paraId="3A83EE56" w14:textId="77777777" w:rsidR="00A84DEA" w:rsidRDefault="005C3C04">
      <w:pPr>
        <w:pStyle w:val="Heading4"/>
      </w:pPr>
      <w:bookmarkStart w:id="6" w:name="_73gqvxsgq9gl" w:colFirst="0" w:colLast="0"/>
      <w:bookmarkEnd w:id="6"/>
      <w:r>
        <w:t>Figure S3. Frequency of Phe167Tyr and Phe200Tyr variants of beta-tubulin isotype 1 associated with benzimidazole resistance on US farms</w:t>
      </w:r>
    </w:p>
    <w:p w14:paraId="725B1B40" w14:textId="77777777" w:rsidR="00A84DEA" w:rsidRDefault="005C3C0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WGS estimation of Phe167Tyr and Phe200Tyr variant frequencies from </w:t>
      </w:r>
      <w:r>
        <w:rPr>
          <w:rFonts w:ascii="Calibri" w:eastAsia="Calibri" w:hAnsi="Calibri" w:cs="Calibri"/>
          <w:i/>
          <w:sz w:val="24"/>
          <w:szCs w:val="24"/>
        </w:rPr>
        <w:t>H. contortus</w:t>
      </w:r>
      <w:r>
        <w:rPr>
          <w:rFonts w:ascii="Calibri" w:eastAsia="Calibri" w:hAnsi="Calibri" w:cs="Calibri"/>
          <w:sz w:val="24"/>
          <w:szCs w:val="24"/>
        </w:rPr>
        <w:t xml:space="preserve"> L3 on 10 US farms. Worms from Farm 1 are phenotypically susceptible to </w:t>
      </w:r>
      <w:proofErr w:type="gramStart"/>
      <w:r>
        <w:rPr>
          <w:rFonts w:ascii="Calibri" w:eastAsia="Calibri" w:hAnsi="Calibri" w:cs="Calibri"/>
          <w:sz w:val="24"/>
          <w:szCs w:val="24"/>
        </w:rPr>
        <w:t>benzimidazoles,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however, all are farms are phenotypically resistant base on </w:t>
      </w:r>
      <w:proofErr w:type="spellStart"/>
      <w:r>
        <w:rPr>
          <w:rFonts w:ascii="Calibri" w:eastAsia="Calibri" w:hAnsi="Calibri" w:cs="Calibri"/>
          <w:sz w:val="24"/>
          <w:szCs w:val="24"/>
        </w:rPr>
        <w:t>DrenchRite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dose-response assays.</w:t>
      </w:r>
    </w:p>
    <w:p w14:paraId="2C31676E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p w14:paraId="7E59A021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p w14:paraId="4F610288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p w14:paraId="57AAEEA7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p w14:paraId="53924EF0" w14:textId="77777777" w:rsidR="00A84DEA" w:rsidRDefault="005C3C04">
      <w:pPr>
        <w:rPr>
          <w:rFonts w:ascii="Calibri" w:eastAsia="Calibri" w:hAnsi="Calibri" w:cs="Calibri"/>
          <w:sz w:val="24"/>
          <w:szCs w:val="24"/>
        </w:rPr>
      </w:pPr>
      <w:r>
        <w:br w:type="page"/>
      </w: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114300" distB="114300" distL="114300" distR="114300" wp14:anchorId="405F2D5F" wp14:editId="1E5C59D9">
            <wp:extent cx="5731200" cy="22225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B37F6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p w14:paraId="10CEABFE" w14:textId="77777777" w:rsidR="00A84DEA" w:rsidRDefault="005C3C04">
      <w:pPr>
        <w:pStyle w:val="Heading4"/>
      </w:pPr>
      <w:bookmarkStart w:id="7" w:name="_u7i9lnat3pl" w:colFirst="0" w:colLast="0"/>
      <w:bookmarkEnd w:id="7"/>
      <w:r>
        <w:t>Figure S4. No evidence of ivermectin selection on beta-tubulin isotype 1 resistant alleles in the genetic cross or US farms</w:t>
      </w:r>
    </w:p>
    <w:p w14:paraId="63A8D7A8" w14:textId="77777777" w:rsidR="00A84DEA" w:rsidRDefault="005C3C04">
      <w:pPr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WGS estimation of Phe167Tyr and Phe200Tyr variant frequencies from </w:t>
      </w:r>
      <w:r>
        <w:rPr>
          <w:rFonts w:ascii="Calibri" w:eastAsia="Calibri" w:hAnsi="Calibri" w:cs="Calibri"/>
          <w:i/>
          <w:sz w:val="24"/>
          <w:szCs w:val="24"/>
        </w:rPr>
        <w:t>H. contortus</w:t>
      </w:r>
      <w:r>
        <w:rPr>
          <w:rFonts w:ascii="Calibri" w:eastAsia="Calibri" w:hAnsi="Calibri" w:cs="Calibri"/>
          <w:sz w:val="24"/>
          <w:szCs w:val="24"/>
        </w:rPr>
        <w:t xml:space="preserve"> L3 collected the pre- and post-ivermectin treated animals of the cross. Neither variants showed a significant change in variant frequency, measured using a paired t-test. The p values are shown.</w:t>
      </w:r>
    </w:p>
    <w:p w14:paraId="5F66448F" w14:textId="77777777" w:rsidR="00A84DEA" w:rsidRDefault="005C3C04">
      <w:pPr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WGS estimation of Phe167Tyr and Phe200Tyr variant frequencies from </w:t>
      </w:r>
      <w:r>
        <w:rPr>
          <w:rFonts w:ascii="Calibri" w:eastAsia="Calibri" w:hAnsi="Calibri" w:cs="Calibri"/>
          <w:i/>
          <w:sz w:val="24"/>
          <w:szCs w:val="24"/>
        </w:rPr>
        <w:t>H. contortus</w:t>
      </w:r>
      <w:r>
        <w:rPr>
          <w:rFonts w:ascii="Calibri" w:eastAsia="Calibri" w:hAnsi="Calibri" w:cs="Calibri"/>
          <w:sz w:val="24"/>
          <w:szCs w:val="24"/>
        </w:rPr>
        <w:t xml:space="preserve"> L3 and their correlation with drench rite measurement of ivermectin resistance on 10 US farms. For both variants, no significant correlation was identified. Pearson correlation coefficient (r) and p values are shown. </w:t>
      </w:r>
    </w:p>
    <w:p w14:paraId="71611DCE" w14:textId="77777777" w:rsidR="00A84DEA" w:rsidRDefault="005C3C04">
      <w:pPr>
        <w:pStyle w:val="Heading2"/>
        <w:rPr>
          <w:sz w:val="24"/>
          <w:szCs w:val="24"/>
        </w:rPr>
      </w:pPr>
      <w:bookmarkStart w:id="8" w:name="_sjbsivjtqzww" w:colFirst="0" w:colLast="0"/>
      <w:bookmarkEnd w:id="8"/>
      <w:r>
        <w:br w:type="page"/>
      </w:r>
    </w:p>
    <w:p w14:paraId="35C14B57" w14:textId="77777777" w:rsidR="00A84DEA" w:rsidRDefault="00A84DEA">
      <w:pPr>
        <w:pStyle w:val="Heading2"/>
      </w:pPr>
      <w:bookmarkStart w:id="9" w:name="_fdu2kda2zse0" w:colFirst="0" w:colLast="0"/>
      <w:bookmarkEnd w:id="9"/>
    </w:p>
    <w:p w14:paraId="53742AD6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p w14:paraId="2A9C329A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p w14:paraId="454E1623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p w14:paraId="5FB40E89" w14:textId="77777777" w:rsidR="00A84DEA" w:rsidRDefault="005C3C0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57EFA67C" wp14:editId="1FD2B5EB">
            <wp:extent cx="5734050" cy="53975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9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E8519" w14:textId="77777777" w:rsidR="00A84DEA" w:rsidRDefault="00A84DEA">
      <w:pPr>
        <w:pStyle w:val="Heading4"/>
      </w:pPr>
      <w:bookmarkStart w:id="10" w:name="_uuhcapchfw53" w:colFirst="0" w:colLast="0"/>
      <w:bookmarkEnd w:id="10"/>
    </w:p>
    <w:p w14:paraId="7164D610" w14:textId="77777777" w:rsidR="00A84DEA" w:rsidRDefault="005C3C04">
      <w:pPr>
        <w:pStyle w:val="Heading4"/>
      </w:pPr>
      <w:bookmarkStart w:id="11" w:name="_lg8xtzue8y2v" w:colFirst="0" w:colLast="0"/>
      <w:bookmarkEnd w:id="11"/>
      <w:r>
        <w:t xml:space="preserve">Figure S5. Multiple sequence alignment of Clade V orthologs of acetylcholine receptor subunit </w:t>
      </w:r>
      <w:r>
        <w:rPr>
          <w:i/>
        </w:rPr>
        <w:t>acr-8</w:t>
      </w:r>
      <w:r>
        <w:t>.</w:t>
      </w:r>
    </w:p>
    <w:p w14:paraId="447516AD" w14:textId="77777777" w:rsidR="00A84DEA" w:rsidRDefault="005C3C0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Ser167Thr variant in </w:t>
      </w:r>
      <w:r>
        <w:rPr>
          <w:rFonts w:ascii="Calibri" w:eastAsia="Calibri" w:hAnsi="Calibri" w:cs="Calibri"/>
          <w:i/>
          <w:sz w:val="24"/>
          <w:szCs w:val="24"/>
        </w:rPr>
        <w:t>Haemonchus contortus</w:t>
      </w:r>
      <w:r>
        <w:rPr>
          <w:rFonts w:ascii="Calibri" w:eastAsia="Calibri" w:hAnsi="Calibri" w:cs="Calibri"/>
          <w:sz w:val="24"/>
          <w:szCs w:val="24"/>
        </w:rPr>
        <w:t xml:space="preserve"> (Ser position highlighted) correlates with levamisole resistance in the study. This multiple sequence alignment focused on alignment positions 225-275 surrounding the </w:t>
      </w:r>
      <w:r>
        <w:rPr>
          <w:rFonts w:ascii="Calibri" w:eastAsia="Calibri" w:hAnsi="Calibri" w:cs="Calibri"/>
          <w:i/>
          <w:sz w:val="24"/>
          <w:szCs w:val="24"/>
        </w:rPr>
        <w:t>H. contortus</w:t>
      </w:r>
      <w:r>
        <w:rPr>
          <w:rFonts w:ascii="Calibri" w:eastAsia="Calibri" w:hAnsi="Calibri" w:cs="Calibri"/>
          <w:sz w:val="24"/>
          <w:szCs w:val="24"/>
        </w:rPr>
        <w:t xml:space="preserve"> Ser167Thr position demonstrates high sequence conservation of the Ser residue among all Clade V nematodes analysed, except for species within the </w:t>
      </w:r>
      <w:proofErr w:type="spellStart"/>
      <w:r>
        <w:rPr>
          <w:rFonts w:ascii="Calibri" w:eastAsia="Calibri" w:hAnsi="Calibri" w:cs="Calibri"/>
          <w:sz w:val="24"/>
          <w:szCs w:val="24"/>
        </w:rPr>
        <w:t>Caenorhabiditis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genus (which contain </w:t>
      </w:r>
      <w:proofErr w:type="spellStart"/>
      <w:r>
        <w:rPr>
          <w:rFonts w:ascii="Calibri" w:eastAsia="Calibri" w:hAnsi="Calibri" w:cs="Calibri"/>
          <w:sz w:val="24"/>
          <w:szCs w:val="24"/>
        </w:rPr>
        <w:t>Thr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). </w:t>
      </w:r>
    </w:p>
    <w:p w14:paraId="5AF3D638" w14:textId="77777777" w:rsidR="00A84DEA" w:rsidRDefault="005C3C0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576E0759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p w14:paraId="331CB57A" w14:textId="77777777" w:rsidR="00A84DEA" w:rsidRDefault="00A84DEA">
      <w:pPr>
        <w:pStyle w:val="Heading2"/>
      </w:pPr>
      <w:bookmarkStart w:id="12" w:name="_bhb4zc3nwmzb" w:colFirst="0" w:colLast="0"/>
      <w:bookmarkEnd w:id="12"/>
    </w:p>
    <w:p w14:paraId="6F6AE27B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p w14:paraId="727F8EBA" w14:textId="77777777" w:rsidR="00A84DEA" w:rsidRDefault="005C3C04">
      <w:pPr>
        <w:pStyle w:val="Heading4"/>
      </w:pPr>
      <w:bookmarkStart w:id="13" w:name="_cq2g2xg7h2hs" w:colFirst="0" w:colLast="0"/>
      <w:bookmarkEnd w:id="13"/>
      <w:r>
        <w:rPr>
          <w:noProof/>
        </w:rPr>
        <w:drawing>
          <wp:inline distT="114300" distB="114300" distL="114300" distR="114300" wp14:anchorId="7199CE29" wp14:editId="3486FA46">
            <wp:extent cx="5731200" cy="65278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2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Figure S6. Consistent evidence of selection on the chromosome 5 locus with respect to direct versus indirect measurements of genetic diversity after treatment</w:t>
      </w:r>
    </w:p>
    <w:p w14:paraId="22937420" w14:textId="77777777" w:rsidR="00A84DEA" w:rsidRDefault="005C3C04">
      <w:pPr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Genome-wide analysis of genetic differentiation sampled between adult males (n= 40) directly exposed to and have survived treatment recovered by necropsy, and </w:t>
      </w:r>
      <w:proofErr w:type="spellStart"/>
      <w:r>
        <w:rPr>
          <w:rFonts w:ascii="Calibri" w:eastAsia="Calibri" w:hAnsi="Calibri" w:cs="Calibri"/>
          <w:sz w:val="24"/>
          <w:szCs w:val="24"/>
        </w:rPr>
        <w:t>pretreatment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L3 (n = 200) from the same generation.</w:t>
      </w:r>
    </w:p>
    <w:p w14:paraId="0DDAC186" w14:textId="77777777" w:rsidR="00A84DEA" w:rsidRDefault="005C3C04">
      <w:pPr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same genomic interval on chromosome 5 as shown in Figure 4 A, highlighting the smaller peak region.</w:t>
      </w:r>
    </w:p>
    <w:p w14:paraId="1C3EF99D" w14:textId="77777777" w:rsidR="00A84DEA" w:rsidRDefault="005C3C04">
      <w:pPr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Dose-response curve of ivermectin using larval development assay to determine the EC50</w:t>
      </w:r>
    </w:p>
    <w:p w14:paraId="36FABDE6" w14:textId="77777777" w:rsidR="00A84DEA" w:rsidRDefault="005C3C04">
      <w:pPr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Genome-wide analysis of genetic differentiation between poorly developing L1/L2 stage larvae at EC25 and developing L3 at EC75</w:t>
      </w:r>
    </w:p>
    <w:p w14:paraId="4C53ED6E" w14:textId="77777777" w:rsidR="00A84DEA" w:rsidRDefault="005C3C04">
      <w:pPr>
        <w:ind w:left="720"/>
        <w:rPr>
          <w:rFonts w:ascii="Calibri" w:eastAsia="Calibri" w:hAnsi="Calibri" w:cs="Calibri"/>
          <w:sz w:val="24"/>
          <w:szCs w:val="24"/>
        </w:rPr>
      </w:pPr>
      <w:r>
        <w:br w:type="page"/>
      </w:r>
    </w:p>
    <w:p w14:paraId="4AC87CBC" w14:textId="77777777" w:rsidR="00A84DEA" w:rsidRDefault="00A84DEA">
      <w:pPr>
        <w:ind w:left="720"/>
        <w:rPr>
          <w:rFonts w:ascii="Calibri" w:eastAsia="Calibri" w:hAnsi="Calibri" w:cs="Calibri"/>
          <w:sz w:val="24"/>
          <w:szCs w:val="24"/>
        </w:rPr>
      </w:pPr>
    </w:p>
    <w:p w14:paraId="08662818" w14:textId="77777777" w:rsidR="00A84DEA" w:rsidRDefault="005C3C04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393C212D" wp14:editId="52D19BB4">
            <wp:extent cx="5731200" cy="33782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CD47E" w14:textId="77777777" w:rsidR="00A84DEA" w:rsidRDefault="00A84DEA">
      <w:pPr>
        <w:rPr>
          <w:rFonts w:ascii="Calibri" w:eastAsia="Calibri" w:hAnsi="Calibri" w:cs="Calibri"/>
          <w:sz w:val="24"/>
          <w:szCs w:val="24"/>
        </w:rPr>
      </w:pPr>
    </w:p>
    <w:p w14:paraId="3710D352" w14:textId="77777777" w:rsidR="00A84DEA" w:rsidRDefault="005C3C04">
      <w:pPr>
        <w:pStyle w:val="Heading4"/>
      </w:pPr>
      <w:bookmarkStart w:id="14" w:name="_xypxr5wv0klb" w:colFirst="0" w:colLast="0"/>
      <w:bookmarkEnd w:id="14"/>
      <w:r>
        <w:t>Figure S7. A higher number of L3 per pool helps to increase the resolution of the peaks of differentiation</w:t>
      </w:r>
    </w:p>
    <w:p w14:paraId="1B87B9B2" w14:textId="77777777" w:rsidR="00A84DEA" w:rsidRDefault="005C3C04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Whole-genome comparison of pools of L3 (n = ~5000) pre- and </w:t>
      </w:r>
      <w:proofErr w:type="spellStart"/>
      <w:r>
        <w:rPr>
          <w:rFonts w:ascii="Calibri" w:eastAsia="Calibri" w:hAnsi="Calibri" w:cs="Calibri"/>
          <w:sz w:val="24"/>
          <w:szCs w:val="24"/>
        </w:rPr>
        <w:t>post ivermectin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treatment </w:t>
      </w:r>
    </w:p>
    <w:p w14:paraId="40EBB163" w14:textId="77777777" w:rsidR="00A84DEA" w:rsidRDefault="005C3C04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The same genomic interval on chromosome 5 as shown in Figure 5 B, highlighting the smaller peak region as a result of the higher number of L3 pooled relative to the XQTL analysis (n = 200 L3 per pool).  </w:t>
      </w:r>
    </w:p>
    <w:sectPr w:rsidR="00A84DEA" w:rsidSect="001E167F">
      <w:headerReference w:type="default" r:id="rId14"/>
      <w:footerReference w:type="even" r:id="rId15"/>
      <w:footerReference w:type="default" r:id="rId16"/>
      <w:pgSz w:w="11909" w:h="16834"/>
      <w:pgMar w:top="1440" w:right="1440" w:bottom="1440" w:left="1440" w:header="720" w:footer="720" w:gutter="0"/>
      <w:lnNumType w:countBy="1" w:restart="continuous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C3DFB6" w14:textId="77777777" w:rsidR="003D7976" w:rsidRDefault="003D7976">
      <w:pPr>
        <w:spacing w:line="240" w:lineRule="auto"/>
      </w:pPr>
      <w:r>
        <w:separator/>
      </w:r>
    </w:p>
  </w:endnote>
  <w:endnote w:type="continuationSeparator" w:id="0">
    <w:p w14:paraId="7C81A891" w14:textId="77777777" w:rsidR="003D7976" w:rsidRDefault="003D79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165202393"/>
      <w:docPartObj>
        <w:docPartGallery w:val="Page Numbers (Bottom of Page)"/>
        <w:docPartUnique/>
      </w:docPartObj>
    </w:sdtPr>
    <w:sdtContent>
      <w:p w14:paraId="18561B21" w14:textId="65BD1ACB" w:rsidR="001E167F" w:rsidRDefault="001E167F" w:rsidP="002173C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C1A4F03" w14:textId="77777777" w:rsidR="001E167F" w:rsidRDefault="001E167F" w:rsidP="001E167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581069840"/>
      <w:docPartObj>
        <w:docPartGallery w:val="Page Numbers (Bottom of Page)"/>
        <w:docPartUnique/>
      </w:docPartObj>
    </w:sdtPr>
    <w:sdtContent>
      <w:p w14:paraId="5D5C5153" w14:textId="43F4B751" w:rsidR="001E167F" w:rsidRDefault="001E167F" w:rsidP="002173C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209645F" w14:textId="77777777" w:rsidR="001E167F" w:rsidRDefault="001E167F" w:rsidP="001E167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08CEBE" w14:textId="77777777" w:rsidR="003D7976" w:rsidRDefault="003D7976">
      <w:pPr>
        <w:spacing w:line="240" w:lineRule="auto"/>
      </w:pPr>
      <w:r>
        <w:separator/>
      </w:r>
    </w:p>
  </w:footnote>
  <w:footnote w:type="continuationSeparator" w:id="0">
    <w:p w14:paraId="7F394B8A" w14:textId="77777777" w:rsidR="003D7976" w:rsidRDefault="003D79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CB2A79" w14:textId="77777777" w:rsidR="00A84DEA" w:rsidRDefault="00A84DE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E10C7"/>
    <w:multiLevelType w:val="multilevel"/>
    <w:tmpl w:val="BC20B0D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B195D40"/>
    <w:multiLevelType w:val="multilevel"/>
    <w:tmpl w:val="4810221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9C370C1"/>
    <w:multiLevelType w:val="multilevel"/>
    <w:tmpl w:val="B9CC70E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DEA"/>
    <w:rsid w:val="001E167F"/>
    <w:rsid w:val="003D7976"/>
    <w:rsid w:val="005C3C04"/>
    <w:rsid w:val="00772FBC"/>
    <w:rsid w:val="00A84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D2458"/>
  <w15:docId w15:val="{C2B15F05-CCB2-4D4E-BCFB-6D897D8F4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rFonts w:ascii="Calibri" w:eastAsia="Calibri" w:hAnsi="Calibri" w:cs="Calibri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rFonts w:ascii="Calibri" w:eastAsia="Calibri" w:hAnsi="Calibri" w:cs="Calibri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Footer">
    <w:name w:val="footer"/>
    <w:basedOn w:val="Normal"/>
    <w:link w:val="FooterChar"/>
    <w:uiPriority w:val="99"/>
    <w:unhideWhenUsed/>
    <w:rsid w:val="001E167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67F"/>
  </w:style>
  <w:style w:type="character" w:styleId="PageNumber">
    <w:name w:val="page number"/>
    <w:basedOn w:val="DefaultParagraphFont"/>
    <w:uiPriority w:val="99"/>
    <w:semiHidden/>
    <w:unhideWhenUsed/>
    <w:rsid w:val="001E167F"/>
  </w:style>
  <w:style w:type="character" w:styleId="LineNumber">
    <w:name w:val="line number"/>
    <w:basedOn w:val="DefaultParagraphFont"/>
    <w:uiPriority w:val="99"/>
    <w:semiHidden/>
    <w:unhideWhenUsed/>
    <w:rsid w:val="001E16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661</Words>
  <Characters>3773</Characters>
  <Application>Microsoft Office Word</Application>
  <DocSecurity>0</DocSecurity>
  <Lines>31</Lines>
  <Paragraphs>8</Paragraphs>
  <ScaleCrop>false</ScaleCrop>
  <Company>Wellcome Trust Sanger Institute</Company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Stephen Doyle</cp:lastModifiedBy>
  <cp:revision>3</cp:revision>
  <dcterms:created xsi:type="dcterms:W3CDTF">2020-08-20T08:07:00Z</dcterms:created>
  <dcterms:modified xsi:type="dcterms:W3CDTF">2020-08-20T08:15:00Z</dcterms:modified>
</cp:coreProperties>
</file>