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Westpac Banking Corporation (ASX:WBC)</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17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35.84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+0.4%</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Healthy loan growth; benign credit; modest margin uplift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30.28</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-14.6%</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margin at anchor; cost glide; through-cycle credit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29.92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-15.8%</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 offset by weaker macro demand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income pressure; modest credit losses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23.21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-34.6%</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 returns; transition credit stress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 compression; peak-cycle credit losses; cost growth leverage</w:t>
            </w:r>
          </w:p>
        </w:tc>
      </w:tr>
    </w:tbl>
    <w:p>
      <w:pPr>
        <w:spacing w:after="200" w:before="60"/>
      </w:pPr>
      <w:r>
        <w:rPr>
          <w:rFonts w:ascii="Arial" w:cs="Arial" w:eastAsia="Arial" w:hAnsi="Arial"/>
          <w:i/>
          <w:iCs/>
          <w:color w:val="595959"/>
          <w:sz w:val="18"/>
          <w:szCs w:val="18"/>
        </w:rPr>
        <w:t xml:space="preserve">Market reference (15 June 2026): AUD 35.32. Sell-side consensus 12-month target AUD 33.45. Anchored to 1H26 results (31 March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15% below market. Unlike the DNL discussion, the framework's Muddle Through view does not sit at market — the gap is itself informative. The Orderly Convergence outcome (AUD 35.46) lands essentially at the current market price (AUD 35.32), suggesting the market is implicitly pricing closer to a successful-transformation upside scenario than to the framework's status-quo central case. The framework's value-add is exposing what scenario terminal economics the market is implicitly assuming, rather than disagreeing with consensus on near-term earnings (where forecast year-one earnings per share AUD 2.19 anchors essentially to consensus FY27 AUD 2.18).</w:t>
      </w:r>
    </w:p>
    <w:p>
      <w:pPr>
        <w:spacing w:after="120" w:before="60"/>
        <w:jc w:val="both"/>
      </w:pPr>
      <w:r>
        <w:rPr>
          <w:rFonts w:ascii="Arial" w:cs="Arial" w:eastAsia="Arial" w:hAnsi="Arial"/>
        </w:rPr>
        <w:t xml:space="preserve">Negative asymmetry is structural but materially less than for cyclical industrials. Stagflation compresses value AUD 10.18 below Muddle Through; Orderly only adds AUD 5.55 above. Ratio 1.83 to one. The relatively contained asymmetry is a feature of the bank archetype — the regulatory capital constraint flexes dividend payout downward in stress (preserving book equity, which anchors terminal value via the residual income formulation), and the oligopolistic Big Four structure caps both upside and downside in cash flows.</w:t>
      </w:r>
    </w:p>
    <w:p>
      <w:pPr>
        <w:spacing w:after="120" w:before="60"/>
        <w:jc w:val="both"/>
      </w:pPr>
      <w:r>
        <w:rPr>
          <w:rFonts w:ascii="Arial" w:cs="Arial" w:eastAsia="Arial" w:hAnsi="Arial"/>
        </w:rPr>
        <w:t xml:space="preserve">the two most consequential firm-specific variables are the peer-gap closure assumption (cost-to-income glide from 51.7% toward 48.0%, closing half the gap to NAB at 43% and CBA at 42%) and the terminal return on equity assumption (10.5% archetype mid-point versus 12-13% for franchise leader Commonwealth Bank). The methodology layers a peer-triangulation discipline on top of the conventional Capital Asset Pricing Model build — measured beta carries statistical noise; selected beta is reasoned against directly comparable peers via a Five Forces-style decomposition. For Westpac the selected beta sits at the comparable-peer cluster midpoint of 0.75 rather than the measured 0.73.</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For Authorised Deposit-taking Institutions like Westpac, the framework invokes a bank-specific methodology fork (Section 15) in place of the standard industrials build. Industrials methodology continues to apply unchanged for non-bank companies.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gross domestic product, inflation, regional growth, cash rates, swap spreads, housing market dynamics and credit cycle parameters. Bank scenarios additionally specify a credit_cycle block calibrating housing and business loan loss-given-default per scenario.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translation</w:t>
      </w:r>
    </w:p>
    <w:p>
      <w:pPr>
        <w:spacing w:after="120" w:before="60"/>
        <w:jc w:val="both"/>
      </w:pPr>
      <w:r>
        <w:rPr>
          <w:rFonts w:ascii="Arial" w:cs="Arial" w:eastAsia="Arial" w:hAnsi="Arial"/>
        </w:rPr>
        <w:t xml:space="preserve">Each world scenario translates to industry-level drivers via the bank archetype's translation rules. For Australian major banks the archetype-level drivers are system loan growth (housing + business + institutional, asset-weighted), net interest margin movement versus the through-cycle anchor, non-interest income growth, credit loss rate, and terminal return on equity. The translation is layered: macro inputs (cash rate, housing market, business cycle) drive the archetype output. The Section 3 table shows the industry-growth outcome per scenario alongside the Westpac company-position offset.</w:t>
      </w:r>
    </w:p>
    <w:p>
      <w:pPr>
        <w:pStyle w:val="Heading2"/>
        <w:spacing w:after="80" w:before="200"/>
      </w:pPr>
      <w:r>
        <w:rPr>
          <w:rFonts w:ascii="Arial" w:cs="Arial" w:eastAsia="Arial" w:hAnsi="Arial"/>
          <w:b/>
          <w:bCs/>
          <w:color w:val="1F4E78"/>
          <w:sz w:val="24"/>
          <w:szCs w:val="24"/>
        </w:rPr>
        <w:t xml:space="preserve">Step 3 — Company position via Five Forces</w:t>
      </w:r>
    </w:p>
    <w:p>
      <w:pPr>
        <w:spacing w:after="120" w:before="60"/>
        <w:jc w:val="both"/>
      </w:pPr>
      <w:r>
        <w:rPr>
          <w:rFonts w:ascii="Arial" w:cs="Arial" w:eastAsia="Arial" w:hAnsi="Arial"/>
        </w:rPr>
        <w:t xml:space="preserve">Westpac's company-specific exposure to the industry's Five Forces sits on top of the archetype baseline. For each force the framework identifies the industry archetype rating, how Westpac differs from the Big Four average, the specific mechanism, and the quantified impact on the forecast. The Section 3 narrative below sets this out force by force. The net result for Westpac is plus 8 basis points net interest margin advantage (retail deposit franchise structural advantage) offset by negative 10 basis points revenue growth (cost-to-income gap to franchise leaders) and negative 5 basis points growth (business banking rebuild sub-force).</w:t>
      </w:r>
    </w:p>
    <w:p>
      <w:pPr>
        <w:pStyle w:val="Heading2"/>
        <w:spacing w:after="80" w:before="200"/>
      </w:pPr>
      <w:r>
        <w:rPr>
          <w:rFonts w:ascii="Arial" w:cs="Arial" w:eastAsia="Arial" w:hAnsi="Arial"/>
          <w:b/>
          <w:bCs/>
          <w:color w:val="1F4E78"/>
          <w:sz w:val="24"/>
          <w:szCs w:val="24"/>
        </w:rPr>
        <w:t xml:space="preserve">Why banks invoke a separate methodology</w:t>
      </w:r>
    </w:p>
    <w:p>
      <w:pPr>
        <w:spacing w:after="120" w:before="60"/>
        <w:jc w:val="both"/>
      </w:pPr>
      <w:r>
        <w:rPr>
          <w:rFonts w:ascii="Arial" w:cs="Arial" w:eastAsia="Arial" w:hAnsi="Arial"/>
        </w:rPr>
        <w:t xml:space="preserve">A bank's cash flows are intermediated rather than operating. The shareholders' claim sits on the residual after depositors and debtholders have been paid at fair value; the standard enterprise-value-to-equity bridge used for industrials does not apply. The bank methodology fork (Section 15) substitutes: net interest income equals average interest-earning assets multiplied by net interest margin (in place of revenue × margin); credit losses are a primary scenario driver (not a residual); the Common Equity Tier 1 capital ratio binds dividend payout and asset growth (in place of the capex constraint for industrials); and the discount rate is cost of equity rather than weighted average cost of capital, since the valuation works entirely on the equityholder claim.</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Six scenarios. One-paragraph description each, with mapping to published institutional scenarios for sanity.</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gross domestic product growth roughly 2.0% with inflation gradually normalising toward 2.5%. Reserve Bank of Australia cash rate steady around 4.0% through the explicit horizon. Housing turnover and prices grow at rates adjacent to gross domestic product. Mining-customer capital expenditure cycle continues at current pace. No commodity boom or bust; geopolitics managed without escalation; climate transition gradual but costly. The status-quo extension. Maps to: International Monetary Fund World Economic Outlook baseline (October 2025), Organisation for Economic Co-operation and Development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gross domestic product 2.5%, inflation contained at 2.0%, business credit growth lifts to 7-9% per annum. Rates ease modestly; equity risk premium contained. Maps to: Organisation for Economic Co-operation and Development upside alternative, International Energy Agency Announced Pledges Scenario, Network for Greening the Financial System 'Below 2 degrees Celsius'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elevated cash rate held at 5.5-6%. Deposit competition intensifies as customers chase higher rates; front-book mortgage discounting accelerates as borrowers refinance for serviceability relief; cost growth runs +3-5% nominal despite continued peer-gap closure efforts. Credit losses lift to peak-cycle 60-80 basis points. Maps to: International Monetary Fund Adverse Scenario (Article IV stress-test variant), Bank of England stagflation stress test, Organisation for Economic Co-operation and Development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gross domestic product 1.0%, inflation 3.5%. Business credit growth dampened by reduced cross-border investment; institutional book hit by reduced trade flows and markets income compression. Country risk premium widens. Maps to: International Monetary Fund working-paper 'Geoeconomic Fragmentation' scenarios, Organisation for Economic Co-operation and Development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Australian Prudential Regulation Authority climate-adjusted risk-weights lift on transition-vulnerable mortgage zones (high-flood, high-bushfire) and on transition-vulnerable business book (mining, oil-and-gas). Terminal return on equity compressed by climate risk-weighted asset uplift. Maps to: Network for Greening the Financial System 'Disorderly Transition' or 'Delayed Transition' scenarios, International Energy Agency Stated Policies Scenario underperform variants.</w:t>
      </w:r>
    </w:p>
    <w:p>
      <w:pPr>
        <w:pStyle w:val="Heading3"/>
        <w:spacing w:after="60" w:before="140"/>
      </w:pPr>
      <w:r>
        <w:rPr>
          <w:rFonts w:ascii="Arial" w:cs="Arial" w:eastAsia="Arial" w:hAnsi="Arial"/>
          <w:b/>
          <w:bCs/>
          <w:color w:val="595959"/>
          <w:sz w:val="22"/>
          <w:szCs w:val="22"/>
        </w:rPr>
        <w:t xml:space="preserve">AI Productivity Lag (technology boundary)</w:t>
      </w:r>
    </w:p>
    <w:p>
      <w:pPr>
        <w:spacing w:after="120" w:before="60"/>
        <w:jc w:val="both"/>
      </w:pPr>
      <w:r>
        <w:rPr>
          <w:rFonts w:ascii="Arial" w:cs="Arial" w:eastAsia="Arial" w:hAnsi="Arial"/>
        </w:rPr>
        <w:t xml:space="preserve">AI fails to deliver economy-wide total-factor-productivity gains. Modest cost benefit at banks (-0.5 percentage points cost growth through back-office automation) but disappointing macro outcomes (1.7% real gross domestic product). Financial-services banks are less directly exposed than other industries — banking processes are still labour-intensive but the cost-out program has been ramping for years. Less directly mapped to institutional scenarios; closest analogue is the International Monetary Fund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Industry growth and Westpac position</w:t>
      </w:r>
    </w:p>
    <w:p>
      <w:pPr>
        <w:spacing w:after="120" w:before="60"/>
        <w:jc w:val="both"/>
      </w:pPr>
      <w:r>
        <w:rPr>
          <w:rFonts w:ascii="Arial" w:cs="Arial" w:eastAsia="Arial" w:hAnsi="Arial"/>
        </w:rPr>
        <w:t xml:space="preserve">Step 2 of the framework translates each world scenario into an industry-archetype net interest income growth rate for Australian major banks, using the archetype's published sensitivity to macro inputs (cash rate trajectory, housing market, credit cycle parameters). Step 3 then overlays Westpac's company-specific position relative to the industry via the Five Forces. The table below shows Step 2 per scenario; the narrative below shows Step 3.</w:t>
      </w:r>
    </w:p>
    <w:p>
      <w:pPr>
        <w:pStyle w:val="Heading2"/>
        <w:spacing w:after="80" w:before="200"/>
      </w:pPr>
      <w:r>
        <w:rPr>
          <w:rFonts w:ascii="Arial" w:cs="Arial" w:eastAsia="Arial" w:hAnsi="Arial"/>
          <w:b/>
          <w:bCs/>
          <w:color w:val="1F4E78"/>
          <w:sz w:val="24"/>
          <w:szCs w:val="24"/>
        </w:rPr>
        <w:t xml:space="preserve">Step 2 — industry net interest income growth per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00"/>
        <w:gridCol w:w="358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World-scenario inputs that bind</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net interest income growth p.a.</w:t>
            </w:r>
          </w:p>
        </w:tc>
        <w:tc>
          <w:tcPr>
            <w:tcW w:type="dxa" w:w="3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4%; housing turnover at gross domestic product; system credit 4.5%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asset growth; margin at through-cycle anchor 1.94%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easing toward 3.5%; healthy capex; system credit 6.5%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 modest margin uplift +5 basis points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steady; subdued business credit demand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asset growth deceleration; margin neutral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elevated +50bps; bloc-trade friction; system credit 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softens; margin neutral; cross-border activity dampened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volatile; climate-RWA uplift; system credit 3.5%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Slight volume drag from climate-affected mortgage book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rate 5.5-6%; deposit competition intense; system credit 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compression + margin compression -20 basis points</w:t>
            </w:r>
          </w:p>
        </w:tc>
      </w:tr>
    </w:tbl>
    <w:p>
      <w:pPr>
        <w:spacing w:after="120" w:before="60"/>
      </w:pPr>
      <w:r>
        <w:rPr>
          <w:rFonts w:ascii="Arial" w:cs="Arial" w:eastAsia="Arial" w:hAnsi="Arial"/>
          <w:i/>
          <w:iCs/>
          <w:color w:val="595959"/>
          <w:sz w:val="18"/>
          <w:szCs w:val="18"/>
        </w:rPr>
        <w:t xml:space="preserve">Westpac's company-position offset is structural and applied to the industry baseline above: plus 8 basis points net interest margin from the deposit franchise advantage, less 10 basis points revenue growth from the rivalry / cost-to-income gap, less 5 basis points from the business banking rebuild sub-force. Net offset modest; the dominant forward driver is the peer-gap closure captured in cost-to-income glide rather than the structural offset.</w:t>
      </w:r>
    </w:p>
    <w:p>
      <w:pPr>
        <w:pStyle w:val="Heading2"/>
        <w:spacing w:after="80" w:before="200"/>
      </w:pPr>
      <w:r>
        <w:rPr>
          <w:rFonts w:ascii="Arial" w:cs="Arial" w:eastAsia="Arial" w:hAnsi="Arial"/>
          <w:b/>
          <w:bCs/>
          <w:color w:val="1F4E78"/>
          <w:sz w:val="24"/>
          <w:szCs w:val="24"/>
        </w:rPr>
        <w:t xml:space="preserve">Step 3 — Westpac company position via the Five Forces</w:t>
      </w:r>
    </w:p>
    <w:p>
      <w:pPr>
        <w:spacing w:after="120" w:before="60"/>
        <w:jc w:val="both"/>
      </w:pPr>
      <w:r>
        <w:rPr>
          <w:rFonts w:ascii="Arial" w:cs="Arial" w:eastAsia="Arial" w:hAnsi="Arial"/>
        </w:rPr>
        <w:t xml:space="preserve">Each Five Forces element below: industry archetype's rating, how Westpac differs from the Big Four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LOW to MODERATE. Westpac position: at industry average. Retail customer behaviour is the same as the Big Four norm — sticky back-book, rate-sensitive front-book — and the business banking customer mix is slightly more small-and-medium-enterprise-weighted than the National Australia Bank. No material company-specific differentiation.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Westpac position: LOWER (favourable). The retail deposit franchise is structural — number two share in Australian household deposits, AUD 615 billion Australian retail deposit base including AUD 149 billion of non-interest-bearing transaction balances. The non-interest-bearing transaction deposit pool provides a structural funding-cost advantage equivalent to roughly 5-10 basis points net interest margin benefit. Impact: plus 8 basis points net interest margin.</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Westpac position: at industry average. Same protection as the rest of the Big Four — domestic systemically important bank designation, regulatory capital floor of 11.5% on the Common Equity Tier 1 ratio inclusive of the domestic systemically important bank surcharge, deposit franchise advantage, distribution scale. No bank-specific differentiation. Impact: 0.</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to MODERATE. Westpac position: at industry average. Non-bank mortgage share-loss exposure is proportional to mortgage book scale — at number two in the system the absolute dollar exposure is meaningful but the relative loss rate is the same as the Big Four. Westpac New Zealand exposure to New Zealand non-bank lenders is similar.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Westpac position: HIGHER (unfavourable). The binding evidence is cost-to-income: Westpac at 51.7% versus Commonwealth Bank at 42% and National Australia Bank at 43%. Translates to roughly 150 basis points of return-on-equity drag versus the leaders that the assumed peer-gap closure trajectory (Westpac's stated UNITE program is the most credible disclosed mechanism — page 3 of the 26 March 2026 update lists "close cost-to-income ratio gap to peers" as one of three stated outcomes) is intended to close. Most of this drag is treated as closeable on the forecast horizon rather than a structural offset; the residual structural drag (about 10 basis points revenue growth) reflects share-loss vulnerability that comes with running at higher cost-to-income. A sub-force: business banking rebuild. Westpac lost share to National Australia Bank and Commonwealth Bank over 2018-2022 in business lending; re-investment from FY24 has stabilised share but not yet meaningfully recovered. Drag on growth: a further 5 basis points until rebuild closes (estimated FY28).</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Funding cost advantage (deposit franchise)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+8bps NIM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gap to peer leaders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banking rebuild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-5bps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new entrants / substitutes (others)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+8bps NIM / -15bps growth</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Heading2"/>
        <w:spacing w:after="80" w:before="200"/>
      </w:pPr>
      <w:r>
        <w:rPr>
          <w:rFonts w:ascii="Arial" w:cs="Arial" w:eastAsia="Arial" w:hAnsi="Arial"/>
          <w:b/>
          <w:bCs/>
          <w:color w:val="1F4E78"/>
          <w:sz w:val="24"/>
          <w:szCs w:val="24"/>
        </w:rPr>
        <w:t xml:space="preserve">Income and balance sheet (1H26, 31 March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interest income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9,763m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Non-interest income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1,521m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Operating expenses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5,830m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Cost-to-income ratio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51.7%</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Credit impairment charges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443m (~10 basis points annualised)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net profit after tax (1H26 ex Notable)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3,483m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interest-earning assets (1H26)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1,035bn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Gross loans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890bn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deposits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745bn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 equity (total)</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72.8bn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Equity Tier 1 capital ratio (Level 2)</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12.42% (target 11.0-11.5%)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Tier 1 hybrid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8,522m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Non-controlling interests</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350m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subordinated debt (NOT in equity bridge)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33,085m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Shares outstanding</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3,414.9m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reference price (15 June 2026)</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35.32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Sell-side consensus 12-month target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33.45</w:t>
            </w:r>
          </w:p>
        </w:tc>
      </w:tr>
    </w:tbl>
    <w:p>
      <w:pPr>
        <w:pStyle w:val="Heading2"/>
        <w:spacing w:after="80" w:before="200"/>
      </w:pPr>
      <w:r>
        <w:rPr>
          <w:rFonts w:ascii="Arial" w:cs="Arial" w:eastAsia="Arial" w:hAnsi="Arial"/>
          <w:b/>
          <w:bCs/>
          <w:color w:val="1F4E78"/>
          <w:sz w:val="24"/>
          <w:szCs w:val="24"/>
        </w:rPr>
        <w:t xml:space="preserve">Through-cycle anchors and trajectory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net interest margin (FY22-FY25 midpoint)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net interest margin (current)</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1.89% (low end of historic range)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 net interest margin (Y1-Y5)</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1.92-1.94% (recovery to anchor)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Through-cycle credit loss anchor</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 basis points (mortgage-heavy book)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1H26 credit loss (annualised)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 basis points (benign cycle)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Transformation glide (cost-to-income, cumulative)</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 / -100 / -150 / -175 / -200 basis points Y1-Y5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return on equity (cyclically adjusted)</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 (Big Four range 10-13%)</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Terminal asset growth</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 (gross domestic product adjacent)</w:t>
            </w:r>
          </w:p>
        </w:tc>
      </w:tr>
    </w:tbl>
    <w:p>
      <w:r>
        <w:br w:type="page"/>
      </w:r>
    </w:p>
    <w:p>
      <w:pPr>
        <w:pStyle w:val="Heading1"/>
        <w:spacing w:after="120" w:before="240"/>
      </w:pPr>
      <w:r>
        <w:rPr>
          <w:rFonts w:ascii="Arial" w:cs="Arial" w:eastAsia="Arial" w:hAnsi="Arial"/>
          <w:b/>
          <w:bCs/>
          <w:color w:val="1F4E78"/>
          <w:sz w:val="30"/>
          <w:szCs w:val="30"/>
        </w:rPr>
        <w:t xml:space="preserve">5. Cost of equity build</w:t>
      </w:r>
    </w:p>
    <w:p>
      <w:pPr>
        <w:spacing w:after="120" w:before="60"/>
        <w:jc w:val="both"/>
      </w:pPr>
      <w:r>
        <w:rPr>
          <w:rFonts w:ascii="Arial" w:cs="Arial" w:eastAsia="Arial" w:hAnsi="Arial"/>
        </w:rPr>
        <w:t xml:space="preserve">For banks the discount rate is the cost of equity (not weighted average cost of capital — the standard equity-and-debt-bridge mechanic does not apply to a bank's intermediated cash flows). The Capital Asset Pricing Model build uses the same risk-free rate and equity risk premium as the industrials methodology; the bank-specific input is the equity beta. Beta is selected via peer triangulation per the methodology refinement landed earlier in this engagement — measured beta carries material statistical noise (window-dependent, index-choice-sensitive, regime-shift-affected) and is not used mechanically.</w:t>
      </w:r>
    </w:p>
    <w:p>
      <w:pPr>
        <w:pStyle w:val="Heading2"/>
        <w:spacing w:after="80" w:before="200"/>
      </w:pPr>
      <w:r>
        <w:rPr>
          <w:rFonts w:ascii="Arial" w:cs="Arial" w:eastAsia="Arial" w:hAnsi="Arial"/>
          <w:b/>
          <w:bCs/>
          <w:color w:val="1F4E78"/>
          <w:sz w:val="24"/>
          <w:szCs w:val="24"/>
        </w:rPr>
        <w:t xml:space="preserve">Peer-triangulation discipline</w:t>
      </w:r>
    </w:p>
    <w:p>
      <w:pPr>
        <w:spacing w:after="120" w:before="60"/>
        <w:jc w:val="both"/>
      </w:pPr>
      <w:r>
        <w:rPr>
          <w:rFonts w:ascii="Arial" w:cs="Arial" w:eastAsia="Arial" w:hAnsi="Arial"/>
        </w:rPr>
        <w:t xml:space="preserve">Catalogue measured beta for the subject company plus directly comparable peers; identify outliers with structural reasons; reason about subject placement via business-mix logic similar to the Five Forces decomposition; select an appropriate beta within the comparable-peer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80"/>
        <w:gridCol w:w="420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Peer</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beta</w:t>
            </w:r>
          </w:p>
        </w:tc>
        <w:tc>
          <w:tcPr>
            <w:tcW w:type="dxa" w:w="2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Inclusion</w:t>
            </w:r>
          </w:p>
        </w:tc>
        <w:tc>
          <w:tcPr>
            <w:tcW w:type="dxa" w:w="4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Commonwealth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Franchise leader; deposit and digital 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National Australia Bank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peer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Business-banking leader; similar mix to Westpac</w:t>
            </w:r>
          </w:p>
        </w:tc>
      </w:tr>
      <w:t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Westpac (subject)</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0.73</w:t>
            </w:r>
          </w:p>
        </w:tc>
        <w:tc>
          <w:tcPr>
            <w:tcW w:type="dxa" w:w="25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Subject company</w:t>
            </w:r>
          </w:p>
        </w:tc>
        <w:tc>
          <w:tcPr>
            <w:tcW w:type="dxa" w:w="4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Mortgage-book scale #2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Australia and New Zealand Banking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0.57</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EXCLUDED (outlier)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international dilution; Suncorp integration period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Macquarie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0.88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Informative not comparable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archetype — markets / asset management</w:t>
            </w:r>
          </w:p>
        </w:tc>
      </w:tr>
    </w:tbl>
    <w:p>
      <w:pPr>
        <w:spacing w:after="60" w:before="60"/>
      </w:pPr>
      <w:r>
        <w:rPr>
          <w:rFonts w:ascii="Arial" w:cs="Arial" w:eastAsia="Arial" w:hAnsi="Arial"/>
          <w:i/>
          <w:iCs/>
          <w:color w:val="595959"/>
          <w:sz w:val="18"/>
          <w:szCs w:val="18"/>
        </w:rPr>
        <w:t xml:space="preserve">Comparable cluster (Commonwealth Bank / National Australia Bank / Westpac): 0.72-0.80; cluster midpoint 0.75 = selected beta for Westpac. The mortgage-book scale + recent business-rebuild place Westpac close to National Australia Bank (same retail-and-business mix) and Commonwealth Bank (similar funding profile, weaker return on equity) — no franchise-specific reason for it to be more defensive than National Australia Bank. The 2 basis point uplift from measured 0.73 is modest but methodologically explicit.</w:t>
      </w:r>
    </w:p>
    <w:p>
      <w:pPr>
        <w:pStyle w:val="Heading2"/>
        <w:spacing w:after="80" w:before="200"/>
      </w:pPr>
      <w:r>
        <w:rPr>
          <w:rFonts w:ascii="Arial" w:cs="Arial" w:eastAsia="Arial" w:hAnsi="Arial"/>
          <w:b/>
          <w:bCs/>
          <w:color w:val="1F4E78"/>
          <w:sz w:val="24"/>
          <w:szCs w:val="24"/>
        </w:rPr>
        <w:t xml:space="preserve">Cost of equity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380"/>
      </w:tblGrid>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4.30%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Australian Commonwealth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(selected via peer triangulation)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0.75</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Cluster midpoint Commonwealth Bank / National Australia Bank / Westpac</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8.05%</w:t>
            </w:r>
          </w:p>
        </w:tc>
        <w:tc>
          <w:tcPr>
            <w:tcW w:type="dxa" w:w="538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Single-cost-of-equity discipline holds the rate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dividend discount model and equity bridge</w:t>
      </w:r>
    </w:p>
    <w:p>
      <w:pPr>
        <w:spacing w:after="80" w:before="0"/>
      </w:pPr>
      <w:r>
        <w:rPr>
          <w:rFonts w:ascii="Arial" w:cs="Arial" w:eastAsia="Arial" w:hAnsi="Arial"/>
          <w:i/>
          <w:iCs/>
          <w:color w:val="595959"/>
          <w:sz w:val="20"/>
          <w:szCs w:val="20"/>
        </w:rPr>
        <w:t xml:space="preserve">Stub period plus FY27 to FY31 explicit forecast of dividends discounted at constant cost of equity 8.05%, Gordon-growth terminal on book equity, then bridge to ordinary-equity per share. AUD millions unless stated; valuation date 25 May 2026.</w:t>
      </w:r>
    </w:p>
    <w:p>
      <w:pPr>
        <w:spacing w:after="60" w:before="120"/>
      </w:pPr>
      <w:r>
        <w:rPr>
          <w:rFonts w:ascii="Arial" w:cs="Arial" w:eastAsia="Arial" w:hAnsi="Arial"/>
          <w:b/>
          <w:bCs/>
          <w:color w:val="1F4E78"/>
          <w:sz w:val="22"/>
          <w:szCs w:val="22"/>
        </w:rPr>
        <w:t xml:space="preserve">5-year build-up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Average interest-earning assets (AUDbn)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1,040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1,246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1,302</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Net interest income (period)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692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20,966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22,021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23,128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24,288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25,506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Non-interest income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1,084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3,160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3,239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3,403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3,488</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operating income</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1,776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24,126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25,260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26,448</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27,691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28,994</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operating expenses (cost-to-income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(12,353)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(12,807)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(13,283)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(13,818)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(14,406)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(Cost-to-income applied)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51.2%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49.7%</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Pre-provision profit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11,773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13,165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13,873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14,588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credit impairment charges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(1,094)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(1,654)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(1,728)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(1,805)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(Credit loss rate, basis points)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Cash earnings before tax</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10,679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11,047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11,511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12,145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12,783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Income tax expense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(3,204)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(3,314)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(3,453)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(3,835)</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Cash net profit after tax</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396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7,476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7,733</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8,058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8,501</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8,948</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Dividends (75% payout)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5,607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5,800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6,376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6,711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 (mid-period)</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dividends</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293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5,243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5,006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4,816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4,693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4,562</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explicit-period dividends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24,613m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86,685m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127,453 = Equity × (ROE - g)/(Ke - g); discount factor 0.680</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Total value of equity claim</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111,298m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77.9% of value</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Additional Tier 1 hybrid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8,522m)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ASX-listed Capital Notes; senior to ordinary equity</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non-controlling interests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350m)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small Pacific / trust subsidiaries</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treasury shares</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64m)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Book value per FY24 statement of changes in equity</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Ordinary 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102,362m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3,414.9m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EODHD-verified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29.98</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35.32 → -15.1%</w:t>
            </w:r>
          </w:p>
        </w:tc>
      </w:tr>
    </w:tbl>
    <w:p>
      <w:pPr>
        <w:spacing w:after="0" w:before="60"/>
      </w:pPr>
      <w:r>
        <w:rPr>
          <w:rFonts w:ascii="Arial" w:cs="Arial" w:eastAsia="Arial" w:hAnsi="Arial"/>
          <w:i/>
          <w:iCs/>
          <w:color w:val="595959"/>
          <w:sz w:val="16"/>
          <w:szCs w:val="16"/>
        </w:rPr>
        <w:t xml:space="preserve">Note: Tier 2 subordinated debt (AUD 33bn at 1H26) and senior wholesale debt are NOT in this bridge. These are debt-claim instruments at fair value; their funding-cost effect is embedded in net interest margin via the asset-yield-less-funding-cost decomposition.</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Loan growth p.a.</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NIM</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ROE</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30.15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35.46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demand; benign credit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29.75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cost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27.29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Institutional / markets pressure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23.11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Climate-RWA compresses terminal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20.09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Three-channel compounding</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5.55. Worst downside (Muddle Through minus Stagflation): -AUD 10.18. Ratio 1.83 to one. The asymmetry is materially less than the 4.05 ratio observed for the cyclical industrial Dyno Nobel — banks have two structural cushions cyclical industrials lack. The Common Equity Tier 1 capital-constraint mechanic flexes payout downward in stress, preserving book equity (which directly anchors terminal value via the residual-income formulation). And the oligopolistic Big Four structure caps both upside and downside in cash flows, compressing the distribution.</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Net interest margin compression under sustained competition or rate stress (supplier power × rivalry interaction). The bank archetype's moderate supplier-power rating means deposit competition directly pressures margin. Under Stagflation, elevated cash rates intensify deposit rate competition AND borrower refinancing pressure simultaneously compresses front-book mortgage margins. Net margin compression 20-40 basis points from the 1.94% anchor under Stagflation. Watchable signals: Reserve Bank of Australia cash-rate decisions and forward guidance; Big Four term-deposit rate moves (when one bank breaks discipline, margin compresses across the sector); Westpac half-yearly margin disclosures separating core margin from Treasury and Markets contribution.</w:t>
      </w:r>
    </w:p>
    <w:p>
      <w:pPr>
        <w:spacing w:after="120" w:before="60"/>
        <w:jc w:val="both"/>
      </w:pPr>
      <w:r>
        <w:rPr>
          <w:rFonts w:ascii="Arial" w:cs="Arial" w:eastAsia="Arial" w:hAnsi="Arial"/>
        </w:rPr>
        <w:t xml:space="preserve">Credit cycle stress as the primary scenario driver (not a residual). Credit losses are the bank-archetype equivalent of 'gross margin shock under stress' and sit as a primary scenario driver in the impact matrix, not a residual to be absorbed. Westpac's mortgage-heavy book places its through-cycle anchor at the low end of Big Four range (18 basis points vs 15-25 basis points), but cyclical amplification is real: peak-cycle anchor 75-80 basis points; benign-cycle anchor 5 basis points. Under Stagflation cycle stress accelerates Stage 2 / 3 migration in both housing and business book. Watchable signals: 90+ day delinquency rate trajectory; Stage 2 migration in Pillar 3 disclosures; mortgage stress and serviceability tests.</w:t>
      </w:r>
    </w:p>
    <w:p>
      <w:pPr>
        <w:spacing w:after="120" w:before="60"/>
        <w:jc w:val="both"/>
      </w:pPr>
      <w:r>
        <w:rPr>
          <w:rFonts w:ascii="Arial" w:cs="Arial" w:eastAsia="Arial" w:hAnsi="Arial"/>
        </w:rPr>
        <w:t xml:space="preserve">Common Equity Tier 1 capital constraint binding payout under stress (capital regime, methodology Section 15.5). Under benign conditions Westpac's capital position (currently 12.42%, 92 basis points above the 11.0-11.5% management target) supports capital management — buyback in progress. Under stress conditions the buffer is constrained — if cash-earnings retention required to maintain target post-stress exceeds the standard 25%, payout must drop. The canonical 'banks cut dividends in recession' pattern. Under Stagflation Persists, payout drops from 75% to 60% as Common Equity Tier 1 is rebuilt.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Westpac scenario valuation — </w:t>
    </w:r>
    <w:r>
      <w:rPr>
        <w:rFonts w:ascii="Arial" w:cs="Arial" w:eastAsia="Arial" w:hAnsi="Arial"/>
        <w:i/>
        <w:iCs/>
        <w:color w:val="595959"/>
        <w:sz w:val="18"/>
        <w:szCs w:val="18"/>
      </w:rPr>
      <w:t xml:space="preserve">17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2026-06-17T06:53:49.884Z</dcterms:created>
  <dcterms:modified xsi:type="dcterms:W3CDTF">2026-06-17T06:53:49.885Z</dcterms:modified>
</cp:coreProperties>
</file>

<file path=docProps/custom.xml><?xml version="1.0" encoding="utf-8"?>
<Properties xmlns="http://schemas.openxmlformats.org/officeDocument/2006/custom-properties" xmlns:vt="http://schemas.openxmlformats.org/officeDocument/2006/docPropsVTypes"/>
</file>