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9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capex healthy; modest margin 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-0.5%</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extension; transformation vs gas roll-off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SG&amp;A benefit; otherwise neutral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Bloc-aligned trade exposure; supply chains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Coal-customer attrition + carbon costs + capex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Input-cost pass-through fails; capex slows</w:t>
            </w:r>
          </w:p>
        </w:tc>
      </w:tr>
    </w:tbl>
    <w:p>
      <w:pPr>
        <w:spacing w:after="200" w:before="60"/>
      </w:pPr>
      <w:r>
        <w:rPr>
          <w:rFonts w:ascii="Arial" w:cs="Arial" w:eastAsia="Arial" w:hAnsi="Arial"/>
          <w:i/>
          <w:iCs/>
          <w:color w:val="595959"/>
          <w:sz w:val="18"/>
          <w:szCs w:val="18"/>
        </w:rPr>
        <w:t xml:space="preserve">Market reference (21 May 2026): AUD 3.61. Anchored to H1 FY26 results (31 Mar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essentially at market. The framework's value-add is not in disagreeing with consensus on the central case but in the explicit scenario distribution around it. Two months of methodology refinement — single-WACC discipline, world-index beta, structural overlays for the gas-contract roll-off — closed a 30% gap that earlier drafts had carried.</w:t>
      </w:r>
    </w:p>
    <w:p>
      <w:pPr>
        <w:spacing w:after="120" w:before="60"/>
        <w:jc w:val="both"/>
      </w:pPr>
      <w:r>
        <w:rPr>
          <w:rFonts w:ascii="Arial" w:cs="Arial" w:eastAsia="Arial" w:hAnsi="Arial"/>
        </w:rPr>
        <w:t xml:space="preserve">Negative asymmetry is structural, ratio 4.0×. Stagflation drops AUD 2.31/share below Muddle Through; Orderly only adds AUD 0.57 above. Intrinsic to cyclical-industrials with elevated leverage. The framework deliberately exposes this rather than collapsing to a probability-weighted point estimate.</w:t>
      </w:r>
    </w:p>
    <w:p>
      <w:pPr>
        <w:spacing w:after="120" w:before="60"/>
        <w:jc w:val="both"/>
      </w:pPr>
      <w:r>
        <w:rPr>
          <w:rFonts w:ascii="Arial" w:cs="Arial" w:eastAsia="Arial" w:hAnsi="Arial"/>
        </w:rPr>
        <w:t xml:space="preserve">The two most consequential firm-specific variables are the US gas-contract roll-off (2028–2030 window, captured as a -50/-100/-150bps cumulative structural-headwind overlay in Y3/Y4/Y5) and the supplier-power-blocks-cost-pass-through dynamic under Stagflation (-3.5pp margin compression from broken input-cost pass-through). Both are routinely missed by conventional Australian sell-side DCFs.</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Each step has explicit translation rules.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Developed-market real GDP, inflation, regional growth, gas prices and mining production growth, triangulated against published institutional scenarios for sanity.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(Porter Five Forces)</w:t>
      </w:r>
    </w:p>
    <w:p>
      <w:pPr>
        <w:spacing w:after="120" w:before="60"/>
        <w:jc w:val="both"/>
      </w:pPr>
      <w:r>
        <w:rPr>
          <w:rFonts w:ascii="Arial" w:cs="Arial" w:eastAsia="Arial" w:hAnsi="Arial"/>
        </w:rPr>
        <w:t xml:space="preserve">Industrial explosives at the industry level: mature oligopoly; top three (Orica, Dyno Nobel, MAXAM) hold ~65% of global market. Customer demand structurally tied to mineral-extraction volumes — open-cut mining of iron ore, coal, copper, gold, base metals, and transition minerals. Demand cyclicality follows mining capex cycles rather than commodity prices directly; capex decisions lag prices by 12–24 months.</w:t>
      </w:r>
    </w:p>
    <w:p>
      <w:pPr>
        <w:spacing w:after="120" w:before="60"/>
        <w:jc w:val="both"/>
      </w:pPr>
      <w:r>
        <w:rPr>
          <w:rFonts w:ascii="Arial" w:cs="Arial" w:eastAsia="Arial" w:hAnsi="Arial"/>
        </w:rPr>
        <w:t xml:space="preserve">Industry-level Five Forces ratings drive the impact-matrix translation rules for how each scenario flows into industry economics. The bindings:</w:t>
      </w:r>
    </w:p>
    <w:p>
      <w:pPr>
        <w:pStyle w:val="ListParagraph"/>
        <w:numPr>
          <w:ilvl w:val="0"/>
          <w:numId w:val="2"/>
        </w:numPr>
        <w:spacing w:after="60" w:before="30"/>
      </w:pPr>
      <w:r>
        <w:rPr>
          <w:rFonts w:ascii="Arial" w:cs="Arial" w:eastAsia="Arial" w:hAnsi="Arial"/>
          <w:sz w:val="22"/>
          <w:szCs w:val="22"/>
        </w:rPr>
        <w:t xml:space="preserve">Buyer power: HIGH (binding). Mining-customer concentration; backward-integration credibility; bulk-explosive price sensitivity (ANFO product line).</w:t>
      </w:r>
    </w:p>
    <w:p>
      <w:pPr>
        <w:pStyle w:val="ListParagraph"/>
        <w:numPr>
          <w:ilvl w:val="0"/>
          <w:numId w:val="2"/>
        </w:numPr>
        <w:spacing w:after="60" w:before="30"/>
      </w:pPr>
      <w:r>
        <w:rPr>
          <w:rFonts w:ascii="Arial" w:cs="Arial" w:eastAsia="Arial" w:hAnsi="Arial"/>
          <w:sz w:val="22"/>
          <w:szCs w:val="22"/>
        </w:rPr>
        <w:t xml:space="preserve">Supplier power: MODERATE. Ammonia and gas regionalised; long-term contracts shield producers; spot exposure bears it. Interacts with buyer power on pass-through.</w:t>
      </w:r>
    </w:p>
    <w:p>
      <w:pPr>
        <w:pStyle w:val="ListParagraph"/>
        <w:numPr>
          <w:ilvl w:val="0"/>
          <w:numId w:val="2"/>
        </w:numPr>
        <w:spacing w:after="60" w:before="30"/>
      </w:pPr>
      <w:r>
        <w:rPr>
          <w:rFonts w:ascii="Arial" w:cs="Arial" w:eastAsia="Arial" w:hAnsi="Arial"/>
          <w:sz w:val="22"/>
          <w:szCs w:val="22"/>
        </w:rPr>
        <w:t xml:space="preserve">Threat of new entrants: LOW. Regulatory licensing; capex billions of dollars; on-site infrastructure switching costs.</w:t>
      </w:r>
    </w:p>
    <w:p>
      <w:pPr>
        <w:pStyle w:val="ListParagraph"/>
        <w:numPr>
          <w:ilvl w:val="0"/>
          <w:numId w:val="2"/>
        </w:numPr>
        <w:spacing w:after="60" w:before="30"/>
      </w:pPr>
      <w:r>
        <w:rPr>
          <w:rFonts w:ascii="Arial" w:cs="Arial" w:eastAsia="Arial" w:hAnsi="Arial"/>
          <w:sz w:val="22"/>
          <w:szCs w:val="22"/>
        </w:rPr>
        <w:t xml:space="preserve">Threat of substitutes: LOW. Mechanical excavation uneconomic at scale; intra-industry tech substitution is rivalry not substitution.</w:t>
      </w:r>
    </w:p>
    <w:p>
      <w:pPr>
        <w:pStyle w:val="ListParagraph"/>
        <w:numPr>
          <w:ilvl w:val="0"/>
          <w:numId w:val="2"/>
        </w:numPr>
        <w:spacing w:after="60" w:before="30"/>
      </w:pPr>
      <w:r>
        <w:rPr>
          <w:rFonts w:ascii="Arial" w:cs="Arial" w:eastAsia="Arial" w:hAnsi="Arial"/>
          <w:sz w:val="22"/>
          <w:szCs w:val="22"/>
        </w:rPr>
        <w:t xml:space="preserve">Rivalry: MODERATE. Concentrated; long-term contracts dampen day-to-day competition; periodic contract-renewal events drive intensity.</w:t>
      </w:r>
    </w:p>
    <w:p>
      <w:pPr>
        <w:spacing w:after="120" w:before="60"/>
        <w:jc w:val="both"/>
      </w:pPr>
      <w:r>
        <w:rPr>
          <w:rFonts w:ascii="Arial" w:cs="Arial" w:eastAsia="Arial" w:hAnsi="Arial"/>
        </w:rPr>
        <w:t xml:space="preserve">The buyer × supplier interaction is the binding constraint: under sustained input-cost inflation, mining-customer push-back blocks full pass-through. This is the mechanism that compresses margin in Stagflation and Disorderly Climate.</w:t>
      </w:r>
    </w:p>
    <w:p>
      <w:pPr>
        <w:pStyle w:val="Heading2"/>
        <w:spacing w:after="80" w:before="200"/>
      </w:pPr>
      <w:r>
        <w:rPr>
          <w:rFonts w:ascii="Arial" w:cs="Arial" w:eastAsia="Arial" w:hAnsi="Arial"/>
          <w:b/>
          <w:bCs/>
          <w:color w:val="1F4E78"/>
          <w:sz w:val="24"/>
          <w:szCs w:val="24"/>
        </w:rPr>
        <w:t xml:space="preserve">Step 3 — Company position</w:t>
      </w:r>
    </w:p>
    <w:p>
      <w:pPr>
        <w:spacing w:after="120" w:before="60"/>
        <w:jc w:val="both"/>
      </w:pPr>
      <w:r>
        <w:rPr>
          <w:rFonts w:ascii="Arial" w:cs="Arial" w:eastAsia="Arial" w:hAnsi="Arial"/>
        </w:rPr>
        <w:t xml:space="preserve">Step 3 is organised force-by-force: for each Five Forces element, the framework specifies the industry rating, how Dyno Nobel differs from the industry average, the specific mechanism, the quantified delta, and where the effect is captured in the model (preventing double-counting with structural overlays). Section 3 sets this out in detail.</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Each scenario is a structured description of the macro / geopolitical / climate / technology environment over the explicit forecast horizon. The descriptions below are summary; full narratives sit behind the framework.</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GDP growth ~2.0% with inflation gradually normalising toward 2.5%. Mining-customer capex cycle continues at current pace. No commodity boom or bust; geopolitics managed without escalation; climate transition gradual but costly. The status-quo extension. Maps to: IMF World Economic Outlook baseline (October 2025), OECD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Developed-market real GDP 2.5%, inflation contained at 2.0%, mining real growth 4.0%, gas prices easing. Rates lower; equity risk premium contained. Mining demand strong; transition-mineral capex supportive. Maps to: OECD upside alternative, IEA Announced Pledges Scenario (APS), NGFS 'Below 2°C'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risk-free rate); risk-off (+75bps equity risk premium). Maps to: IMF Adverse Scenario (Article IV stress-test variant), Bank of England stagflation stress test, OECD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Developed-market real GDP 1.0%, inflation 3.5%, mining real growth 1.5%, gas prices 4%. Supply chains fracture; price-mix and volume both compressed; cost pressure with partial pass-through. Country risk premium widens. Maps to: IMF working-paper 'Geoeconomic Fragmentation' scenarios, OECD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mining mix shifts (thermal coal down, transition metals up); gas-led cost pressure (+6% gas). Margin -3pp; +3pp capex for decarbonisation; terminal growth -75bps. Maps to: NGFS 'Disorderly Transition' or 'Delayed Transition' scenarios, IEA Stated Policies Scenario (STEPS) underperform variants.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total-factor-productivity gains. Modest labour-cost benefit (-0.5pp SG&amp;A through narrow labour substitution in white-collar functions) but disappointing macro outcomes (1.7% real GDP). Mining-services industries less exposed than tech-heavy sectors. Less directly mapped to institutional scenarios; closest analogue is the IMF World Economic Outlook 'lower productivity'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Industry growth and Dyno Nobel position</w:t>
      </w:r>
    </w:p>
    <w:p>
      <w:pPr>
        <w:spacing w:after="120" w:before="60"/>
        <w:jc w:val="both"/>
      </w:pPr>
      <w:r>
        <w:rPr>
          <w:rFonts w:ascii="Arial" w:cs="Arial" w:eastAsia="Arial" w:hAnsi="Arial"/>
        </w:rPr>
        <w:t xml:space="preserve">Step 2 of the framework translates each world scenario into an industry-archetype growth rate for industrial explosives, using the archetype's published sensitivity to macro inputs (mining production growth, commodity-price flow-through, regulatory friction). Step 3 then overlays Dyno Nobel's company-specific position relative to the industry via the Five Forces. The table below shows Step 2 per scenario; the narrative below shows Step 3.</w:t>
      </w:r>
    </w:p>
    <w:p>
      <w:pPr>
        <w:pStyle w:val="Heading2"/>
        <w:spacing w:after="80" w:before="200"/>
      </w:pPr>
      <w:r>
        <w:rPr>
          <w:rFonts w:ascii="Arial" w:cs="Arial" w:eastAsia="Arial" w:hAnsi="Arial"/>
          <w:b/>
          <w:bCs/>
          <w:color w:val="1F4E78"/>
          <w:sz w:val="24"/>
          <w:szCs w:val="24"/>
        </w:rPr>
        <w:t xml:space="preserve">Step 2 — industry growth per scenario (industrial explosives)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00"/>
        <w:gridCol w:w="358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World-scenario inputs that bind</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growth p.a.</w:t>
            </w:r>
          </w:p>
        </w:tc>
        <w:tc>
          <w:tcPr>
            <w:tcW w:type="dxa" w:w="3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real growth ~2.5%; gas $4.5; Developed-market GDP 2.0%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~6.45%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Mining-capex cycle holds; normal pricing pass-through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real growth 4.0%; gas easing; capex healthy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demand; technology product-mix premium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demand steady; macro 1.7% GDP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Muted improvement; mining-services less AI-exposed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real growth 1.5%; bloc-trade friction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softens; price-mix compresses under cross-bloc friction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mix shifts (thermal down, transition up); carbon cost flow-through; gas +6%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~7.85%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nominal pass-through (carbon, gas); transition-mineral demand partial offset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real growth 0.5%; inflation 4.5%; gas +5%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Volumes track commodity-price-supported mining; partial price pass-through</w:t>
            </w:r>
          </w:p>
        </w:tc>
      </w:tr>
    </w:tbl>
    <w:p>
      <w:pPr>
        <w:spacing w:after="120" w:before="60"/>
      </w:pPr>
      <w:r>
        <w:rPr>
          <w:rFonts w:ascii="Arial" w:cs="Arial" w:eastAsia="Arial" w:hAnsi="Arial"/>
          <w:i/>
          <w:iCs/>
          <w:color w:val="595959"/>
          <w:sz w:val="18"/>
          <w:szCs w:val="18"/>
        </w:rPr>
        <w:t xml:space="preserve">Industry growth figures are the result of the impact matrix translation rules applied to each world scenario's macro baseline. The same -25bps net Five Forces overlay (Step 3 below) is applied to all six scenarios; Dyno Nobel revenue growth equals industry growth minus 25bps in each case.</w:t>
      </w:r>
    </w:p>
    <w:p>
      <w:pPr>
        <w:pStyle w:val="Heading2"/>
        <w:spacing w:after="80" w:before="200"/>
      </w:pPr>
      <w:r>
        <w:rPr>
          <w:rFonts w:ascii="Arial" w:cs="Arial" w:eastAsia="Arial" w:hAnsi="Arial"/>
          <w:b/>
          <w:bCs/>
          <w:color w:val="1F4E78"/>
          <w:sz w:val="24"/>
          <w:szCs w:val="24"/>
        </w:rPr>
        <w:t xml:space="preserve">Step 3 — Dyno Nobel company position via the Five Forces</w:t>
      </w:r>
    </w:p>
    <w:p>
      <w:pPr>
        <w:spacing w:after="120" w:before="60"/>
        <w:jc w:val="both"/>
      </w:pPr>
      <w:r>
        <w:rPr>
          <w:rFonts w:ascii="Arial" w:cs="Arial" w:eastAsia="Arial" w:hAnsi="Arial"/>
        </w:rPr>
        <w:t xml:space="preserve">Each Five Forces element below: industry archetype's rating, how Dyno Nobel differs from the industry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HIGH (binding). Dyno Nobel position: at industry average. Customer mix is the same as Orica's — mining majors (BHP, Rio Tinto, Fortescue in Australia; major US miners in North America), top five ~45% of revenue, top ten ~65%. No specific moat or weakness relative to the industry leader.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Dyno Nobel position: LOWER (favourable). Long-term US gas supply contracts insulate ~70% of US gas exposure through 2028. Below-market gas pricing relative to spot-exposed competitors. Concentrated roll-off in the 2028–2030 window. Impact: +200bps margin currently, eroding to 0 by FY31. Captured in the model via the gas-contract roll-off overlay (-50 / -100 / -150bps cumulative Y3 / Y4 / Y5).</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Dyno Nobel position: LOWER (favourable in emerging markets). In Latin America and Africa, Dyno Nobel itself is the new entrant via its own emerging-market explosives business. Sub-scale operations growing from a low base against underdeveloped Tier 2/3 local incumbents — conditions reversed from the mature-market norm. Impact: +15bps growth, time-limited to 3–5 years.</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Dyno Nobel position: at industry average. Mechanical excavation is uneconomic at scale for hard-rock mining; intra-industry technology substitution (electronic detonators displacing non-electronic) affects all players similarly. No company-specific substitution exposure.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Dyno Nobel position: HIGHER (unfavourable). Dyno Nobel is the #2 global player against Orica's #1. Orica's scale advantage (~30% larger by revenue), technology lead in electronic detonators (Webgen, BlastIQ blast-design platform), and broader geographic diversification translate to ~30bps faster revenue growth at the same exposure in mature markets. Impact: -30bps growth.</w:t>
      </w:r>
    </w:p>
    <w:p>
      <w:pPr>
        <w:spacing w:after="120" w:before="60"/>
        <w:jc w:val="both"/>
      </w:pPr>
      <w:r>
        <w:rPr>
          <w:rFonts w:ascii="Arial" w:cs="Arial" w:eastAsia="Arial" w:hAnsi="Arial"/>
        </w:rPr>
        <w:t xml:space="preserve">Within rivalry, a product-mix sub-component: Dyno Nobel is more weighted to bulk ANFO — ammonium nitrate / fuel oil — at ~50% of revenue and less exposed to higher-growth electronic detonators (~18%) and software / services. The mix-shift advantage accrues to Orica more than to Dyno Nobel. Impact: -10bps growth.</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to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Competitive position vs leader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mix vs industry average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Emerging-market explosives pipeline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entrants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supplier / substitutes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growth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-25bps</w:t>
            </w:r>
          </w:p>
        </w:tc>
      </w:tr>
    </w:tbl>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ListParagraph"/>
        <w:numPr>
          <w:ilvl w:val="0"/>
          <w:numId w:val="2"/>
        </w:numPr>
        <w:spacing w:after="60" w:before="30"/>
      </w:pPr>
      <w:r>
        <w:rPr>
          <w:rFonts w:ascii="Arial" w:cs="Arial" w:eastAsia="Arial" w:hAnsi="Arial"/>
          <w:sz w:val="22"/>
          <w:szCs w:val="22"/>
        </w:rPr>
        <w:t xml:space="preserve">Base year (FY26 continuing operations): revenue AUD 3,400m; EBIT margin 14.1% (= AUD 480m FY26 EBIT guidance midpoint / AUD 3,400m revenue; corporate costs already deducted in the segment guidance per investor presentation slides 27 and 28).</w:t>
      </w:r>
    </w:p>
    <w:p>
      <w:pPr>
        <w:pStyle w:val="ListParagraph"/>
        <w:numPr>
          <w:ilvl w:val="0"/>
          <w:numId w:val="2"/>
        </w:numPr>
        <w:spacing w:after="60" w:before="30"/>
      </w:pPr>
      <w:r>
        <w:rPr>
          <w:rFonts w:ascii="Arial" w:cs="Arial" w:eastAsia="Arial" w:hAnsi="Arial"/>
          <w:sz w:val="22"/>
          <w:szCs w:val="22"/>
        </w:rPr>
        <w:t xml:space="preserve">Transformation margin glide: +60 / +180 / +200 bps Y1-Y3 cumulative. Y1 reconciles to the FY26 exit run rate of AUD 495-525m disclosed at the half-year; Y2 aligns to the AUD 600m FY28 ambition; Y3 onward flat.</w:t>
      </w:r>
    </w:p>
    <w:p>
      <w:pPr>
        <w:pStyle w:val="ListParagraph"/>
        <w:numPr>
          <w:ilvl w:val="0"/>
          <w:numId w:val="2"/>
        </w:numPr>
        <w:spacing w:after="60" w:before="30"/>
      </w:pPr>
      <w:r>
        <w:rPr>
          <w:rFonts w:ascii="Arial" w:cs="Arial" w:eastAsia="Arial" w:hAnsi="Arial"/>
          <w:sz w:val="22"/>
          <w:szCs w:val="22"/>
        </w:rPr>
        <w:t xml:space="preserve">Gas-contract roll-off overlay: -50 / -100 / -150 bps cumulative Y3 / Y4 / Y5. Captures the 2028-2030 contract erosion explicitly rather than deferring to terminal state.</w:t>
      </w:r>
    </w:p>
    <w:p>
      <w:pPr>
        <w:pStyle w:val="ListParagraph"/>
        <w:numPr>
          <w:ilvl w:val="0"/>
          <w:numId w:val="2"/>
        </w:numPr>
        <w:spacing w:after="60" w:before="30"/>
      </w:pPr>
      <w:r>
        <w:rPr>
          <w:rFonts w:ascii="Arial" w:cs="Arial" w:eastAsia="Arial" w:hAnsi="Arial"/>
          <w:sz w:val="22"/>
          <w:szCs w:val="22"/>
        </w:rPr>
        <w:t xml:space="preserve">Tax glide: effective 22.5% (Y1, per FY26 guidance midpoint) linearly to blended statutory 27.5% (Y5 / terminal). Blended statutory computed from jurisdictional weights × statutory rates (US 26% at 55% revenue mix, Australia 30% at 35%, other 27% at 10%). Single-rate consistency: the blended statutory rate is used for terminal operating tax, the debt-tax-shield in WACC, and Hamada re-levering of beta.</w:t>
      </w:r>
    </w:p>
    <w:p>
      <w:pPr>
        <w:pStyle w:val="ListParagraph"/>
        <w:numPr>
          <w:ilvl w:val="0"/>
          <w:numId w:val="2"/>
        </w:numPr>
        <w:spacing w:after="60" w:before="30"/>
      </w:pPr>
      <w:r>
        <w:rPr>
          <w:rFonts w:ascii="Arial" w:cs="Arial" w:eastAsia="Arial" w:hAnsi="Arial"/>
          <w:sz w:val="22"/>
          <w:szCs w:val="22"/>
        </w:rPr>
        <w:t xml:space="preserve">Shares outstanding: 1,770m at 31 March 2026 (period-end H1 FY26). Pair-anchored to net debt; no buyback projection (on-market buyback at fair value is value-neutral).</w:t>
      </w:r>
    </w:p>
    <w:p>
      <w:pPr>
        <w:pStyle w:val="ListParagraph"/>
        <w:numPr>
          <w:ilvl w:val="0"/>
          <w:numId w:val="2"/>
        </w:numPr>
        <w:spacing w:after="60" w:before="30"/>
      </w:pPr>
      <w:r>
        <w:rPr>
          <w:rFonts w:ascii="Arial" w:cs="Arial" w:eastAsia="Arial" w:hAnsi="Arial"/>
          <w:sz w:val="22"/>
          <w:szCs w:val="22"/>
        </w:rPr>
        <w:t xml:space="preserve">Equity bridge adjustments per H1 results slide 29: dividend AUD 81m + Phosphate Hill asset retirement obligation net AUD 44m + inventory commitment AUD 80m + Geelong remediation AUD 35m + Gibson Island remediation AUD 97m + transaction costs AUD 11m + restructure execution AUD 12m. Less probability-weighted receivables: Perdaman AUD 73m (50% probability), IPF Distribution AUD 106m (85% probability), Phosphate Hill contingent AUD 30m (30% probability).</w:t>
      </w:r>
    </w:p>
    <w:p>
      <w:pPr>
        <w:pStyle w:val="Heading1"/>
        <w:spacing w:after="120" w:before="240"/>
      </w:pPr>
      <w:r>
        <w:rPr>
          <w:rFonts w:ascii="Arial" w:cs="Arial" w:eastAsia="Arial" w:hAnsi="Arial"/>
          <w:b/>
          <w:bCs/>
          <w:color w:val="1F4E78"/>
          <w:sz w:val="30"/>
          <w:szCs w:val="30"/>
        </w:rPr>
        <w:t xml:space="preserve">5. Cost of capital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convention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on-the-run Commonwealth of Australia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(re-levered)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World-index basis (AUD-MSCI World), Hamada re-levered. ASX200-derived would be ~1.05-1.10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Risk-free + beta ×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of debt, pre-tax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BBB spread ~170bps (current rating BBB / Baa2)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 rate (consistency)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Blended statutory; same rate as terminal operating tax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debt, after-tax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Pre-tax × (1 − tax rate)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weight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6,390m equity / AUD 7,651m total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Debt weight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1,261m net debt / AUD 7,651m total</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Applied WACC</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8.28%</w:t>
            </w:r>
          </w:p>
        </w:tc>
        <w:tc>
          <w:tcPr>
            <w:tcW w:type="dxa" w:w="46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Constant across all six scenarios — single-WACC discipline</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Single-WACC discipline holds WACC constant across scenarios.</w:t>
      </w:r>
    </w:p>
    <w:p>
      <w:r>
        <w:br w:type="page"/>
      </w:r>
    </w:p>
    <w:p>
      <w:pPr>
        <w:pStyle w:val="Heading1"/>
        <w:spacing w:after="120" w:before="240"/>
      </w:pPr>
      <w:r>
        <w:rPr>
          <w:rFonts w:ascii="Arial" w:cs="Arial" w:eastAsia="Arial" w:hAnsi="Arial"/>
          <w:b/>
          <w:bCs/>
          <w:color w:val="1F4E78"/>
          <w:sz w:val="30"/>
          <w:szCs w:val="30"/>
        </w:rPr>
        <w:t xml:space="preserve">6. Muddle Through valuation — DCF and equity bridge</w:t>
      </w:r>
    </w:p>
    <w:p>
      <w:pPr>
        <w:spacing w:after="80" w:before="0"/>
      </w:pPr>
      <w:r>
        <w:rPr>
          <w:rFonts w:ascii="Arial" w:cs="Arial" w:eastAsia="Arial" w:hAnsi="Arial"/>
          <w:i/>
          <w:iCs/>
          <w:color w:val="595959"/>
          <w:sz w:val="20"/>
          <w:szCs w:val="20"/>
        </w:rPr>
        <w:t xml:space="preserve">Stub period plus FY27 to FY31 explicit forecast discounted at constant WACC of 8.28%, Gordon-growth terminal, then bridge to equity value. AUD millions unless stated; valuation date 25 May 2026.</w:t>
      </w:r>
    </w:p>
    <w:p>
      <w:pPr>
        <w:spacing w:after="60" w:before="120"/>
      </w:pPr>
      <w:r>
        <w:rPr>
          <w:rFonts w:ascii="Arial" w:cs="Arial" w:eastAsia="Arial" w:hAnsi="Arial"/>
          <w:b/>
          <w:bCs/>
          <w:color w:val="1F4E78"/>
          <w:sz w:val="22"/>
          <w:szCs w:val="22"/>
        </w:rPr>
        <w:t xml:space="preserve">5-year DCF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Industry growth p.a. (from section 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6.45%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company-position offset (5 Forces)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-25bps</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Dyno Nobel revenue growth</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6.20%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6.20%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6.20%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6.20%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6.20%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6.20%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Revenue (AUD m)</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4,067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4,318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4,583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Base EBIT margin (from section 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transformation glide (cumulative)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+180bps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+200bps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+200bps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+200bps</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gas-contract roll-off (cumulative)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-100bps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-150bps</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EBIT margin</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14.1%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14.7%</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15.9%</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15.6%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15.1%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14.6%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EBIT (AUD m)</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168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652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669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Tax rate (glide to 27.5%)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23.75%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27.5%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NOPAT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476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D&amp;A (7.3% of revenue)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87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capex (7.0% of revenue)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(321)</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Unlevered free cash flow</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122</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438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494</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 (mid-period)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cash flow</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378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339</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of explicit cash flow (Stub + Y1 to Y5)</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1,951m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5,786m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Terminal value 8,854 = 511 / (8.28%-2.5%); discount factor 0.654</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Enterprise value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7,737m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74.8% of EV</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net debt walked to valuation date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1,224m)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Anchor 1,261 less Period A operating cash flow</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equity-bridge adjustments (net)</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152m)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 + retirement obligation + remediation less contingents</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6,361m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1,770m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H1 FY26 anchor; no buyback projected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3.59</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3.61 -&gt; -0.5%</w:t>
            </w:r>
          </w:p>
        </w:tc>
      </w:tr>
    </w:tbl>
    <w:p>
      <w:pPr>
        <w:spacing w:after="0" w:before="60"/>
      </w:pPr>
      <w:r>
        <w:rPr>
          <w:rFonts w:ascii="Arial" w:cs="Arial" w:eastAsia="Arial" w:hAnsi="Arial"/>
          <w:i/>
          <w:iCs/>
          <w:color w:val="595959"/>
          <w:sz w:val="16"/>
          <w:szCs w:val="16"/>
        </w:rPr>
        <w:t xml:space="preserve">Equity-bridge adjustments (net AUD 152m): </w:t>
      </w:r>
      <w:r>
        <w:rPr>
          <w:rFonts w:ascii="Arial" w:cs="Arial" w:eastAsia="Arial" w:hAnsi="Arial"/>
          <w:i/>
          <w:iCs/>
          <w:color w:val="595959"/>
          <w:sz w:val="16"/>
          <w:szCs w:val="16"/>
        </w:rPr>
        <w:t xml:space="preserve">+ declared unpaid dividend 81; + Phosphate Hill asset retirement obligation net 44; + Phosphate Hill inventory commitment 80; + restructure execution cash 12; + Geelong remediation 35; + Gibson Island remediation 97; + transaction costs 11; less Perdaman contingent 73; less IPF Distribution deferred 106; less Phosphate Hill contingent 30 (prob-weighted where contingent; per H1 FY26 results slide 29).</w:t>
      </w:r>
    </w:p>
    <w:p>
      <w:r>
        <w:br w:type="page"/>
      </w:r>
    </w:p>
    <w:p>
      <w:pPr>
        <w:pStyle w:val="Heading1"/>
        <w:spacing w:after="120" w:before="240"/>
      </w:pPr>
      <w:r>
        <w:rPr>
          <w:rFonts w:ascii="Arial" w:cs="Arial" w:eastAsia="Arial" w:hAnsi="Arial"/>
          <w:b/>
          <w:bCs/>
          <w:color w:val="1F4E78"/>
          <w:sz w:val="30"/>
          <w:szCs w:val="30"/>
        </w:rPr>
        <w:t xml:space="preserve">7. Per-scenario impact and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growth</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g</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mining demand; rates supportive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productivity SG&amp;A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trade frictions; margin compression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flow-through; capex demands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Pass-through fails; capex slows</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minus Muddle Through): +AUD 0.57. Worst downside (Muddle Through minus Stagflation): −AUD 2.31. Ratio 4.05×. The asymmetry is structural to Dyno Nobel's profile — cyclical industrial, elevated leverage, supplier-power-blocks-pass-through dynamic, coal-customer terminal-state exposure — and conventional analyses systematically understate it because they use scenario-conditional WACCs that smooth the cash-flow asymmetry, assume input costs pass through, and extrapolate static terminal ROIC.</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Input-cost pass-through under sustained inflation (supplier × buyer interaction). The industry archetype's moderate supplier-power rating means mining-customer push-back blocks full pass-through. The binding constraint under Stagflation; also active under Disorderly Climate via carbon-cost flow-through. Watchable signals: Australian east-coast gas prices (no Dyno Nobel contract protection); US natural gas curve through 2028-2030 (where contracts roll off); mining-customer contract reset patterns.</w:t>
      </w:r>
    </w:p>
    <w:p>
      <w:pPr>
        <w:spacing w:after="120" w:before="60"/>
        <w:jc w:val="both"/>
      </w:pPr>
      <w:r>
        <w:rPr>
          <w:rFonts w:ascii="Arial" w:cs="Arial" w:eastAsia="Arial" w:hAnsi="Arial"/>
        </w:rPr>
        <w:t xml:space="preserve">Geographic / bloc-alignment exposure (new entrants / regulatory). 55% US revenue + 35% Australia: both sit in the US-aligned bloc. Under Fragmentation, the US-aligned bloc is the slower-growing one, and cross-bloc ammonia and ammonium-nitrate flows are regulatorily sensitive. Watchable signals: Australian bloc-alignment trajectory; cross-bloc trade restrictions on ammonium nitrate; mining-customer export-market dynamics.</w:t>
      </w:r>
    </w:p>
    <w:p>
      <w:pPr>
        <w:spacing w:after="120" w:before="60"/>
        <w:jc w:val="both"/>
      </w:pPr>
      <w:r>
        <w:rPr>
          <w:rFonts w:ascii="Arial" w:cs="Arial" w:eastAsia="Arial" w:hAnsi="Arial"/>
        </w:rPr>
        <w:t xml:space="preserve">Terminal-state coal-customer attrition (buyer power, long horizon). Coal-mining customers represent ~35% of the customer mix (~20% thermal, ~15-20% metallurgical). Under Disorderly Climate, the customer base shifts faster than a standard fade period assumes; captured as a -75bps terminal-growth delta plus a defended-exception terminal ROIC. Watchable signals: thermal coal customer capex announcements; met coal demand trajectory (green-steel substitution timing); transition-mineral mining capex acceleration; carbon-pricing trajectory in Australia and US.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Dyno Nobel scenario valuation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2026-06-12T00:04:28.555Z</dcterms:created>
  <dcterms:modified xsi:type="dcterms:W3CDTF">2026-06-12T00:04:28.555Z</dcterms:modified>
</cp:coreProperties>
</file>

<file path=docProps/custom.xml><?xml version="1.0" encoding="utf-8"?>
<Properties xmlns="http://schemas.openxmlformats.org/officeDocument/2006/custom-properties" xmlns:vt="http://schemas.openxmlformats.org/officeDocument/2006/docPropsVTypes"/>
</file>