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color w:val="000000"/>
          <w:sz w:val="28"/>
        </w:rPr>
      </w:pPr>
      <w:r>
        <w:rPr>
          <w:rFonts w:hint="eastAsia" w:ascii="宋体" w:hAnsi="宋体" w:eastAsia="宋体"/>
          <w:b/>
          <w:bCs/>
          <w:color w:val="000000"/>
          <w:sz w:val="28"/>
        </w:rPr>
        <w:t>二、企业研究开发项目情况表（近</w:t>
      </w:r>
      <w:r>
        <w:rPr>
          <w:rFonts w:ascii="宋体" w:hAnsi="宋体" w:eastAsia="宋体"/>
          <w:b/>
          <w:bCs/>
          <w:color w:val="000000"/>
          <w:sz w:val="28"/>
        </w:rPr>
        <w:t>3</w:t>
      </w:r>
      <w:r>
        <w:rPr>
          <w:rFonts w:hint="eastAsia" w:ascii="宋体" w:hAnsi="宋体" w:eastAsia="宋体"/>
          <w:b/>
          <w:bCs/>
          <w:color w:val="000000"/>
          <w:sz w:val="28"/>
        </w:rPr>
        <w:t>年执行的项目，按单一项目填报）</w:t>
      </w:r>
    </w:p>
    <w:p>
      <w:pPr>
        <w:snapToGrid w:val="0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项目编号：</w:t>
      </w:r>
      <w:r>
        <w:rPr>
          <w:rFonts w:ascii="宋体" w:hAnsi="宋体" w:eastAsia="宋体"/>
          <w:color w:val="000000"/>
          <w:sz w:val="24"/>
          <w:szCs w:val="24"/>
        </w:rPr>
        <w:t>RD</w:t>
      </w:r>
      <w:r>
        <w:rPr>
          <w:rFonts w:hint="eastAsia" w:ascii="宋体" w:hAnsi="宋体" w:eastAsia="宋体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2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441"/>
        <w:gridCol w:w="1440"/>
        <w:gridCol w:w="1080"/>
        <w:gridCol w:w="1080"/>
        <w:gridCol w:w="1080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367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961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智能终端RIL软件中间件的技术研究项目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起止时间</w:t>
            </w:r>
          </w:p>
        </w:tc>
        <w:tc>
          <w:tcPr>
            <w:tcW w:w="348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2015-06-01~2015-12-01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1367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技术领域</w:t>
            </w:r>
          </w:p>
        </w:tc>
        <w:tc>
          <w:tcPr>
            <w:tcW w:w="288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电子信息技术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pacing w:val="-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6"/>
                <w:sz w:val="24"/>
                <w:szCs w:val="24"/>
              </w:rPr>
              <w:t>本项目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6"/>
                <w:sz w:val="24"/>
                <w:szCs w:val="24"/>
              </w:rPr>
              <w:t>研发人员数</w:t>
            </w:r>
          </w:p>
        </w:tc>
        <w:tc>
          <w:tcPr>
            <w:tcW w:w="348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</w:trPr>
        <w:tc>
          <w:tcPr>
            <w:tcW w:w="1367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pacing w:val="-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技术来源</w:t>
            </w:r>
          </w:p>
        </w:tc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企业自有技术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3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研发经费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总预算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（万元）</w:t>
            </w:r>
          </w:p>
        </w:tc>
        <w:tc>
          <w:tcPr>
            <w:tcW w:w="1441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研发经费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pacing w:val="-2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20"/>
                <w:sz w:val="24"/>
                <w:szCs w:val="24"/>
              </w:rPr>
              <w:t>近</w:t>
            </w:r>
            <w:r>
              <w:rPr>
                <w:rFonts w:ascii="宋体" w:hAnsi="宋体" w:eastAsia="宋体"/>
                <w:color w:val="000000"/>
                <w:spacing w:val="-2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color w:val="000000"/>
                <w:spacing w:val="-20"/>
                <w:sz w:val="24"/>
                <w:szCs w:val="24"/>
              </w:rPr>
              <w:t>年总支出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（万元）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</w:tcPr>
          <w:p>
            <w:pPr>
              <w:spacing w:beforeLines="5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其中：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2009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年</w:t>
            </w:r>
          </w:p>
        </w:tc>
        <w:tc>
          <w:tcPr>
            <w:tcW w:w="2401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1367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ind w:firstLine="660" w:firstLineChars="300"/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  <w:t>2010</w:t>
            </w:r>
            <w:r>
              <w:rPr>
                <w:rFonts w:hint="eastAsia" w:ascii="宋体" w:hAnsi="宋体" w:eastAsia="宋体"/>
                <w:color w:val="000000"/>
                <w:spacing w:val="-10"/>
                <w:sz w:val="24"/>
                <w:szCs w:val="24"/>
              </w:rPr>
              <w:t>年</w:t>
            </w:r>
          </w:p>
        </w:tc>
        <w:tc>
          <w:tcPr>
            <w:tcW w:w="2401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367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ind w:firstLine="660" w:firstLineChars="300"/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  <w:t>2011</w:t>
            </w:r>
            <w:r>
              <w:rPr>
                <w:rFonts w:hint="eastAsia" w:ascii="宋体" w:hAnsi="宋体" w:eastAsia="宋体"/>
                <w:color w:val="000000"/>
                <w:spacing w:val="-10"/>
                <w:sz w:val="24"/>
                <w:szCs w:val="24"/>
              </w:rPr>
              <w:t>年</w:t>
            </w:r>
          </w:p>
        </w:tc>
        <w:tc>
          <w:tcPr>
            <w:tcW w:w="2401" w:type="dxa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0" w:hRule="atLeast"/>
        </w:trPr>
        <w:tc>
          <w:tcPr>
            <w:tcW w:w="1367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立项目的及组织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实施方式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（限</w:t>
            </w:r>
            <w:r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  <w:t>400</w:t>
            </w: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字）</w:t>
            </w:r>
          </w:p>
        </w:tc>
        <w:tc>
          <w:tcPr>
            <w:tcW w:w="8522" w:type="dxa"/>
            <w:gridSpan w:val="6"/>
            <w:vAlign w:val="center"/>
          </w:tcPr>
          <w:p>
            <w:pPr>
              <w:rPr>
                <w:rFonts w:ascii="宋体" w:hAnsi="宋体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4"/>
                <w:szCs w:val="24"/>
              </w:rPr>
              <w:t>立项目的：</w:t>
            </w:r>
          </w:p>
          <w:p>
            <w:pPr>
              <w:ind w:firstLine="476" w:firstLineChars="20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智能终端RIL是基于telephony 服务和raido 硬件层的抽象层， 通过研究RIL的代码可以看到，rild库是介于HAL接口与basebandmodem之间，它同样提供了语音、数据、短信、SIM卡管理以及STK应用的功能，实现思路跟微软的RIL有异曲同工之妙，也是把标准的 GSM27.007中常用的如dial这些做主动请求的操作称之为request，一共75个；另外一类GSM模块主动上报的例如信号强度、基站信息等，称之为unsolicited response，一共17个；开发模式也是跟微软RIL开发差不多，需要针对不同的GSM模块进行不同的GSM驱动开发，利用google的固定接口实现自己的定制需求，这样做可以大大地提高开发效率，并会客户提供统一的解决方案。</w:t>
            </w:r>
          </w:p>
          <w:p>
            <w:pPr>
              <w:rPr>
                <w:rFonts w:ascii="宋体" w:hAnsi="宋体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4"/>
                <w:szCs w:val="24"/>
              </w:rPr>
              <w:t>实施方式：</w:t>
            </w:r>
          </w:p>
          <w:p>
            <w:pPr>
              <w:ind w:firstLine="476" w:firstLineChars="20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项目采取项目经理负责制，按照公司的项目管理制度，带领团队共同完成项目立项、、软件开发、集成、测试、发布、使用等工作。项目经理为软件一部刘其峰，项目团队分为：</w:t>
            </w:r>
          </w:p>
          <w:p>
            <w:pPr>
              <w:ind w:firstLine="476" w:firstLineChars="20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）研发团队，3人：负责模块的硬件设计、驱动开发及模块软件的开发工作；</w:t>
            </w:r>
          </w:p>
          <w:p>
            <w:pPr>
              <w:ind w:firstLine="476" w:firstLineChars="20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）测试团队，1人：负责产品的测试及缺陷跟踪；</w:t>
            </w:r>
          </w:p>
          <w:p>
            <w:pPr>
              <w:ind w:firstLine="476" w:firstLineChars="20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3）采购团队，1人：负责智能终端开发板采购；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7" w:hRule="atLeast"/>
        </w:trPr>
        <w:tc>
          <w:tcPr>
            <w:tcW w:w="1367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核心技术及创新点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（限</w:t>
            </w:r>
            <w:r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  <w:t>400</w:t>
            </w: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字）</w:t>
            </w:r>
          </w:p>
        </w:tc>
        <w:tc>
          <w:tcPr>
            <w:tcW w:w="8522" w:type="dxa"/>
            <w:gridSpan w:val="6"/>
            <w:vAlign w:val="center"/>
          </w:tcPr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核心技术：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动态适配端口功能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动态适配3、4G模块数据上网功能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动态适配4G模块电信卡数据功能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兼容所有Android系统功能；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bookmarkStart w:id="0" w:name="OLE_LINK1"/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不同系统的无缝连接</w:t>
            </w:r>
            <w:bookmarkEnd w:id="0"/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</w:p>
          <w:p>
            <w:pPr>
              <w:pStyle w:val="7"/>
              <w:ind w:left="420" w:firstLine="0"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6）3G\4G的高兼容性</w:t>
            </w:r>
          </w:p>
          <w:p>
            <w:pPr>
              <w:pStyle w:val="7"/>
              <w:ind w:left="420" w:firstLine="0"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7）提供了标准的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AT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命令用于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GPS/GPRS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/TD-SCDMA/LTE等的管理和控制；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</w:rPr>
              <w:t>创新点：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>1. 创建VID PID支持列表，列表参数 modalias, ModemInterfaceNumber,AtInterfaceNumber, networktype, index,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modalias列出所支持的VIDPID值，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ModemInterfaceNumber为Modem端口的加载序号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AtInterfaceNumber为AT端口的加载序号，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networktype为模块类型即3G 4G模块，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index为列表序号，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现支持列表如下所示：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static const struct Ght_Modem_Id option_ids[] = {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     {"usb:v1519p0020","00","06", GHT_3G, 1},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     {"usb:v1519p0443","00","04", GHT_4G, 2}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};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>2. 定义/sys/bus/usb/devices路径，检查modalias值,并与列表的第一列参数进行比较，符合条件即表示查找到模块VID PID，区分GHT_3G及GHT_4G。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定义ACM驱动路径，在相应路径递进查询是否有bInterfaceNumber,若存在，即与列表的第二列(或)第三列参数进行比较，符合条件即可查询到AT端口及Modem端口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定义NCM驱动路径，在相应路径递进查询net目录，并进入net目录递进查询usb0或wwan0,符合条件即可区分GHT_USB及GHT_WWAN。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>3. 以GHT_3G GHT_4G GHT_USB GHT_WWAN为全局值，在代码内部进行分流处理，以达到同套代码支持不同模块。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>3. PLATFORM_VERSION为Android系统版本号识别码，于Android.mk内，对PLATFORM_VERSION进行判断，不同Android系统调用不头文件及接口，使用同套代码兼容所有Android系统编译环境。</w:t>
            </w:r>
          </w:p>
          <w:p>
            <w:pP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代码内部对ro.build.version.release属性值进行判断，使用同个RIL库能兼容所有Android系统运行环境。</w:t>
            </w:r>
            <w:bookmarkStart w:id="1" w:name="_GoBack"/>
            <w:bookmarkEnd w:id="1"/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9" w:hRule="atLeast"/>
        </w:trPr>
        <w:tc>
          <w:tcPr>
            <w:tcW w:w="1367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0"/>
                <w:sz w:val="24"/>
                <w:szCs w:val="24"/>
              </w:rPr>
              <w:t>取得的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pacing w:val="-1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0"/>
                <w:sz w:val="24"/>
                <w:szCs w:val="24"/>
              </w:rPr>
              <w:t>阶段性成果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（限</w:t>
            </w:r>
            <w:r>
              <w:rPr>
                <w:rFonts w:ascii="宋体" w:hAnsi="宋体" w:eastAsia="宋体"/>
                <w:color w:val="000000"/>
                <w:spacing w:val="-12"/>
                <w:sz w:val="24"/>
                <w:szCs w:val="24"/>
              </w:rPr>
              <w:t>400</w:t>
            </w:r>
            <w:r>
              <w:rPr>
                <w:rFonts w:hint="eastAsia" w:ascii="宋体" w:hAnsi="宋体" w:eastAsia="宋体"/>
                <w:color w:val="000000"/>
                <w:spacing w:val="-12"/>
                <w:sz w:val="24"/>
                <w:szCs w:val="24"/>
              </w:rPr>
              <w:t>字）</w:t>
            </w:r>
          </w:p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8522" w:type="dxa"/>
            <w:gridSpan w:val="6"/>
            <w:vAlign w:val="center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本项目于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15年06月立项，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5年12月完成软件发布工作；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本项目获得了以下专利：</w:t>
            </w:r>
          </w:p>
          <w:p>
            <w:pPr>
              <w:snapToGrid w:val="0"/>
              <w:ind w:left="25" w:leftChars="8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软件著作权：广和通无线通信 LTE无线通讯软件（2015SR169201），授权时间：2015-8-31。</w:t>
            </w:r>
          </w:p>
          <w:p>
            <w:pPr>
              <w:snapToGrid w:val="0"/>
              <w:ind w:left="25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实用新型：基于3G模块的TTS系统，登记号：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ZL 2015 2 0524422.9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发证时间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2016-1-13</w:t>
            </w:r>
          </w:p>
          <w:p>
            <w:pPr>
              <w:snapToGrid w:val="0"/>
              <w:ind w:left="25" w:leftChars="8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发明专利：基于3G模块的移动终端锁网方法，专利号：201510491184.0 进入实审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  <w:highlight w:val="yellow"/>
              </w:rPr>
              <w:t>本项目技术已经应用到我公司H3、LTE等系列产品中。</w:t>
            </w:r>
          </w:p>
        </w:tc>
      </w:tr>
    </w:tbl>
    <w:p>
      <w:pPr>
        <w:rPr>
          <w:rFonts w:ascii="宋体" w:hAnsi="宋体" w:eastAsia="宋体"/>
          <w:b/>
          <w:bCs/>
          <w:color w:val="000000"/>
          <w:sz w:val="28"/>
        </w:rPr>
      </w:pPr>
    </w:p>
    <w:p>
      <w:pPr>
        <w:rPr>
          <w:rFonts w:ascii="宋体" w:hAnsi="宋体" w:eastAsia="宋体"/>
          <w:b/>
          <w:bCs/>
          <w:color w:val="000000"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31C5"/>
    <w:multiLevelType w:val="multilevel"/>
    <w:tmpl w:val="1E9331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E2D45B4"/>
    <w:multiLevelType w:val="multilevel"/>
    <w:tmpl w:val="7E2D45B4"/>
    <w:lvl w:ilvl="0" w:tentative="0">
      <w:start w:val="1"/>
      <w:numFmt w:val="decimal"/>
      <w:lvlText w:val="%1)"/>
      <w:lvlJc w:val="left"/>
      <w:pPr>
        <w:ind w:left="896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31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73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5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7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9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41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3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56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4D3"/>
    <w:rsid w:val="000D7E10"/>
    <w:rsid w:val="000E203F"/>
    <w:rsid w:val="00113737"/>
    <w:rsid w:val="00117D55"/>
    <w:rsid w:val="00313688"/>
    <w:rsid w:val="003475A9"/>
    <w:rsid w:val="00391A27"/>
    <w:rsid w:val="003A24D3"/>
    <w:rsid w:val="005C50EB"/>
    <w:rsid w:val="00664A72"/>
    <w:rsid w:val="00680614"/>
    <w:rsid w:val="008800E4"/>
    <w:rsid w:val="00D87264"/>
    <w:rsid w:val="0974768F"/>
    <w:rsid w:val="0D413ECD"/>
    <w:rsid w:val="0D6C7CBB"/>
    <w:rsid w:val="0E7B2950"/>
    <w:rsid w:val="13D42198"/>
    <w:rsid w:val="1E0D5CDA"/>
    <w:rsid w:val="39C159CC"/>
    <w:rsid w:val="3EEF0B4C"/>
    <w:rsid w:val="3F3F5454"/>
    <w:rsid w:val="427B6B1F"/>
    <w:rsid w:val="4C7B5124"/>
    <w:rsid w:val="4E896D65"/>
    <w:rsid w:val="4E921BF3"/>
    <w:rsid w:val="4EF61917"/>
    <w:rsid w:val="52E41F0D"/>
    <w:rsid w:val="55B36828"/>
    <w:rsid w:val="67B406B2"/>
    <w:rsid w:val="67EF5014"/>
    <w:rsid w:val="6BD8207B"/>
    <w:rsid w:val="7445564D"/>
    <w:rsid w:val="79196E3A"/>
    <w:rsid w:val="7B28499C"/>
    <w:rsid w:val="7DD70A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iPriority="99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spacing w:val="-4"/>
      <w:kern w:val="2"/>
      <w:sz w:val="3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Body Text 2"/>
    <w:basedOn w:val="1"/>
    <w:link w:val="8"/>
    <w:unhideWhenUsed/>
    <w:qFormat/>
    <w:uiPriority w:val="99"/>
    <w:pPr>
      <w:spacing w:after="120" w:line="480" w:lineRule="auto"/>
    </w:p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正文文本 2 Char"/>
    <w:basedOn w:val="4"/>
    <w:link w:val="3"/>
    <w:qFormat/>
    <w:uiPriority w:val="99"/>
    <w:rPr>
      <w:rFonts w:ascii="仿宋_GB2312" w:hAnsi="Times New Roman" w:eastAsia="仿宋_GB2312" w:cs="Times New Roman"/>
      <w:spacing w:val="-4"/>
      <w:sz w:val="32"/>
      <w:szCs w:val="20"/>
    </w:rPr>
  </w:style>
  <w:style w:type="character" w:customStyle="1" w:styleId="9">
    <w:name w:val="批注框文本 Char"/>
    <w:basedOn w:val="4"/>
    <w:link w:val="2"/>
    <w:semiHidden/>
    <w:uiPriority w:val="99"/>
    <w:rPr>
      <w:rFonts w:ascii="仿宋_GB2312" w:hAnsi="Times New Roman" w:eastAsia="仿宋_GB2312" w:cs="Times New Roman"/>
      <w:spacing w:val="-4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978</Characters>
  <Lines>8</Lines>
  <Paragraphs>2</Paragraphs>
  <TotalTime>0</TotalTime>
  <ScaleCrop>false</ScaleCrop>
  <LinksUpToDate>false</LinksUpToDate>
  <CharactersWithSpaces>1147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2015-07-01T01:19:00Z</dcterms:created>
  <dc:creator>liucc</dc:creator>
  <cp:lastModifiedBy>ght</cp:lastModifiedBy>
  <dcterms:modified xsi:type="dcterms:W3CDTF">2016-09-07T03:10:40Z</dcterms:modified>
  <dc:title>二、企业研究开发项目情况表（近3年执行的项目，按单一项目填报）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