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68062" w14:textId="6D508323" w:rsidR="00A67E21" w:rsidRPr="00EF5C5B" w:rsidRDefault="00A67E21" w:rsidP="007139AC">
      <w:pPr>
        <w:pStyle w:val="NormalWeb"/>
        <w:shd w:val="clear" w:color="auto" w:fill="FFFFFF"/>
        <w:spacing w:before="0" w:beforeAutospacing="0" w:after="0" w:afterAutospacing="0"/>
        <w:rPr>
          <w:rFonts w:ascii="Calibri" w:hAnsi="Calibri" w:cs="Calibri"/>
          <w:color w:val="000000"/>
          <w:sz w:val="32"/>
          <w:szCs w:val="32"/>
        </w:rPr>
      </w:pPr>
      <w:r w:rsidRPr="00EF5C5B">
        <w:rPr>
          <w:rFonts w:ascii="Calibri" w:hAnsi="Calibri" w:cs="Calibri"/>
          <w:b/>
          <w:bCs/>
          <w:color w:val="000000"/>
          <w:sz w:val="32"/>
          <w:szCs w:val="32"/>
        </w:rPr>
        <w:t>Energy Consumption in the City of Chicago</w:t>
      </w:r>
      <w:r w:rsidR="007139AC">
        <w:rPr>
          <w:rFonts w:ascii="Calibri" w:hAnsi="Calibri" w:cs="Calibri"/>
          <w:b/>
          <w:bCs/>
          <w:color w:val="000000"/>
          <w:sz w:val="32"/>
          <w:szCs w:val="32"/>
        </w:rPr>
        <w:t>, 2010</w:t>
      </w:r>
    </w:p>
    <w:p w14:paraId="3E69E772" w14:textId="364F80A1" w:rsidR="00671CDB" w:rsidRDefault="00671CDB" w:rsidP="00A67E21">
      <w:pPr>
        <w:pStyle w:val="NormalWeb"/>
        <w:shd w:val="clear" w:color="auto" w:fill="FFFFFF"/>
        <w:spacing w:before="0" w:beforeAutospacing="0" w:after="0" w:afterAutospacing="0"/>
        <w:rPr>
          <w:rFonts w:ascii="Calibri" w:hAnsi="Calibri" w:cs="Calibri"/>
          <w:color w:val="000000"/>
          <w:sz w:val="22"/>
          <w:szCs w:val="22"/>
        </w:rPr>
      </w:pPr>
    </w:p>
    <w:p w14:paraId="23066174" w14:textId="04ACAD52" w:rsidR="00671CDB" w:rsidRPr="00CC2DF1" w:rsidRDefault="00671CDB" w:rsidP="00A67E21">
      <w:pPr>
        <w:pStyle w:val="NormalWeb"/>
        <w:shd w:val="clear" w:color="auto" w:fill="FFFFFF"/>
        <w:spacing w:before="0" w:beforeAutospacing="0" w:after="0" w:afterAutospacing="0"/>
        <w:rPr>
          <w:rFonts w:ascii="Calibri" w:hAnsi="Calibri" w:cs="Calibri"/>
          <w:i/>
          <w:color w:val="000000"/>
          <w:sz w:val="22"/>
          <w:szCs w:val="22"/>
        </w:rPr>
      </w:pPr>
      <w:r>
        <w:rPr>
          <w:rFonts w:ascii="Calibri" w:hAnsi="Calibri" w:cs="Calibri"/>
          <w:i/>
          <w:color w:val="000000"/>
          <w:sz w:val="22"/>
          <w:szCs w:val="22"/>
        </w:rPr>
        <w:t xml:space="preserve">In this project, I study </w:t>
      </w:r>
      <w:r w:rsidR="00E61DB1">
        <w:rPr>
          <w:rFonts w:ascii="Calibri" w:hAnsi="Calibri" w:cs="Calibri"/>
          <w:i/>
          <w:color w:val="000000"/>
          <w:sz w:val="22"/>
          <w:szCs w:val="22"/>
        </w:rPr>
        <w:t>how</w:t>
      </w:r>
      <w:r>
        <w:rPr>
          <w:rFonts w:ascii="Calibri" w:hAnsi="Calibri" w:cs="Calibri"/>
          <w:i/>
          <w:color w:val="000000"/>
          <w:sz w:val="22"/>
          <w:szCs w:val="22"/>
        </w:rPr>
        <w:t xml:space="preserve"> natural gas and electricity </w:t>
      </w:r>
      <w:r w:rsidR="00E61DB1">
        <w:rPr>
          <w:rFonts w:ascii="Calibri" w:hAnsi="Calibri" w:cs="Calibri"/>
          <w:i/>
          <w:color w:val="000000"/>
          <w:sz w:val="22"/>
          <w:szCs w:val="22"/>
        </w:rPr>
        <w:t xml:space="preserve">consumption varies across the City of Chicago. </w:t>
      </w:r>
      <w:r w:rsidR="0026010D">
        <w:rPr>
          <w:rFonts w:ascii="Calibri" w:hAnsi="Calibri" w:cs="Calibri"/>
          <w:i/>
          <w:color w:val="000000"/>
          <w:sz w:val="22"/>
          <w:szCs w:val="22"/>
        </w:rPr>
        <w:t xml:space="preserve">Where are the biggest users of energy located? How does temperature affect consumption? I begin by giving several interesting summary statistics, including the </w:t>
      </w:r>
      <w:r w:rsidR="00995E8E">
        <w:rPr>
          <w:rFonts w:ascii="Calibri" w:hAnsi="Calibri" w:cs="Calibri"/>
          <w:i/>
          <w:color w:val="000000"/>
          <w:sz w:val="22"/>
          <w:szCs w:val="22"/>
        </w:rPr>
        <w:t xml:space="preserve">relationship between energy consumption and </w:t>
      </w:r>
      <w:r w:rsidR="0032479D">
        <w:rPr>
          <w:rFonts w:ascii="Calibri" w:hAnsi="Calibri" w:cs="Calibri"/>
          <w:i/>
          <w:color w:val="000000"/>
          <w:sz w:val="22"/>
          <w:szCs w:val="22"/>
        </w:rPr>
        <w:t xml:space="preserve">average </w:t>
      </w:r>
      <w:r w:rsidR="00995E8E">
        <w:rPr>
          <w:rFonts w:ascii="Calibri" w:hAnsi="Calibri" w:cs="Calibri"/>
          <w:i/>
          <w:color w:val="000000"/>
          <w:sz w:val="22"/>
          <w:szCs w:val="22"/>
        </w:rPr>
        <w:t>temperature</w:t>
      </w:r>
      <w:r w:rsidR="0026010D">
        <w:rPr>
          <w:rFonts w:ascii="Calibri" w:hAnsi="Calibri" w:cs="Calibri"/>
          <w:i/>
          <w:color w:val="000000"/>
          <w:sz w:val="22"/>
          <w:szCs w:val="22"/>
        </w:rPr>
        <w:t xml:space="preserve"> for </w:t>
      </w:r>
      <w:r w:rsidR="001B47A6">
        <w:rPr>
          <w:rFonts w:ascii="Calibri" w:hAnsi="Calibri" w:cs="Calibri"/>
          <w:i/>
          <w:color w:val="000000"/>
          <w:sz w:val="22"/>
          <w:szCs w:val="22"/>
        </w:rPr>
        <w:t>residential buildings</w:t>
      </w:r>
      <w:r w:rsidR="0026010D">
        <w:rPr>
          <w:rFonts w:ascii="Calibri" w:hAnsi="Calibri" w:cs="Calibri"/>
          <w:i/>
          <w:color w:val="000000"/>
          <w:sz w:val="22"/>
          <w:szCs w:val="22"/>
        </w:rPr>
        <w:t xml:space="preserve">, as well as a mapping of </w:t>
      </w:r>
      <w:r w:rsidR="0026010D" w:rsidRPr="00CC2DF1">
        <w:rPr>
          <w:rFonts w:ascii="Calibri" w:hAnsi="Calibri" w:cs="Calibri"/>
          <w:i/>
          <w:color w:val="000000"/>
          <w:sz w:val="22"/>
          <w:szCs w:val="22"/>
        </w:rPr>
        <w:t xml:space="preserve">energy consumption across Chicago. </w:t>
      </w:r>
      <w:r w:rsidR="00E61DB1" w:rsidRPr="00CC2DF1">
        <w:rPr>
          <w:rFonts w:ascii="Calibri" w:hAnsi="Calibri" w:cs="Calibri"/>
          <w:i/>
          <w:color w:val="000000"/>
          <w:sz w:val="22"/>
          <w:szCs w:val="22"/>
        </w:rPr>
        <w:t xml:space="preserve">I </w:t>
      </w:r>
      <w:r w:rsidR="0072480E">
        <w:rPr>
          <w:rFonts w:ascii="Calibri" w:hAnsi="Calibri" w:cs="Calibri"/>
          <w:i/>
          <w:color w:val="000000"/>
          <w:sz w:val="22"/>
          <w:szCs w:val="22"/>
        </w:rPr>
        <w:t>then offer avenues for future research.</w:t>
      </w:r>
    </w:p>
    <w:p w14:paraId="1C28FAAC" w14:textId="77777777" w:rsidR="00A67E21" w:rsidRPr="00CC2DF1" w:rsidRDefault="00A67E21" w:rsidP="00A67E21">
      <w:pPr>
        <w:pStyle w:val="NormalWeb"/>
        <w:shd w:val="clear" w:color="auto" w:fill="FFFFFF"/>
        <w:spacing w:before="0" w:beforeAutospacing="0" w:after="0" w:afterAutospacing="0"/>
        <w:rPr>
          <w:rFonts w:ascii="Calibri" w:hAnsi="Calibri" w:cs="Calibri"/>
          <w:color w:val="000000"/>
          <w:sz w:val="22"/>
          <w:szCs w:val="22"/>
        </w:rPr>
      </w:pPr>
    </w:p>
    <w:p w14:paraId="7009C7EC" w14:textId="7FF3825E" w:rsidR="00EF5C5B" w:rsidRPr="00CC2DF1" w:rsidRDefault="00A67E21" w:rsidP="00A67E21">
      <w:pPr>
        <w:pStyle w:val="NormalWeb"/>
        <w:shd w:val="clear" w:color="auto" w:fill="FFFFFF"/>
        <w:spacing w:before="0" w:beforeAutospacing="0" w:after="0" w:afterAutospacing="0"/>
        <w:rPr>
          <w:rFonts w:ascii="Calibri" w:hAnsi="Calibri" w:cs="Calibri"/>
          <w:color w:val="000000"/>
        </w:rPr>
      </w:pPr>
      <w:r w:rsidRPr="00CC2DF1">
        <w:rPr>
          <w:rFonts w:ascii="Calibri" w:hAnsi="Calibri" w:cs="Calibri"/>
          <w:b/>
          <w:bCs/>
          <w:color w:val="000000"/>
        </w:rPr>
        <w:t xml:space="preserve">Analysis </w:t>
      </w:r>
    </w:p>
    <w:p w14:paraId="6A5A0851" w14:textId="259CDC63" w:rsidR="008C752A" w:rsidRPr="000326C6" w:rsidRDefault="008C752A" w:rsidP="00C945F8">
      <w:pPr>
        <w:pStyle w:val="NormalWeb"/>
        <w:shd w:val="clear" w:color="auto" w:fill="FFFFFF"/>
        <w:spacing w:before="0" w:beforeAutospacing="0" w:after="0" w:afterAutospacing="0"/>
        <w:ind w:firstLine="720"/>
        <w:rPr>
          <w:rFonts w:ascii="Calibri" w:hAnsi="Calibri" w:cs="Calibri"/>
          <w:bCs/>
          <w:color w:val="000000"/>
          <w:sz w:val="22"/>
          <w:szCs w:val="22"/>
        </w:rPr>
      </w:pPr>
      <w:r>
        <w:rPr>
          <w:rFonts w:ascii="Calibri" w:hAnsi="Calibri" w:cs="Calibri"/>
          <w:bCs/>
          <w:color w:val="000000"/>
          <w:sz w:val="22"/>
          <w:szCs w:val="22"/>
        </w:rPr>
        <w:t xml:space="preserve">For this section, I will be referring to electricity in </w:t>
      </w:r>
      <w:r w:rsidR="00DF287E">
        <w:rPr>
          <w:rFonts w:ascii="Calibri" w:hAnsi="Calibri" w:cs="Calibri"/>
          <w:bCs/>
          <w:color w:val="000000"/>
          <w:sz w:val="22"/>
          <w:szCs w:val="22"/>
        </w:rPr>
        <w:t>units of kilowatt-hours (KWH)</w:t>
      </w:r>
      <w:r w:rsidR="00AB5ADA">
        <w:rPr>
          <w:rFonts w:ascii="Calibri" w:hAnsi="Calibri" w:cs="Calibri"/>
          <w:bCs/>
          <w:color w:val="000000"/>
          <w:sz w:val="22"/>
          <w:szCs w:val="22"/>
        </w:rPr>
        <w:t xml:space="preserve"> per square foot</w:t>
      </w:r>
      <w:r w:rsidR="00F77F6E">
        <w:rPr>
          <w:rFonts w:ascii="Calibri" w:hAnsi="Calibri" w:cs="Calibri"/>
          <w:bCs/>
          <w:color w:val="000000"/>
          <w:sz w:val="22"/>
          <w:szCs w:val="22"/>
        </w:rPr>
        <w:t xml:space="preserve"> </w:t>
      </w:r>
      <w:r w:rsidR="00DF287E">
        <w:rPr>
          <w:rFonts w:ascii="Calibri" w:hAnsi="Calibri" w:cs="Calibri"/>
          <w:bCs/>
          <w:color w:val="000000"/>
          <w:sz w:val="22"/>
          <w:szCs w:val="22"/>
        </w:rPr>
        <w:t>and natural gas</w:t>
      </w:r>
      <w:r w:rsidR="00AB5ADA">
        <w:rPr>
          <w:rFonts w:ascii="Calibri" w:hAnsi="Calibri" w:cs="Calibri"/>
          <w:bCs/>
          <w:color w:val="000000"/>
          <w:sz w:val="22"/>
          <w:szCs w:val="22"/>
        </w:rPr>
        <w:t xml:space="preserve"> per square foot</w:t>
      </w:r>
      <w:r w:rsidR="00DF287E">
        <w:rPr>
          <w:rFonts w:ascii="Calibri" w:hAnsi="Calibri" w:cs="Calibri"/>
          <w:bCs/>
          <w:color w:val="000000"/>
          <w:sz w:val="22"/>
          <w:szCs w:val="22"/>
        </w:rPr>
        <w:t xml:space="preserve"> in units of therms (1 therm = 100,000 BTUs). For reference, an average air conditioner will require 3 to </w:t>
      </w:r>
      <w:r w:rsidR="00AB5ADA">
        <w:rPr>
          <w:rFonts w:ascii="Calibri" w:hAnsi="Calibri" w:cs="Calibri"/>
          <w:bCs/>
          <w:color w:val="000000"/>
          <w:sz w:val="22"/>
          <w:szCs w:val="22"/>
        </w:rPr>
        <w:t xml:space="preserve">5 </w:t>
      </w:r>
      <w:r w:rsidR="00DF287E">
        <w:rPr>
          <w:rFonts w:ascii="Calibri" w:hAnsi="Calibri" w:cs="Calibri"/>
          <w:bCs/>
          <w:color w:val="000000"/>
          <w:sz w:val="22"/>
          <w:szCs w:val="22"/>
        </w:rPr>
        <w:t>KWHs to run</w:t>
      </w:r>
      <w:r w:rsidR="00700565">
        <w:rPr>
          <w:rFonts w:ascii="Calibri" w:hAnsi="Calibri" w:cs="Calibri"/>
          <w:bCs/>
          <w:color w:val="000000"/>
          <w:sz w:val="22"/>
          <w:szCs w:val="22"/>
          <w:vertAlign w:val="superscript"/>
        </w:rPr>
        <w:t>1</w:t>
      </w:r>
      <w:r w:rsidR="00DF287E">
        <w:rPr>
          <w:rFonts w:ascii="Calibri" w:hAnsi="Calibri" w:cs="Calibri"/>
          <w:bCs/>
          <w:color w:val="000000"/>
          <w:sz w:val="22"/>
          <w:szCs w:val="22"/>
        </w:rPr>
        <w:t xml:space="preserve"> and an average furnace will require .8 to 1 therms</w:t>
      </w:r>
      <w:r w:rsidR="00690C2D">
        <w:rPr>
          <w:rFonts w:ascii="Calibri" w:hAnsi="Calibri" w:cs="Calibri"/>
          <w:bCs/>
          <w:color w:val="000000"/>
          <w:sz w:val="22"/>
          <w:szCs w:val="22"/>
        </w:rPr>
        <w:t xml:space="preserve"> per hour</w:t>
      </w:r>
      <w:r w:rsidR="00DF287E">
        <w:rPr>
          <w:rFonts w:ascii="Calibri" w:hAnsi="Calibri" w:cs="Calibri"/>
          <w:bCs/>
          <w:color w:val="000000"/>
          <w:sz w:val="22"/>
          <w:szCs w:val="22"/>
        </w:rPr>
        <w:t>, or 80,000 to 100,000 BTUs</w:t>
      </w:r>
      <w:r w:rsidR="00700565">
        <w:rPr>
          <w:rFonts w:ascii="Calibri" w:hAnsi="Calibri" w:cs="Calibri"/>
          <w:bCs/>
          <w:color w:val="000000"/>
          <w:sz w:val="22"/>
          <w:szCs w:val="22"/>
        </w:rPr>
        <w:t>;</w:t>
      </w:r>
      <w:r w:rsidR="00700565">
        <w:rPr>
          <w:rFonts w:ascii="Calibri" w:hAnsi="Calibri" w:cs="Calibri"/>
          <w:bCs/>
          <w:color w:val="000000"/>
          <w:sz w:val="22"/>
          <w:szCs w:val="22"/>
          <w:vertAlign w:val="superscript"/>
        </w:rPr>
        <w:t>2</w:t>
      </w:r>
      <w:r w:rsidR="00F77F6E">
        <w:rPr>
          <w:rFonts w:ascii="Calibri" w:hAnsi="Calibri" w:cs="Calibri"/>
          <w:bCs/>
          <w:color w:val="000000"/>
          <w:sz w:val="22"/>
          <w:szCs w:val="22"/>
        </w:rPr>
        <w:t xml:space="preserve"> </w:t>
      </w:r>
      <w:r w:rsidR="00AB5ADA">
        <w:rPr>
          <w:rFonts w:ascii="Calibri" w:hAnsi="Calibri" w:cs="Calibri"/>
          <w:bCs/>
          <w:color w:val="000000"/>
          <w:sz w:val="22"/>
          <w:szCs w:val="22"/>
        </w:rPr>
        <w:t xml:space="preserve">the amount of energy consumed per square foot will vary by </w:t>
      </w:r>
      <w:r w:rsidR="00F374D9">
        <w:rPr>
          <w:rFonts w:ascii="Calibri" w:hAnsi="Calibri" w:cs="Calibri"/>
          <w:bCs/>
          <w:color w:val="000000"/>
          <w:sz w:val="22"/>
          <w:szCs w:val="22"/>
        </w:rPr>
        <w:t>building size but</w:t>
      </w:r>
      <w:r w:rsidR="00AB5ADA">
        <w:rPr>
          <w:rFonts w:ascii="Calibri" w:hAnsi="Calibri" w:cs="Calibri"/>
          <w:bCs/>
          <w:color w:val="000000"/>
          <w:sz w:val="22"/>
          <w:szCs w:val="22"/>
        </w:rPr>
        <w:t xml:space="preserve"> bear in mind that the average house in the US is 2,687 square feet</w:t>
      </w:r>
      <w:r w:rsidR="00D2434F">
        <w:rPr>
          <w:rFonts w:ascii="Calibri" w:hAnsi="Calibri" w:cs="Calibri"/>
          <w:bCs/>
          <w:color w:val="000000"/>
          <w:sz w:val="22"/>
          <w:szCs w:val="22"/>
        </w:rPr>
        <w:t>.</w:t>
      </w:r>
      <w:r w:rsidR="00700565">
        <w:rPr>
          <w:rFonts w:ascii="Calibri" w:hAnsi="Calibri" w:cs="Calibri"/>
          <w:bCs/>
          <w:color w:val="000000"/>
          <w:sz w:val="22"/>
          <w:szCs w:val="22"/>
          <w:vertAlign w:val="superscript"/>
        </w:rPr>
        <w:t>3</w:t>
      </w:r>
    </w:p>
    <w:p w14:paraId="4699EFE0" w14:textId="17162E9E" w:rsidR="00666A9D" w:rsidRDefault="00690C2D" w:rsidP="00C945F8">
      <w:pPr>
        <w:pStyle w:val="NormalWeb"/>
        <w:shd w:val="clear" w:color="auto" w:fill="FFFFFF"/>
        <w:spacing w:before="0" w:beforeAutospacing="0" w:after="0" w:afterAutospacing="0"/>
        <w:ind w:firstLine="720"/>
        <w:rPr>
          <w:rFonts w:ascii="Calibri" w:hAnsi="Calibri" w:cs="Calibri"/>
          <w:bCs/>
          <w:color w:val="000000"/>
          <w:sz w:val="22"/>
          <w:szCs w:val="22"/>
        </w:rPr>
      </w:pPr>
      <w:r>
        <w:rPr>
          <w:rFonts w:ascii="Calibri" w:hAnsi="Calibri" w:cs="Calibri"/>
          <w:bCs/>
          <w:color w:val="000000"/>
          <w:sz w:val="22"/>
          <w:szCs w:val="22"/>
        </w:rPr>
        <w:t xml:space="preserve">Additionally, most of what I will be discussing will be with regards to heating and/or cooling. These are generally the largest consumers of energy and </w:t>
      </w:r>
      <w:r w:rsidR="004740A8">
        <w:rPr>
          <w:rFonts w:ascii="Calibri" w:hAnsi="Calibri" w:cs="Calibri"/>
          <w:bCs/>
          <w:color w:val="000000"/>
          <w:sz w:val="22"/>
          <w:szCs w:val="22"/>
        </w:rPr>
        <w:t>drive much of the</w:t>
      </w:r>
      <w:r>
        <w:rPr>
          <w:rFonts w:ascii="Calibri" w:hAnsi="Calibri" w:cs="Calibri"/>
          <w:bCs/>
          <w:color w:val="000000"/>
          <w:sz w:val="22"/>
          <w:szCs w:val="22"/>
        </w:rPr>
        <w:t xml:space="preserve"> variation</w:t>
      </w:r>
      <w:r w:rsidR="004740A8">
        <w:rPr>
          <w:rFonts w:ascii="Calibri" w:hAnsi="Calibri" w:cs="Calibri"/>
          <w:bCs/>
          <w:color w:val="000000"/>
          <w:sz w:val="22"/>
          <w:szCs w:val="22"/>
        </w:rPr>
        <w:t xml:space="preserve"> in energy consumption</w:t>
      </w:r>
      <w:r>
        <w:rPr>
          <w:rFonts w:ascii="Calibri" w:hAnsi="Calibri" w:cs="Calibri"/>
          <w:bCs/>
          <w:color w:val="000000"/>
          <w:sz w:val="22"/>
          <w:szCs w:val="22"/>
        </w:rPr>
        <w:t xml:space="preserve"> over the course of the year as the seasons change.</w:t>
      </w:r>
    </w:p>
    <w:p w14:paraId="382227D3" w14:textId="77777777" w:rsidR="00690C2D" w:rsidRPr="00716EC8" w:rsidRDefault="00690C2D" w:rsidP="00C945F8">
      <w:pPr>
        <w:pStyle w:val="NormalWeb"/>
        <w:shd w:val="clear" w:color="auto" w:fill="FFFFFF"/>
        <w:spacing w:before="0" w:beforeAutospacing="0" w:after="0" w:afterAutospacing="0"/>
        <w:ind w:firstLine="720"/>
        <w:rPr>
          <w:rFonts w:ascii="Calibri" w:hAnsi="Calibri" w:cs="Calibri"/>
          <w:bCs/>
          <w:color w:val="000000"/>
          <w:sz w:val="22"/>
          <w:szCs w:val="22"/>
        </w:rPr>
      </w:pPr>
    </w:p>
    <w:p w14:paraId="20497430" w14:textId="6AAC825F" w:rsidR="00EF5C5B" w:rsidRPr="00716EC8" w:rsidRDefault="00EF5C5B" w:rsidP="00A67E21">
      <w:pPr>
        <w:pStyle w:val="NormalWeb"/>
        <w:shd w:val="clear" w:color="auto" w:fill="FFFFFF"/>
        <w:spacing w:before="0" w:beforeAutospacing="0" w:after="0" w:afterAutospacing="0"/>
        <w:rPr>
          <w:rFonts w:ascii="Calibri" w:hAnsi="Calibri" w:cs="Calibri"/>
          <w:b/>
          <w:bCs/>
          <w:color w:val="000000"/>
          <w:sz w:val="22"/>
          <w:szCs w:val="22"/>
        </w:rPr>
      </w:pPr>
      <w:r w:rsidRPr="00716EC8">
        <w:rPr>
          <w:rFonts w:ascii="Calibri" w:hAnsi="Calibri" w:cs="Calibri"/>
          <w:b/>
          <w:bCs/>
          <w:color w:val="000000"/>
          <w:sz w:val="22"/>
          <w:szCs w:val="22"/>
        </w:rPr>
        <w:t xml:space="preserve">Energy </w:t>
      </w:r>
      <w:r w:rsidR="00995E8E">
        <w:rPr>
          <w:rFonts w:ascii="Calibri" w:hAnsi="Calibri" w:cs="Calibri"/>
          <w:b/>
          <w:bCs/>
          <w:color w:val="000000"/>
          <w:sz w:val="22"/>
          <w:szCs w:val="22"/>
        </w:rPr>
        <w:t>Distribution</w:t>
      </w:r>
      <w:r w:rsidRPr="00716EC8">
        <w:rPr>
          <w:rFonts w:ascii="Calibri" w:hAnsi="Calibri" w:cs="Calibri"/>
          <w:b/>
          <w:bCs/>
          <w:color w:val="000000"/>
          <w:sz w:val="22"/>
          <w:szCs w:val="22"/>
        </w:rPr>
        <w:t xml:space="preserve"> across Chicago</w:t>
      </w:r>
      <w:r w:rsidR="007D735C">
        <w:rPr>
          <w:rFonts w:ascii="Calibri" w:hAnsi="Calibri" w:cs="Calibri"/>
          <w:b/>
          <w:bCs/>
          <w:color w:val="000000"/>
          <w:sz w:val="22"/>
          <w:szCs w:val="22"/>
        </w:rPr>
        <w:t xml:space="preserve"> and </w:t>
      </w:r>
      <w:r w:rsidR="00995E8E">
        <w:rPr>
          <w:rFonts w:ascii="Calibri" w:hAnsi="Calibri" w:cs="Calibri"/>
          <w:b/>
          <w:bCs/>
          <w:color w:val="000000"/>
          <w:sz w:val="22"/>
          <w:szCs w:val="22"/>
        </w:rPr>
        <w:t>Energy’s Relationship with Temperature</w:t>
      </w:r>
    </w:p>
    <w:p w14:paraId="73E0FBDD" w14:textId="09B994F4" w:rsidR="008C752A" w:rsidRDefault="00EF5C5B" w:rsidP="00095833">
      <w:pPr>
        <w:pStyle w:val="NormalWeb"/>
        <w:shd w:val="clear" w:color="auto" w:fill="FFFFFF"/>
        <w:spacing w:before="0" w:beforeAutospacing="0" w:after="0" w:afterAutospacing="0"/>
        <w:ind w:firstLine="720"/>
        <w:rPr>
          <w:rFonts w:ascii="Calibri" w:hAnsi="Calibri" w:cs="Calibri"/>
          <w:bCs/>
          <w:color w:val="000000"/>
          <w:sz w:val="22"/>
          <w:szCs w:val="22"/>
        </w:rPr>
      </w:pPr>
      <w:r>
        <w:rPr>
          <w:rFonts w:ascii="Calibri" w:hAnsi="Calibri" w:cs="Calibri"/>
          <w:bCs/>
          <w:color w:val="000000"/>
          <w:sz w:val="22"/>
          <w:szCs w:val="22"/>
        </w:rPr>
        <w:t>Before getting into the heart of the analysis, it would be useful to</w:t>
      </w:r>
      <w:r w:rsidR="00095833">
        <w:rPr>
          <w:rFonts w:ascii="Calibri" w:hAnsi="Calibri" w:cs="Calibri"/>
          <w:bCs/>
          <w:color w:val="000000"/>
          <w:sz w:val="22"/>
          <w:szCs w:val="22"/>
        </w:rPr>
        <w:t xml:space="preserve"> familiarize ourselves with the distribution of</w:t>
      </w:r>
      <w:r>
        <w:rPr>
          <w:rFonts w:ascii="Calibri" w:hAnsi="Calibri" w:cs="Calibri"/>
          <w:bCs/>
          <w:color w:val="000000"/>
          <w:sz w:val="22"/>
          <w:szCs w:val="22"/>
        </w:rPr>
        <w:t xml:space="preserve"> energy </w:t>
      </w:r>
      <w:r w:rsidR="00095833">
        <w:rPr>
          <w:rFonts w:ascii="Calibri" w:hAnsi="Calibri" w:cs="Calibri"/>
          <w:bCs/>
          <w:color w:val="000000"/>
          <w:sz w:val="22"/>
          <w:szCs w:val="22"/>
        </w:rPr>
        <w:t>consumption</w:t>
      </w:r>
      <w:r>
        <w:rPr>
          <w:rFonts w:ascii="Calibri" w:hAnsi="Calibri" w:cs="Calibri"/>
          <w:bCs/>
          <w:color w:val="000000"/>
          <w:sz w:val="22"/>
          <w:szCs w:val="22"/>
        </w:rPr>
        <w:t xml:space="preserve"> in communities across the city</w:t>
      </w:r>
      <w:r w:rsidR="00095833">
        <w:rPr>
          <w:rFonts w:ascii="Calibri" w:hAnsi="Calibri" w:cs="Calibri"/>
          <w:bCs/>
          <w:color w:val="000000"/>
          <w:sz w:val="22"/>
          <w:szCs w:val="22"/>
        </w:rPr>
        <w:t>. It should come as little surprise that Figures</w:t>
      </w:r>
      <w:r>
        <w:rPr>
          <w:rFonts w:ascii="Calibri" w:hAnsi="Calibri" w:cs="Calibri"/>
          <w:bCs/>
          <w:color w:val="000000"/>
          <w:sz w:val="22"/>
          <w:szCs w:val="22"/>
        </w:rPr>
        <w:t xml:space="preserve"> 1a and 1b below </w:t>
      </w:r>
      <w:r w:rsidR="00095833">
        <w:rPr>
          <w:rFonts w:ascii="Calibri" w:hAnsi="Calibri" w:cs="Calibri"/>
          <w:bCs/>
          <w:color w:val="000000"/>
          <w:sz w:val="22"/>
          <w:szCs w:val="22"/>
        </w:rPr>
        <w:t xml:space="preserve">show </w:t>
      </w:r>
      <w:r>
        <w:rPr>
          <w:rFonts w:ascii="Calibri" w:hAnsi="Calibri" w:cs="Calibri"/>
          <w:bCs/>
          <w:color w:val="000000"/>
          <w:sz w:val="22"/>
          <w:szCs w:val="22"/>
        </w:rPr>
        <w:t>very clearly that the Loop consumed the largest amount</w:t>
      </w:r>
      <w:r w:rsidR="005A29D0">
        <w:rPr>
          <w:rFonts w:ascii="Calibri" w:hAnsi="Calibri" w:cs="Calibri"/>
          <w:bCs/>
          <w:color w:val="000000"/>
          <w:sz w:val="22"/>
          <w:szCs w:val="22"/>
        </w:rPr>
        <w:t xml:space="preserve"> </w:t>
      </w:r>
      <w:r>
        <w:rPr>
          <w:rFonts w:ascii="Calibri" w:hAnsi="Calibri" w:cs="Calibri"/>
          <w:bCs/>
          <w:color w:val="000000"/>
          <w:sz w:val="22"/>
          <w:szCs w:val="22"/>
        </w:rPr>
        <w:t xml:space="preserve">of energy per square foot. </w:t>
      </w:r>
      <w:r w:rsidR="005A29D0">
        <w:rPr>
          <w:rFonts w:ascii="Calibri" w:hAnsi="Calibri" w:cs="Calibri"/>
          <w:bCs/>
          <w:color w:val="000000"/>
          <w:sz w:val="22"/>
          <w:szCs w:val="22"/>
        </w:rPr>
        <w:t xml:space="preserve">Note that the maps below show average energy consumption per square foot through the city, so buildings in the Loop consumed on average 631,074.6 KWH/sqft of electricity and 679,280.1 therm/sqft of natural gas. </w:t>
      </w:r>
    </w:p>
    <w:p w14:paraId="2F941408" w14:textId="493D466D" w:rsidR="008C752A" w:rsidRDefault="00FB0B07" w:rsidP="00095833">
      <w:pPr>
        <w:pStyle w:val="NormalWeb"/>
        <w:shd w:val="clear" w:color="auto" w:fill="FFFFFF"/>
        <w:spacing w:before="0" w:beforeAutospacing="0" w:after="0" w:afterAutospacing="0"/>
        <w:ind w:firstLine="720"/>
        <w:rPr>
          <w:rFonts w:ascii="Calibri" w:hAnsi="Calibri" w:cs="Calibri"/>
          <w:bCs/>
          <w:color w:val="000000"/>
          <w:sz w:val="22"/>
          <w:szCs w:val="22"/>
        </w:rPr>
      </w:pPr>
      <w:r>
        <w:rPr>
          <w:rFonts w:ascii="Calibri" w:hAnsi="Calibri" w:cs="Calibri"/>
          <w:bCs/>
          <w:color w:val="000000"/>
          <w:sz w:val="22"/>
          <w:szCs w:val="22"/>
        </w:rPr>
        <w:t>Average monthly temperature data in the city of Chicago was gathered from a website called “Weather Underground”.</w:t>
      </w:r>
      <w:r w:rsidRPr="00FB0B07">
        <w:rPr>
          <w:rFonts w:ascii="Calibri" w:hAnsi="Calibri" w:cs="Calibri"/>
          <w:bCs/>
          <w:color w:val="000000"/>
          <w:sz w:val="22"/>
          <w:szCs w:val="22"/>
          <w:vertAlign w:val="superscript"/>
        </w:rPr>
        <w:t>7</w:t>
      </w:r>
      <w:r>
        <w:rPr>
          <w:rFonts w:ascii="Calibri" w:hAnsi="Calibri" w:cs="Calibri"/>
          <w:bCs/>
          <w:color w:val="000000"/>
          <w:sz w:val="22"/>
          <w:szCs w:val="22"/>
        </w:rPr>
        <w:t xml:space="preserve"> </w:t>
      </w:r>
      <w:r w:rsidR="00BA5466" w:rsidRPr="00FB0B07">
        <w:rPr>
          <w:rFonts w:ascii="Calibri" w:hAnsi="Calibri" w:cs="Calibri"/>
          <w:bCs/>
          <w:color w:val="000000"/>
          <w:sz w:val="22"/>
          <w:szCs w:val="22"/>
        </w:rPr>
        <w:t>In</w:t>
      </w:r>
      <w:r w:rsidR="00BA5466">
        <w:rPr>
          <w:rFonts w:ascii="Calibri" w:hAnsi="Calibri" w:cs="Calibri"/>
          <w:bCs/>
          <w:color w:val="000000"/>
          <w:sz w:val="22"/>
          <w:szCs w:val="22"/>
        </w:rPr>
        <w:t xml:space="preserve"> Figures 2 and 3, </w:t>
      </w:r>
      <w:r w:rsidR="008C752A">
        <w:rPr>
          <w:rFonts w:ascii="Calibri" w:hAnsi="Calibri" w:cs="Calibri"/>
          <w:bCs/>
          <w:color w:val="000000"/>
          <w:sz w:val="22"/>
          <w:szCs w:val="22"/>
        </w:rPr>
        <w:t xml:space="preserve">August and December were chosen as representative months </w:t>
      </w:r>
      <w:r w:rsidR="00C02345">
        <w:rPr>
          <w:rFonts w:ascii="Calibri" w:hAnsi="Calibri" w:cs="Calibri"/>
          <w:bCs/>
          <w:color w:val="000000"/>
          <w:sz w:val="22"/>
          <w:szCs w:val="22"/>
        </w:rPr>
        <w:t>of</w:t>
      </w:r>
      <w:r w:rsidR="008C752A">
        <w:rPr>
          <w:rFonts w:ascii="Calibri" w:hAnsi="Calibri" w:cs="Calibri"/>
          <w:bCs/>
          <w:color w:val="000000"/>
          <w:sz w:val="22"/>
          <w:szCs w:val="22"/>
        </w:rPr>
        <w:t xml:space="preserve"> the Summer and Winter seasons, respectively, because they are</w:t>
      </w:r>
      <w:r>
        <w:rPr>
          <w:rFonts w:ascii="Calibri" w:hAnsi="Calibri" w:cs="Calibri"/>
          <w:bCs/>
          <w:color w:val="000000"/>
          <w:sz w:val="22"/>
          <w:szCs w:val="22"/>
        </w:rPr>
        <w:t xml:space="preserve"> two of</w:t>
      </w:r>
      <w:r w:rsidR="008C752A">
        <w:rPr>
          <w:rFonts w:ascii="Calibri" w:hAnsi="Calibri" w:cs="Calibri"/>
          <w:bCs/>
          <w:color w:val="000000"/>
          <w:sz w:val="22"/>
          <w:szCs w:val="22"/>
        </w:rPr>
        <w:t xml:space="preserve"> the most demanding </w:t>
      </w:r>
      <w:r w:rsidR="001B47A6">
        <w:rPr>
          <w:rFonts w:ascii="Calibri" w:hAnsi="Calibri" w:cs="Calibri"/>
          <w:bCs/>
          <w:color w:val="000000"/>
          <w:sz w:val="22"/>
          <w:szCs w:val="22"/>
        </w:rPr>
        <w:t>months</w:t>
      </w:r>
      <w:r w:rsidR="008C752A">
        <w:rPr>
          <w:rFonts w:ascii="Calibri" w:hAnsi="Calibri" w:cs="Calibri"/>
          <w:bCs/>
          <w:color w:val="000000"/>
          <w:sz w:val="22"/>
          <w:szCs w:val="22"/>
        </w:rPr>
        <w:t xml:space="preserve"> of the year</w:t>
      </w:r>
      <w:r w:rsidR="00C02345">
        <w:rPr>
          <w:rFonts w:ascii="Calibri" w:hAnsi="Calibri" w:cs="Calibri"/>
          <w:bCs/>
          <w:color w:val="000000"/>
          <w:sz w:val="22"/>
          <w:szCs w:val="22"/>
        </w:rPr>
        <w:t>. T</w:t>
      </w:r>
      <w:r w:rsidR="008C752A">
        <w:rPr>
          <w:rFonts w:ascii="Calibri" w:hAnsi="Calibri" w:cs="Calibri"/>
          <w:bCs/>
          <w:color w:val="000000"/>
          <w:sz w:val="22"/>
          <w:szCs w:val="22"/>
        </w:rPr>
        <w:t>he advent of heating and air conditioning systems brought unprecedented energy demands</w:t>
      </w:r>
      <w:r w:rsidR="00C02345">
        <w:rPr>
          <w:rFonts w:ascii="Calibri" w:hAnsi="Calibri" w:cs="Calibri"/>
          <w:bCs/>
          <w:color w:val="000000"/>
          <w:sz w:val="22"/>
          <w:szCs w:val="22"/>
        </w:rPr>
        <w:t>—these</w:t>
      </w:r>
      <w:r w:rsidR="008C752A">
        <w:rPr>
          <w:rFonts w:ascii="Calibri" w:hAnsi="Calibri" w:cs="Calibri"/>
          <w:bCs/>
          <w:color w:val="000000"/>
          <w:sz w:val="22"/>
          <w:szCs w:val="22"/>
        </w:rPr>
        <w:t xml:space="preserve"> extreme temperature</w:t>
      </w:r>
      <w:r w:rsidR="001B47A6">
        <w:rPr>
          <w:rFonts w:ascii="Calibri" w:hAnsi="Calibri" w:cs="Calibri"/>
          <w:bCs/>
          <w:color w:val="000000"/>
          <w:sz w:val="22"/>
          <w:szCs w:val="22"/>
        </w:rPr>
        <w:t xml:space="preserve"> months</w:t>
      </w:r>
      <w:r w:rsidR="008C752A">
        <w:rPr>
          <w:rFonts w:ascii="Calibri" w:hAnsi="Calibri" w:cs="Calibri"/>
          <w:bCs/>
          <w:color w:val="000000"/>
          <w:sz w:val="22"/>
          <w:szCs w:val="22"/>
        </w:rPr>
        <w:t xml:space="preserve"> require the high levels of energy in order to maintain favorable temperatures.</w:t>
      </w:r>
    </w:p>
    <w:p w14:paraId="17118997" w14:textId="651D1161" w:rsidR="00716EC8" w:rsidRDefault="008C752A" w:rsidP="007D735C">
      <w:pPr>
        <w:pStyle w:val="NormalWeb"/>
        <w:shd w:val="clear" w:color="auto" w:fill="FFFFFF"/>
        <w:spacing w:before="0" w:beforeAutospacing="0" w:after="0" w:afterAutospacing="0"/>
        <w:ind w:firstLine="720"/>
        <w:rPr>
          <w:rFonts w:ascii="Calibri" w:hAnsi="Calibri" w:cs="Calibri"/>
          <w:bCs/>
          <w:color w:val="000000"/>
          <w:sz w:val="22"/>
          <w:szCs w:val="22"/>
        </w:rPr>
      </w:pPr>
      <w:r>
        <w:rPr>
          <w:rFonts w:ascii="Calibri" w:hAnsi="Calibri" w:cs="Calibri"/>
          <w:bCs/>
          <w:color w:val="000000"/>
          <w:sz w:val="22"/>
          <w:szCs w:val="22"/>
        </w:rPr>
        <w:t>Interestingly</w:t>
      </w:r>
      <w:r w:rsidR="00EF5C5B">
        <w:rPr>
          <w:rFonts w:ascii="Calibri" w:hAnsi="Calibri" w:cs="Calibri"/>
          <w:bCs/>
          <w:color w:val="000000"/>
          <w:sz w:val="22"/>
          <w:szCs w:val="22"/>
        </w:rPr>
        <w:t xml:space="preserve">, when looking at aggregate </w:t>
      </w:r>
      <w:r>
        <w:rPr>
          <w:rFonts w:ascii="Calibri" w:hAnsi="Calibri" w:cs="Calibri"/>
          <w:bCs/>
          <w:color w:val="000000"/>
          <w:sz w:val="22"/>
          <w:szCs w:val="22"/>
        </w:rPr>
        <w:t>natural gas</w:t>
      </w:r>
      <w:r w:rsidR="00EF5C5B">
        <w:rPr>
          <w:rFonts w:ascii="Calibri" w:hAnsi="Calibri" w:cs="Calibri"/>
          <w:bCs/>
          <w:color w:val="000000"/>
          <w:sz w:val="22"/>
          <w:szCs w:val="22"/>
        </w:rPr>
        <w:t xml:space="preserve"> consumption</w:t>
      </w:r>
      <w:r w:rsidR="00095833">
        <w:rPr>
          <w:rFonts w:ascii="Calibri" w:hAnsi="Calibri" w:cs="Calibri"/>
          <w:bCs/>
          <w:color w:val="000000"/>
          <w:sz w:val="22"/>
          <w:szCs w:val="22"/>
        </w:rPr>
        <w:t xml:space="preserve"> for August and December</w:t>
      </w:r>
      <w:r w:rsidR="008D4878">
        <w:rPr>
          <w:rFonts w:ascii="Calibri" w:hAnsi="Calibri" w:cs="Calibri"/>
          <w:bCs/>
          <w:color w:val="000000"/>
          <w:sz w:val="22"/>
          <w:szCs w:val="22"/>
        </w:rPr>
        <w:t xml:space="preserve"> in Figures 2b and 3b</w:t>
      </w:r>
      <w:r w:rsidR="00EF5C5B">
        <w:rPr>
          <w:rFonts w:ascii="Calibri" w:hAnsi="Calibri" w:cs="Calibri"/>
          <w:bCs/>
          <w:color w:val="000000"/>
          <w:sz w:val="22"/>
          <w:szCs w:val="22"/>
        </w:rPr>
        <w:t xml:space="preserve">, the Near West Side </w:t>
      </w:r>
      <w:r w:rsidR="00095833">
        <w:rPr>
          <w:rFonts w:ascii="Calibri" w:hAnsi="Calibri" w:cs="Calibri"/>
          <w:bCs/>
          <w:color w:val="000000"/>
          <w:sz w:val="22"/>
          <w:szCs w:val="22"/>
        </w:rPr>
        <w:t>uses the most</w:t>
      </w:r>
      <w:r>
        <w:rPr>
          <w:rFonts w:ascii="Calibri" w:hAnsi="Calibri" w:cs="Calibri"/>
          <w:bCs/>
          <w:color w:val="000000"/>
          <w:sz w:val="22"/>
          <w:szCs w:val="22"/>
        </w:rPr>
        <w:t xml:space="preserve">; this is </w:t>
      </w:r>
      <w:r w:rsidR="00095833">
        <w:rPr>
          <w:rFonts w:ascii="Calibri" w:hAnsi="Calibri" w:cs="Calibri"/>
          <w:bCs/>
          <w:color w:val="000000"/>
          <w:sz w:val="22"/>
          <w:szCs w:val="22"/>
        </w:rPr>
        <w:t>because it has many industrial buildings</w:t>
      </w:r>
      <w:r>
        <w:rPr>
          <w:rFonts w:ascii="Calibri" w:hAnsi="Calibri" w:cs="Calibri"/>
          <w:bCs/>
          <w:color w:val="000000"/>
          <w:sz w:val="22"/>
          <w:szCs w:val="22"/>
        </w:rPr>
        <w:t xml:space="preserve"> (5,796,167 therms were used in December alone).</w:t>
      </w:r>
      <w:r w:rsidR="005A29D0">
        <w:rPr>
          <w:rFonts w:ascii="Calibri" w:hAnsi="Calibri" w:cs="Calibri"/>
          <w:bCs/>
          <w:color w:val="000000"/>
          <w:sz w:val="22"/>
          <w:szCs w:val="22"/>
        </w:rPr>
        <w:t xml:space="preserve"> </w:t>
      </w:r>
      <w:r w:rsidR="00F80C91">
        <w:rPr>
          <w:rFonts w:ascii="Calibri" w:hAnsi="Calibri" w:cs="Calibri"/>
          <w:bCs/>
          <w:color w:val="000000"/>
          <w:sz w:val="22"/>
          <w:szCs w:val="22"/>
        </w:rPr>
        <w:t>Interestingly, as seen in Figure 2a,</w:t>
      </w:r>
      <w:r w:rsidR="005A29D0">
        <w:rPr>
          <w:rFonts w:ascii="Calibri" w:hAnsi="Calibri" w:cs="Calibri"/>
          <w:bCs/>
          <w:color w:val="000000"/>
          <w:sz w:val="22"/>
          <w:szCs w:val="22"/>
        </w:rPr>
        <w:t xml:space="preserve"> the Loop</w:t>
      </w:r>
      <w:r w:rsidR="00F80C91">
        <w:rPr>
          <w:rFonts w:ascii="Calibri" w:hAnsi="Calibri" w:cs="Calibri"/>
          <w:bCs/>
          <w:color w:val="000000"/>
          <w:sz w:val="22"/>
          <w:szCs w:val="22"/>
        </w:rPr>
        <w:t xml:space="preserve"> uses almost as much electricity in August as the Near West Side despite the concentration of industrial buildings on the Near West Side (48,097,101 KWH in the Loop and 51,589,125 KWH in the Near West Side) and actually uses more electricity than the Near West Side in December (62,344,363 </w:t>
      </w:r>
      <w:r w:rsidR="00716EC8">
        <w:rPr>
          <w:rFonts w:ascii="Calibri" w:hAnsi="Calibri" w:cs="Calibri"/>
          <w:bCs/>
          <w:color w:val="000000"/>
          <w:sz w:val="22"/>
          <w:szCs w:val="22"/>
        </w:rPr>
        <w:t xml:space="preserve">KWH in the Loop and </w:t>
      </w:r>
      <w:r w:rsidR="00716EC8" w:rsidRPr="00716EC8">
        <w:rPr>
          <w:rFonts w:ascii="Calibri" w:hAnsi="Calibri" w:cs="Calibri"/>
          <w:bCs/>
          <w:color w:val="000000"/>
          <w:sz w:val="22"/>
          <w:szCs w:val="22"/>
        </w:rPr>
        <w:t>40,901,987 in the Near West Side).</w:t>
      </w:r>
    </w:p>
    <w:p w14:paraId="2730A7DE" w14:textId="36313AEE" w:rsidR="007D735C" w:rsidRDefault="007D735C" w:rsidP="007D735C">
      <w:pPr>
        <w:pStyle w:val="NormalWeb"/>
        <w:shd w:val="clear" w:color="auto" w:fill="FFFFFF"/>
        <w:spacing w:before="0" w:beforeAutospacing="0" w:after="0" w:afterAutospacing="0"/>
        <w:ind w:firstLine="720"/>
        <w:rPr>
          <w:rFonts w:ascii="Calibri" w:hAnsi="Calibri" w:cs="Calibri"/>
          <w:color w:val="000000"/>
          <w:sz w:val="22"/>
          <w:szCs w:val="22"/>
        </w:rPr>
      </w:pPr>
      <w:r>
        <w:rPr>
          <w:rFonts w:ascii="Calibri" w:hAnsi="Calibri" w:cs="Calibri"/>
          <w:color w:val="000000"/>
          <w:sz w:val="22"/>
          <w:szCs w:val="22"/>
        </w:rPr>
        <w:t xml:space="preserve">Before delving too much farther into my analysis, </w:t>
      </w:r>
      <w:r w:rsidR="00C02345">
        <w:rPr>
          <w:rFonts w:ascii="Calibri" w:hAnsi="Calibri" w:cs="Calibri"/>
          <w:color w:val="000000"/>
          <w:sz w:val="22"/>
          <w:szCs w:val="22"/>
        </w:rPr>
        <w:t>I should note that t</w:t>
      </w:r>
      <w:r>
        <w:rPr>
          <w:rFonts w:ascii="Calibri" w:hAnsi="Calibri" w:cs="Calibri"/>
          <w:color w:val="000000"/>
          <w:sz w:val="22"/>
          <w:szCs w:val="22"/>
        </w:rPr>
        <w:t>he dataset specifically omitted several thousand observations due to privacy concerns</w:t>
      </w:r>
      <w:r w:rsidR="00A7437F">
        <w:rPr>
          <w:rFonts w:ascii="Calibri" w:hAnsi="Calibri" w:cs="Calibri"/>
          <w:color w:val="000000"/>
          <w:sz w:val="22"/>
          <w:szCs w:val="22"/>
        </w:rPr>
        <w:t xml:space="preserve"> and lumped them into the community observations, which are shown in the maps.</w:t>
      </w:r>
      <w:r>
        <w:rPr>
          <w:rFonts w:ascii="Calibri" w:hAnsi="Calibri" w:cs="Calibri"/>
          <w:color w:val="000000"/>
          <w:sz w:val="22"/>
          <w:szCs w:val="22"/>
        </w:rPr>
        <w:t xml:space="preserve"> Thankfully, there were more than enough</w:t>
      </w:r>
      <w:r w:rsidR="00A7437F">
        <w:rPr>
          <w:rFonts w:ascii="Calibri" w:hAnsi="Calibri" w:cs="Calibri"/>
          <w:color w:val="000000"/>
          <w:sz w:val="22"/>
          <w:szCs w:val="22"/>
        </w:rPr>
        <w:t xml:space="preserve"> residential building observations</w:t>
      </w:r>
      <w:r>
        <w:rPr>
          <w:rFonts w:ascii="Calibri" w:hAnsi="Calibri" w:cs="Calibri"/>
          <w:color w:val="000000"/>
          <w:sz w:val="22"/>
          <w:szCs w:val="22"/>
        </w:rPr>
        <w:t xml:space="preserve"> in the roughly 67,000 observations to </w:t>
      </w:r>
      <w:r w:rsidR="00A7437F">
        <w:rPr>
          <w:rFonts w:ascii="Calibri" w:hAnsi="Calibri" w:cs="Calibri"/>
          <w:color w:val="000000"/>
          <w:sz w:val="22"/>
          <w:szCs w:val="22"/>
        </w:rPr>
        <w:t xml:space="preserve">analyze. </w:t>
      </w:r>
      <w:r w:rsidR="0073419B">
        <w:rPr>
          <w:rFonts w:ascii="Calibri" w:hAnsi="Calibri" w:cs="Calibri"/>
          <w:color w:val="000000"/>
          <w:sz w:val="22"/>
          <w:szCs w:val="22"/>
        </w:rPr>
        <w:t>A</w:t>
      </w:r>
      <w:r w:rsidR="00A7437F">
        <w:rPr>
          <w:rFonts w:ascii="Calibri" w:hAnsi="Calibri" w:cs="Calibri"/>
          <w:color w:val="000000"/>
          <w:sz w:val="22"/>
          <w:szCs w:val="22"/>
        </w:rPr>
        <w:t>s show</w:t>
      </w:r>
      <w:r>
        <w:rPr>
          <w:rFonts w:ascii="Calibri" w:hAnsi="Calibri" w:cs="Calibri"/>
          <w:color w:val="000000"/>
          <w:sz w:val="22"/>
          <w:szCs w:val="22"/>
        </w:rPr>
        <w:t xml:space="preserve">n </w:t>
      </w:r>
      <w:r w:rsidR="001B47A6">
        <w:rPr>
          <w:rFonts w:ascii="Calibri" w:hAnsi="Calibri" w:cs="Calibri"/>
          <w:color w:val="000000"/>
          <w:sz w:val="22"/>
          <w:szCs w:val="22"/>
        </w:rPr>
        <w:t xml:space="preserve">in </w:t>
      </w:r>
      <w:r>
        <w:rPr>
          <w:rFonts w:ascii="Calibri" w:hAnsi="Calibri" w:cs="Calibri"/>
          <w:color w:val="000000"/>
          <w:sz w:val="22"/>
          <w:szCs w:val="22"/>
        </w:rPr>
        <w:t>Figures 4a and 4b</w:t>
      </w:r>
      <w:r w:rsidR="0073419B">
        <w:rPr>
          <w:rFonts w:ascii="Calibri" w:hAnsi="Calibri" w:cs="Calibri"/>
          <w:color w:val="000000"/>
          <w:sz w:val="22"/>
          <w:szCs w:val="22"/>
        </w:rPr>
        <w:t>, residential census blocks have very different energy demands relative to commercial and industrial census blocks</w:t>
      </w:r>
      <w:r w:rsidR="00A7437F">
        <w:rPr>
          <w:rFonts w:ascii="Calibri" w:hAnsi="Calibri" w:cs="Calibri"/>
          <w:color w:val="000000"/>
          <w:sz w:val="22"/>
          <w:szCs w:val="22"/>
        </w:rPr>
        <w:t>.</w:t>
      </w:r>
      <w:r>
        <w:rPr>
          <w:rFonts w:ascii="Calibri" w:hAnsi="Calibri" w:cs="Calibri"/>
          <w:color w:val="000000"/>
          <w:sz w:val="22"/>
          <w:szCs w:val="22"/>
        </w:rPr>
        <w:t xml:space="preserve"> </w:t>
      </w:r>
      <w:r w:rsidR="002B3A08">
        <w:rPr>
          <w:rFonts w:ascii="Calibri" w:hAnsi="Calibri" w:cs="Calibri"/>
          <w:color w:val="000000"/>
          <w:sz w:val="22"/>
          <w:szCs w:val="22"/>
        </w:rPr>
        <w:t xml:space="preserve">Presumably, residential consumers have much more straightforward energy consumption patterns so they will be the focus of the analysis moving forward. Future research could potentially </w:t>
      </w:r>
      <w:r w:rsidR="002B3A08">
        <w:rPr>
          <w:rFonts w:ascii="Calibri" w:hAnsi="Calibri" w:cs="Calibri"/>
          <w:color w:val="000000"/>
          <w:sz w:val="22"/>
          <w:szCs w:val="22"/>
        </w:rPr>
        <w:lastRenderedPageBreak/>
        <w:t>investigate commercial and industrial census blocks’ consumption patterns so long as the researcher has other data on these census blocks that could address potential omitted variable bias.</w:t>
      </w:r>
    </w:p>
    <w:p w14:paraId="1C24F2C3" w14:textId="641EA363" w:rsidR="00C762B3" w:rsidRDefault="00C762B3" w:rsidP="007D735C">
      <w:pPr>
        <w:pStyle w:val="NormalWeb"/>
        <w:shd w:val="clear" w:color="auto" w:fill="FFFFFF"/>
        <w:spacing w:before="0" w:beforeAutospacing="0" w:after="0" w:afterAutospacing="0"/>
        <w:ind w:firstLine="720"/>
        <w:rPr>
          <w:rFonts w:ascii="Calibri" w:hAnsi="Calibri" w:cs="Calibri"/>
          <w:color w:val="000000"/>
          <w:sz w:val="22"/>
          <w:szCs w:val="22"/>
        </w:rPr>
      </w:pPr>
      <w:r>
        <w:rPr>
          <w:rFonts w:ascii="Calibri" w:hAnsi="Calibri" w:cs="Calibri"/>
          <w:color w:val="000000"/>
          <w:sz w:val="22"/>
          <w:szCs w:val="22"/>
        </w:rPr>
        <w:t>For the discussion of summary statistics, I take the natural log of census block electricity and natural gas consumption. Figures 5a and 5b illustrate this; certain census blocks used remarkably high levels of energy relative to others. By taking the logs of these values, they are now normally distributed and thus may be analyzed in a simple OLS model. Additionally, all standard errors shown are clustered around community to address any potential clustering effects within communities.</w:t>
      </w:r>
    </w:p>
    <w:p w14:paraId="5BE0188A" w14:textId="0A55E453" w:rsidR="00E83D85" w:rsidRDefault="00D2434F" w:rsidP="007D735C">
      <w:pPr>
        <w:pStyle w:val="NormalWeb"/>
        <w:shd w:val="clear" w:color="auto" w:fill="FFFFFF"/>
        <w:spacing w:before="0" w:beforeAutospacing="0" w:after="0" w:afterAutospacing="0"/>
        <w:ind w:firstLine="720"/>
        <w:rPr>
          <w:rFonts w:ascii="Calibri" w:hAnsi="Calibri" w:cs="Calibri"/>
          <w:color w:val="000000"/>
          <w:sz w:val="22"/>
          <w:szCs w:val="22"/>
        </w:rPr>
      </w:pPr>
      <w:r>
        <w:rPr>
          <w:rFonts w:ascii="Calibri" w:hAnsi="Calibri" w:cs="Calibri"/>
          <w:color w:val="000000"/>
          <w:sz w:val="22"/>
          <w:szCs w:val="22"/>
        </w:rPr>
        <w:t>In Table 1 below, I list a number of summary statistics regarding census block</w:t>
      </w:r>
      <w:r w:rsidR="00C02345">
        <w:rPr>
          <w:rFonts w:ascii="Calibri" w:hAnsi="Calibri" w:cs="Calibri"/>
          <w:color w:val="000000"/>
          <w:sz w:val="22"/>
          <w:szCs w:val="22"/>
        </w:rPr>
        <w:t xml:space="preserve">, </w:t>
      </w:r>
      <w:r>
        <w:rPr>
          <w:rFonts w:ascii="Calibri" w:hAnsi="Calibri" w:cs="Calibri"/>
          <w:color w:val="000000"/>
          <w:sz w:val="22"/>
          <w:szCs w:val="22"/>
        </w:rPr>
        <w:t>climate characteristics</w:t>
      </w:r>
      <w:r w:rsidR="00C02345">
        <w:rPr>
          <w:rFonts w:ascii="Calibri" w:hAnsi="Calibri" w:cs="Calibri"/>
          <w:color w:val="000000"/>
          <w:sz w:val="22"/>
          <w:szCs w:val="22"/>
        </w:rPr>
        <w:t>,</w:t>
      </w:r>
      <w:r>
        <w:rPr>
          <w:rFonts w:ascii="Calibri" w:hAnsi="Calibri" w:cs="Calibri"/>
          <w:color w:val="000000"/>
          <w:sz w:val="22"/>
          <w:szCs w:val="22"/>
        </w:rPr>
        <w:t xml:space="preserve"> and their effect on</w:t>
      </w:r>
      <w:r w:rsidR="00C02345">
        <w:rPr>
          <w:rFonts w:ascii="Calibri" w:hAnsi="Calibri" w:cs="Calibri"/>
          <w:color w:val="000000"/>
          <w:sz w:val="22"/>
          <w:szCs w:val="22"/>
        </w:rPr>
        <w:t xml:space="preserve"> aggregate</w:t>
      </w:r>
      <w:r>
        <w:rPr>
          <w:rFonts w:ascii="Calibri" w:hAnsi="Calibri" w:cs="Calibri"/>
          <w:color w:val="000000"/>
          <w:sz w:val="22"/>
          <w:szCs w:val="22"/>
        </w:rPr>
        <w:t xml:space="preserve"> energy consumption</w:t>
      </w:r>
      <w:r w:rsidR="000326C6">
        <w:rPr>
          <w:rFonts w:ascii="Calibri" w:hAnsi="Calibri" w:cs="Calibri"/>
          <w:color w:val="000000"/>
          <w:sz w:val="22"/>
          <w:szCs w:val="22"/>
        </w:rPr>
        <w:t xml:space="preserve"> during each month of 2010</w:t>
      </w:r>
      <w:r>
        <w:rPr>
          <w:rFonts w:ascii="Calibri" w:hAnsi="Calibri" w:cs="Calibri"/>
          <w:color w:val="000000"/>
          <w:sz w:val="22"/>
          <w:szCs w:val="22"/>
        </w:rPr>
        <w:t xml:space="preserve">. </w:t>
      </w:r>
      <w:r w:rsidR="00690C2D">
        <w:rPr>
          <w:rFonts w:ascii="Calibri" w:hAnsi="Calibri" w:cs="Calibri"/>
          <w:color w:val="000000"/>
          <w:sz w:val="22"/>
          <w:szCs w:val="22"/>
        </w:rPr>
        <w:t>I am more interested in aggregate consumption here because I would like to reflect on how building size impacts aggregate consumption;</w:t>
      </w:r>
      <w:r w:rsidR="00E83D85">
        <w:rPr>
          <w:rFonts w:ascii="Calibri" w:hAnsi="Calibri" w:cs="Calibri"/>
          <w:color w:val="000000"/>
          <w:sz w:val="22"/>
          <w:szCs w:val="22"/>
        </w:rPr>
        <w:t xml:space="preserve"> I look at energy consumption per square foot later in the report in order to take a closer look at individual preferences. </w:t>
      </w:r>
    </w:p>
    <w:p w14:paraId="26ABBB34" w14:textId="4E6E5745" w:rsidR="00D2434F" w:rsidRPr="007D735C" w:rsidRDefault="00D2434F" w:rsidP="007D735C">
      <w:pPr>
        <w:pStyle w:val="NormalWeb"/>
        <w:shd w:val="clear" w:color="auto" w:fill="FFFFFF"/>
        <w:spacing w:before="0" w:beforeAutospacing="0" w:after="0" w:afterAutospacing="0"/>
        <w:ind w:firstLine="720"/>
        <w:rPr>
          <w:rFonts w:ascii="Calibri" w:hAnsi="Calibri" w:cs="Calibri"/>
          <w:color w:val="000000"/>
          <w:sz w:val="22"/>
          <w:szCs w:val="22"/>
        </w:rPr>
      </w:pPr>
      <w:r>
        <w:rPr>
          <w:rFonts w:ascii="Calibri" w:hAnsi="Calibri" w:cs="Calibri"/>
          <w:color w:val="000000"/>
          <w:sz w:val="22"/>
          <w:szCs w:val="22"/>
        </w:rPr>
        <w:t xml:space="preserve">Initially, the negative </w:t>
      </w:r>
      <w:r w:rsidR="002015E6">
        <w:rPr>
          <w:rFonts w:ascii="Calibri" w:hAnsi="Calibri" w:cs="Calibri"/>
          <w:color w:val="000000"/>
          <w:sz w:val="22"/>
          <w:szCs w:val="22"/>
        </w:rPr>
        <w:t>relationship between average building age and electricity consumption</w:t>
      </w:r>
      <w:r>
        <w:rPr>
          <w:rFonts w:ascii="Calibri" w:hAnsi="Calibri" w:cs="Calibri"/>
          <w:color w:val="000000"/>
          <w:sz w:val="22"/>
          <w:szCs w:val="22"/>
        </w:rPr>
        <w:t xml:space="preserve"> seems counterintuitive</w:t>
      </w:r>
      <w:r w:rsidR="002015E6">
        <w:rPr>
          <w:rFonts w:ascii="Calibri" w:hAnsi="Calibri" w:cs="Calibri"/>
          <w:color w:val="000000"/>
          <w:sz w:val="22"/>
          <w:szCs w:val="22"/>
        </w:rPr>
        <w:t xml:space="preserve"> because newer homes are built to be more efficient than their predecessors</w:t>
      </w:r>
      <w:r>
        <w:rPr>
          <w:rFonts w:ascii="Calibri" w:hAnsi="Calibri" w:cs="Calibri"/>
          <w:color w:val="000000"/>
          <w:sz w:val="22"/>
          <w:szCs w:val="22"/>
        </w:rPr>
        <w:t xml:space="preserve">. </w:t>
      </w:r>
      <w:r w:rsidR="00B76169">
        <w:rPr>
          <w:rFonts w:ascii="Calibri" w:hAnsi="Calibri" w:cs="Calibri"/>
          <w:color w:val="000000"/>
          <w:sz w:val="22"/>
          <w:szCs w:val="22"/>
        </w:rPr>
        <w:t>But this is likely because newer buildings are built to be bigger, house more people, have more amenities, etc.</w:t>
      </w:r>
      <w:r w:rsidR="002015E6">
        <w:rPr>
          <w:rFonts w:ascii="Calibri" w:hAnsi="Calibri" w:cs="Calibri"/>
          <w:color w:val="000000"/>
          <w:sz w:val="22"/>
          <w:szCs w:val="22"/>
        </w:rPr>
        <w:t>,</w:t>
      </w:r>
      <w:r w:rsidR="00B76169">
        <w:rPr>
          <w:rFonts w:ascii="Calibri" w:hAnsi="Calibri" w:cs="Calibri"/>
          <w:color w:val="000000"/>
          <w:sz w:val="22"/>
          <w:szCs w:val="22"/>
        </w:rPr>
        <w:t xml:space="preserve"> than older buildings</w:t>
      </w:r>
      <w:r w:rsidR="002015E6">
        <w:rPr>
          <w:rFonts w:ascii="Calibri" w:hAnsi="Calibri" w:cs="Calibri"/>
          <w:color w:val="000000"/>
          <w:sz w:val="22"/>
          <w:szCs w:val="22"/>
        </w:rPr>
        <w:t>, resulting in</w:t>
      </w:r>
      <w:r w:rsidR="00B76169">
        <w:rPr>
          <w:rFonts w:ascii="Calibri" w:hAnsi="Calibri" w:cs="Calibri"/>
          <w:color w:val="000000"/>
          <w:sz w:val="22"/>
          <w:szCs w:val="22"/>
        </w:rPr>
        <w:t xml:space="preserve"> higher </w:t>
      </w:r>
      <w:r w:rsidR="002015E6">
        <w:rPr>
          <w:rFonts w:ascii="Calibri" w:hAnsi="Calibri" w:cs="Calibri"/>
          <w:color w:val="000000"/>
          <w:sz w:val="22"/>
          <w:szCs w:val="22"/>
        </w:rPr>
        <w:t>electricity</w:t>
      </w:r>
      <w:r w:rsidR="00B76169">
        <w:rPr>
          <w:rFonts w:ascii="Calibri" w:hAnsi="Calibri" w:cs="Calibri"/>
          <w:color w:val="000000"/>
          <w:sz w:val="22"/>
          <w:szCs w:val="22"/>
        </w:rPr>
        <w:t xml:space="preserve"> demands.</w:t>
      </w:r>
      <w:r w:rsidR="00E83D85">
        <w:rPr>
          <w:rFonts w:ascii="Calibri" w:hAnsi="Calibri" w:cs="Calibri"/>
          <w:color w:val="000000"/>
          <w:sz w:val="22"/>
          <w:szCs w:val="22"/>
        </w:rPr>
        <w:t xml:space="preserve"> </w:t>
      </w:r>
      <w:r w:rsidR="0032479D">
        <w:rPr>
          <w:rFonts w:ascii="Calibri" w:hAnsi="Calibri" w:cs="Calibri"/>
          <w:color w:val="000000"/>
          <w:sz w:val="22"/>
          <w:szCs w:val="22"/>
        </w:rPr>
        <w:t xml:space="preserve">Surprisingly, we do not see a statistically significant relationship between average number of stories and </w:t>
      </w:r>
      <w:r w:rsidR="002B3A08">
        <w:rPr>
          <w:rFonts w:ascii="Calibri" w:hAnsi="Calibri" w:cs="Calibri"/>
          <w:color w:val="000000"/>
          <w:sz w:val="22"/>
          <w:szCs w:val="22"/>
        </w:rPr>
        <w:t>energy</w:t>
      </w:r>
      <w:r w:rsidR="0032479D">
        <w:rPr>
          <w:rFonts w:ascii="Calibri" w:hAnsi="Calibri" w:cs="Calibri"/>
          <w:color w:val="000000"/>
          <w:sz w:val="22"/>
          <w:szCs w:val="22"/>
        </w:rPr>
        <w:t xml:space="preserve"> consumption</w:t>
      </w:r>
      <w:r w:rsidR="002B3A08">
        <w:rPr>
          <w:rFonts w:ascii="Calibri" w:hAnsi="Calibri" w:cs="Calibri"/>
          <w:color w:val="000000"/>
          <w:sz w:val="22"/>
          <w:szCs w:val="22"/>
        </w:rPr>
        <w:t>.</w:t>
      </w:r>
    </w:p>
    <w:p w14:paraId="791CA430" w14:textId="2168651A" w:rsidR="00716EC8" w:rsidRDefault="00716EC8" w:rsidP="00716EC8">
      <w:pPr>
        <w:pStyle w:val="NormalWeb"/>
        <w:shd w:val="clear" w:color="auto" w:fill="FFFFFF"/>
        <w:spacing w:before="0" w:beforeAutospacing="0" w:after="0" w:afterAutospacing="0"/>
        <w:rPr>
          <w:rFonts w:ascii="Calibri" w:hAnsi="Calibri" w:cs="Calibri"/>
          <w:color w:val="000000"/>
          <w:sz w:val="22"/>
          <w:szCs w:val="22"/>
        </w:rPr>
      </w:pPr>
      <w:r w:rsidRPr="00716EC8">
        <w:rPr>
          <w:rFonts w:ascii="Calibri" w:hAnsi="Calibri" w:cs="Calibri"/>
          <w:color w:val="000000"/>
          <w:sz w:val="22"/>
          <w:szCs w:val="22"/>
        </w:rPr>
        <w:tab/>
      </w:r>
      <w:r w:rsidR="002B3A08">
        <w:rPr>
          <w:rFonts w:ascii="Calibri" w:hAnsi="Calibri" w:cs="Calibri"/>
          <w:color w:val="000000"/>
          <w:sz w:val="22"/>
          <w:szCs w:val="22"/>
        </w:rPr>
        <w:t>As expected</w:t>
      </w:r>
      <w:r>
        <w:rPr>
          <w:rFonts w:ascii="Calibri" w:hAnsi="Calibri" w:cs="Calibri"/>
          <w:color w:val="000000"/>
          <w:sz w:val="22"/>
          <w:szCs w:val="22"/>
        </w:rPr>
        <w:t xml:space="preserve">, the </w:t>
      </w:r>
      <w:r w:rsidR="007D735C">
        <w:rPr>
          <w:rFonts w:ascii="Calibri" w:hAnsi="Calibri" w:cs="Calibri"/>
          <w:color w:val="000000"/>
          <w:sz w:val="22"/>
          <w:szCs w:val="22"/>
        </w:rPr>
        <w:t xml:space="preserve">data </w:t>
      </w:r>
      <w:r w:rsidR="00B76169">
        <w:rPr>
          <w:rFonts w:ascii="Calibri" w:hAnsi="Calibri" w:cs="Calibri"/>
          <w:color w:val="000000"/>
          <w:sz w:val="22"/>
          <w:szCs w:val="22"/>
        </w:rPr>
        <w:t xml:space="preserve">also </w:t>
      </w:r>
      <w:r w:rsidR="007D735C">
        <w:rPr>
          <w:rFonts w:ascii="Calibri" w:hAnsi="Calibri" w:cs="Calibri"/>
          <w:color w:val="000000"/>
          <w:sz w:val="22"/>
          <w:szCs w:val="22"/>
        </w:rPr>
        <w:t xml:space="preserve">reflects a seasonal change in energy consumption; as </w:t>
      </w:r>
      <w:r w:rsidR="00E53D07">
        <w:rPr>
          <w:rFonts w:ascii="Calibri" w:hAnsi="Calibri" w:cs="Calibri"/>
          <w:color w:val="000000"/>
          <w:sz w:val="22"/>
          <w:szCs w:val="22"/>
        </w:rPr>
        <w:t>average temperature</w:t>
      </w:r>
      <w:r w:rsidR="007D735C">
        <w:rPr>
          <w:rFonts w:ascii="Calibri" w:hAnsi="Calibri" w:cs="Calibri"/>
          <w:color w:val="000000"/>
          <w:sz w:val="22"/>
          <w:szCs w:val="22"/>
        </w:rPr>
        <w:t xml:space="preserve"> </w:t>
      </w:r>
      <w:r w:rsidR="00E53D07">
        <w:rPr>
          <w:rFonts w:ascii="Calibri" w:hAnsi="Calibri" w:cs="Calibri"/>
          <w:color w:val="000000"/>
          <w:sz w:val="22"/>
          <w:szCs w:val="22"/>
        </w:rPr>
        <w:t xml:space="preserve">for a given month </w:t>
      </w:r>
      <w:r w:rsidR="00A7437F">
        <w:rPr>
          <w:rFonts w:ascii="Calibri" w:hAnsi="Calibri" w:cs="Calibri"/>
          <w:color w:val="000000"/>
          <w:sz w:val="22"/>
          <w:szCs w:val="22"/>
        </w:rPr>
        <w:t>increases by 1 degree</w:t>
      </w:r>
      <w:r w:rsidR="007D735C">
        <w:rPr>
          <w:rFonts w:ascii="Calibri" w:hAnsi="Calibri" w:cs="Calibri"/>
          <w:color w:val="000000"/>
          <w:sz w:val="22"/>
          <w:szCs w:val="22"/>
        </w:rPr>
        <w:t xml:space="preserve">, we see an </w:t>
      </w:r>
      <w:r w:rsidR="00E53D07">
        <w:rPr>
          <w:rFonts w:ascii="Calibri" w:hAnsi="Calibri" w:cs="Calibri"/>
          <w:color w:val="000000"/>
          <w:sz w:val="22"/>
          <w:szCs w:val="22"/>
        </w:rPr>
        <w:t xml:space="preserve">increase in electricity consumption by </w:t>
      </w:r>
      <w:r w:rsidR="002015E6">
        <w:rPr>
          <w:rFonts w:ascii="Calibri" w:hAnsi="Calibri" w:cs="Calibri"/>
          <w:color w:val="000000"/>
          <w:sz w:val="22"/>
          <w:szCs w:val="22"/>
        </w:rPr>
        <w:t>.6%</w:t>
      </w:r>
      <w:r w:rsidR="00E53D07">
        <w:rPr>
          <w:rFonts w:ascii="Calibri" w:hAnsi="Calibri" w:cs="Calibri"/>
          <w:color w:val="000000"/>
          <w:sz w:val="22"/>
          <w:szCs w:val="22"/>
        </w:rPr>
        <w:t xml:space="preserve"> KWH for residential buildings. Conversely, a</w:t>
      </w:r>
      <w:r w:rsidR="0072480E">
        <w:rPr>
          <w:rFonts w:ascii="Calibri" w:hAnsi="Calibri" w:cs="Calibri"/>
          <w:color w:val="000000"/>
          <w:sz w:val="22"/>
          <w:szCs w:val="22"/>
        </w:rPr>
        <w:t>n</w:t>
      </w:r>
      <w:r w:rsidR="00E53D07">
        <w:rPr>
          <w:rFonts w:ascii="Calibri" w:hAnsi="Calibri" w:cs="Calibri"/>
          <w:color w:val="000000"/>
          <w:sz w:val="22"/>
          <w:szCs w:val="22"/>
        </w:rPr>
        <w:t xml:space="preserve"> </w:t>
      </w:r>
      <w:r w:rsidR="00AD3D30">
        <w:rPr>
          <w:rFonts w:ascii="Calibri" w:hAnsi="Calibri" w:cs="Calibri"/>
          <w:color w:val="000000"/>
          <w:sz w:val="22"/>
          <w:szCs w:val="22"/>
        </w:rPr>
        <w:t>increase</w:t>
      </w:r>
      <w:r w:rsidR="00E53D07">
        <w:rPr>
          <w:rFonts w:ascii="Calibri" w:hAnsi="Calibri" w:cs="Calibri"/>
          <w:color w:val="000000"/>
          <w:sz w:val="22"/>
          <w:szCs w:val="22"/>
        </w:rPr>
        <w:t xml:space="preserve"> in average temperature by one degree is associated with a </w:t>
      </w:r>
      <w:r w:rsidR="002015E6">
        <w:rPr>
          <w:rFonts w:ascii="Calibri" w:hAnsi="Calibri" w:cs="Calibri"/>
          <w:color w:val="000000"/>
          <w:sz w:val="22"/>
          <w:szCs w:val="22"/>
        </w:rPr>
        <w:t xml:space="preserve">4.4% therm decrease </w:t>
      </w:r>
      <w:r w:rsidR="00E53D07">
        <w:rPr>
          <w:rFonts w:ascii="Calibri" w:hAnsi="Calibri" w:cs="Calibri"/>
          <w:color w:val="000000"/>
          <w:sz w:val="22"/>
          <w:szCs w:val="22"/>
        </w:rPr>
        <w:t>for residential buildings</w:t>
      </w:r>
      <w:r w:rsidR="0089220C">
        <w:rPr>
          <w:rFonts w:ascii="Calibri" w:hAnsi="Calibri" w:cs="Calibri"/>
          <w:color w:val="000000"/>
          <w:sz w:val="22"/>
          <w:szCs w:val="22"/>
        </w:rPr>
        <w:t>.</w:t>
      </w:r>
      <w:r w:rsidR="00E53D07">
        <w:rPr>
          <w:rFonts w:ascii="Calibri" w:hAnsi="Calibri" w:cs="Calibri"/>
          <w:color w:val="000000"/>
          <w:sz w:val="22"/>
          <w:szCs w:val="22"/>
        </w:rPr>
        <w:t xml:space="preserve"> The positive relationship between electricity and temperature reflects the high demand of air condition</w:t>
      </w:r>
      <w:r w:rsidR="002015E6">
        <w:rPr>
          <w:rFonts w:ascii="Calibri" w:hAnsi="Calibri" w:cs="Calibri"/>
          <w:color w:val="000000"/>
          <w:sz w:val="22"/>
          <w:szCs w:val="22"/>
        </w:rPr>
        <w:t>ing</w:t>
      </w:r>
      <w:r w:rsidR="00E53D07">
        <w:rPr>
          <w:rFonts w:ascii="Calibri" w:hAnsi="Calibri" w:cs="Calibri"/>
          <w:color w:val="000000"/>
          <w:sz w:val="22"/>
          <w:szCs w:val="22"/>
        </w:rPr>
        <w:t xml:space="preserve"> during summer months</w:t>
      </w:r>
      <w:r w:rsidR="0074324E">
        <w:rPr>
          <w:rFonts w:ascii="Calibri" w:hAnsi="Calibri" w:cs="Calibri"/>
          <w:color w:val="000000"/>
          <w:sz w:val="22"/>
          <w:szCs w:val="22"/>
        </w:rPr>
        <w:t xml:space="preserve"> while </w:t>
      </w:r>
      <w:r w:rsidR="00E53D07">
        <w:rPr>
          <w:rFonts w:ascii="Calibri" w:hAnsi="Calibri" w:cs="Calibri"/>
          <w:color w:val="000000"/>
          <w:sz w:val="22"/>
          <w:szCs w:val="22"/>
        </w:rPr>
        <w:t xml:space="preserve">the inverse relationship between natural gas consumption and temperature reflects the </w:t>
      </w:r>
      <w:r w:rsidR="0074324E">
        <w:rPr>
          <w:rFonts w:ascii="Calibri" w:hAnsi="Calibri" w:cs="Calibri"/>
          <w:color w:val="000000"/>
          <w:sz w:val="22"/>
          <w:szCs w:val="22"/>
        </w:rPr>
        <w:t xml:space="preserve">high demand of </w:t>
      </w:r>
      <w:r w:rsidR="002015E6">
        <w:rPr>
          <w:rFonts w:ascii="Calibri" w:hAnsi="Calibri" w:cs="Calibri"/>
          <w:color w:val="000000"/>
          <w:sz w:val="22"/>
          <w:szCs w:val="22"/>
        </w:rPr>
        <w:t>heating</w:t>
      </w:r>
      <w:r w:rsidR="0074324E">
        <w:rPr>
          <w:rFonts w:ascii="Calibri" w:hAnsi="Calibri" w:cs="Calibri"/>
          <w:color w:val="000000"/>
          <w:sz w:val="22"/>
          <w:szCs w:val="22"/>
        </w:rPr>
        <w:t xml:space="preserve"> during winter months</w:t>
      </w:r>
      <w:r w:rsidR="002015E6">
        <w:rPr>
          <w:rFonts w:ascii="Calibri" w:hAnsi="Calibri" w:cs="Calibri"/>
          <w:color w:val="000000"/>
          <w:sz w:val="22"/>
          <w:szCs w:val="22"/>
        </w:rPr>
        <w:t>, thus reflecting the seasonal pattern we expected to see</w:t>
      </w:r>
      <w:r w:rsidR="0074324E">
        <w:rPr>
          <w:rFonts w:ascii="Calibri" w:hAnsi="Calibri" w:cs="Calibri"/>
          <w:color w:val="000000"/>
          <w:sz w:val="22"/>
          <w:szCs w:val="22"/>
        </w:rPr>
        <w:t xml:space="preserve">. </w:t>
      </w:r>
    </w:p>
    <w:p w14:paraId="73F8CD11" w14:textId="77777777" w:rsidR="00690C2D" w:rsidRPr="00716EC8" w:rsidRDefault="00690C2D" w:rsidP="00716EC8">
      <w:pPr>
        <w:pStyle w:val="NormalWeb"/>
        <w:shd w:val="clear" w:color="auto" w:fill="FFFFFF"/>
        <w:spacing w:before="0" w:beforeAutospacing="0" w:after="0" w:afterAutospacing="0"/>
        <w:rPr>
          <w:rFonts w:ascii="Calibri" w:hAnsi="Calibri" w:cs="Calibri"/>
          <w:color w:val="000000"/>
          <w:sz w:val="22"/>
          <w:szCs w:val="22"/>
        </w:rPr>
      </w:pPr>
    </w:p>
    <w:p w14:paraId="6469321E" w14:textId="0926B804" w:rsidR="00644D77" w:rsidRPr="00EF5C5B" w:rsidRDefault="0072480E" w:rsidP="00A67E21">
      <w:pPr>
        <w:pStyle w:val="NormalWeb"/>
        <w:shd w:val="clear" w:color="auto" w:fill="FFFFFF"/>
        <w:spacing w:before="0" w:beforeAutospacing="0" w:after="0" w:afterAutospacing="0"/>
        <w:rPr>
          <w:rFonts w:ascii="Calibri" w:hAnsi="Calibri" w:cs="Calibri"/>
          <w:color w:val="000000"/>
          <w:sz w:val="28"/>
          <w:szCs w:val="28"/>
        </w:rPr>
      </w:pPr>
      <w:r>
        <w:rPr>
          <w:rFonts w:ascii="Calibri" w:hAnsi="Calibri" w:cs="Calibri"/>
          <w:b/>
          <w:bCs/>
          <w:color w:val="000000"/>
          <w:sz w:val="28"/>
          <w:szCs w:val="28"/>
        </w:rPr>
        <w:t>Energy Demand</w:t>
      </w:r>
      <w:r w:rsidR="00A67E21" w:rsidRPr="00EF5C5B">
        <w:rPr>
          <w:rFonts w:ascii="Calibri" w:hAnsi="Calibri" w:cs="Calibri"/>
          <w:b/>
          <w:bCs/>
          <w:color w:val="000000"/>
          <w:sz w:val="28"/>
          <w:szCs w:val="28"/>
        </w:rPr>
        <w:t xml:space="preserve"> and </w:t>
      </w:r>
      <w:r w:rsidR="00205F7F">
        <w:rPr>
          <w:rFonts w:ascii="Calibri" w:hAnsi="Calibri" w:cs="Calibri"/>
          <w:b/>
          <w:bCs/>
          <w:color w:val="000000"/>
          <w:sz w:val="28"/>
          <w:szCs w:val="28"/>
        </w:rPr>
        <w:t>D</w:t>
      </w:r>
      <w:r w:rsidR="00A67E21" w:rsidRPr="00EF5C5B">
        <w:rPr>
          <w:rFonts w:ascii="Calibri" w:hAnsi="Calibri" w:cs="Calibri"/>
          <w:b/>
          <w:bCs/>
          <w:color w:val="000000"/>
          <w:sz w:val="28"/>
          <w:szCs w:val="28"/>
        </w:rPr>
        <w:t xml:space="preserve">irections for </w:t>
      </w:r>
      <w:r w:rsidR="00205F7F">
        <w:rPr>
          <w:rFonts w:ascii="Calibri" w:hAnsi="Calibri" w:cs="Calibri"/>
          <w:b/>
          <w:bCs/>
          <w:color w:val="000000"/>
          <w:sz w:val="28"/>
          <w:szCs w:val="28"/>
        </w:rPr>
        <w:t>F</w:t>
      </w:r>
      <w:r w:rsidR="00A67E21" w:rsidRPr="00EF5C5B">
        <w:rPr>
          <w:rFonts w:ascii="Calibri" w:hAnsi="Calibri" w:cs="Calibri"/>
          <w:b/>
          <w:bCs/>
          <w:color w:val="000000"/>
          <w:sz w:val="28"/>
          <w:szCs w:val="28"/>
        </w:rPr>
        <w:t xml:space="preserve">uture </w:t>
      </w:r>
      <w:r w:rsidR="00205F7F">
        <w:rPr>
          <w:rFonts w:ascii="Calibri" w:hAnsi="Calibri" w:cs="Calibri"/>
          <w:b/>
          <w:bCs/>
          <w:color w:val="000000"/>
          <w:sz w:val="28"/>
          <w:szCs w:val="28"/>
        </w:rPr>
        <w:t>R</w:t>
      </w:r>
      <w:r w:rsidR="00A67E21" w:rsidRPr="00EF5C5B">
        <w:rPr>
          <w:rFonts w:ascii="Calibri" w:hAnsi="Calibri" w:cs="Calibri"/>
          <w:b/>
          <w:bCs/>
          <w:color w:val="000000"/>
          <w:sz w:val="28"/>
          <w:szCs w:val="28"/>
        </w:rPr>
        <w:t>esearch</w:t>
      </w:r>
    </w:p>
    <w:p w14:paraId="2F08A367" w14:textId="30E90E88" w:rsidR="0072480E" w:rsidRDefault="00644D77" w:rsidP="0072480E">
      <w:pPr>
        <w:pStyle w:val="NormalWeb"/>
        <w:shd w:val="clear" w:color="auto" w:fill="FFFFFF"/>
        <w:spacing w:before="0" w:beforeAutospacing="0" w:after="0" w:afterAutospacing="0"/>
        <w:ind w:firstLine="720"/>
        <w:rPr>
          <w:rFonts w:ascii="Calibri" w:hAnsi="Calibri" w:cs="Calibri"/>
          <w:color w:val="000000"/>
          <w:sz w:val="22"/>
          <w:szCs w:val="22"/>
        </w:rPr>
      </w:pPr>
      <w:r>
        <w:rPr>
          <w:rFonts w:ascii="Calibri" w:hAnsi="Calibri" w:cs="Calibri"/>
          <w:color w:val="000000"/>
          <w:sz w:val="22"/>
          <w:szCs w:val="22"/>
        </w:rPr>
        <w:t xml:space="preserve">Over the course of this project, I learned more about the distribution of energy consumption across the City of Chicago and that there is a statistically significant relationship between temperature and energy consumption. </w:t>
      </w:r>
      <w:r w:rsidR="0072480E">
        <w:rPr>
          <w:rFonts w:ascii="Calibri" w:hAnsi="Calibri" w:cs="Calibri"/>
          <w:color w:val="000000"/>
          <w:sz w:val="22"/>
          <w:szCs w:val="22"/>
        </w:rPr>
        <w:t>Unfortunately, I could not determine the price elasticities for natural gas and electricity because prices were not included in the dataset. While I tried using average prices for electricity and natural gas from the Bureau of Labor Statistics</w:t>
      </w:r>
      <w:r w:rsidR="0032479D">
        <w:rPr>
          <w:rFonts w:ascii="Calibri" w:hAnsi="Calibri" w:cs="Calibri"/>
          <w:color w:val="000000"/>
          <w:sz w:val="22"/>
          <w:szCs w:val="22"/>
          <w:vertAlign w:val="superscript"/>
        </w:rPr>
        <w:t>5</w:t>
      </w:r>
      <w:r w:rsidR="0072480E">
        <w:rPr>
          <w:rFonts w:ascii="Calibri" w:hAnsi="Calibri" w:cs="Calibri"/>
          <w:color w:val="000000"/>
          <w:sz w:val="22"/>
          <w:szCs w:val="22"/>
        </w:rPr>
        <w:t xml:space="preserve"> and Illinois Commerce Commission</w:t>
      </w:r>
      <w:r w:rsidR="0032479D">
        <w:rPr>
          <w:rFonts w:ascii="Calibri" w:hAnsi="Calibri" w:cs="Calibri"/>
          <w:color w:val="000000"/>
          <w:sz w:val="22"/>
          <w:szCs w:val="22"/>
          <w:vertAlign w:val="superscript"/>
        </w:rPr>
        <w:t>6</w:t>
      </w:r>
      <w:r w:rsidR="0072480E">
        <w:rPr>
          <w:rFonts w:ascii="Calibri" w:hAnsi="Calibri" w:cs="Calibri"/>
          <w:color w:val="000000"/>
          <w:sz w:val="22"/>
          <w:szCs w:val="22"/>
        </w:rPr>
        <w:t xml:space="preserve">, respectively, the results were </w:t>
      </w:r>
      <w:r w:rsidR="002015E6">
        <w:rPr>
          <w:rFonts w:ascii="Calibri" w:hAnsi="Calibri" w:cs="Calibri"/>
          <w:color w:val="000000"/>
          <w:sz w:val="22"/>
          <w:szCs w:val="22"/>
        </w:rPr>
        <w:t>inconclusive</w:t>
      </w:r>
      <w:r w:rsidR="0072480E">
        <w:rPr>
          <w:rFonts w:ascii="Calibri" w:hAnsi="Calibri" w:cs="Calibri"/>
          <w:color w:val="000000"/>
          <w:sz w:val="22"/>
          <w:szCs w:val="22"/>
        </w:rPr>
        <w:t xml:space="preserve">. </w:t>
      </w:r>
      <w:r w:rsidR="002015E6">
        <w:rPr>
          <w:rFonts w:ascii="Calibri" w:hAnsi="Calibri" w:cs="Calibri"/>
          <w:color w:val="000000"/>
          <w:sz w:val="22"/>
          <w:szCs w:val="22"/>
        </w:rPr>
        <w:t>Further work could potentially be done with Chicago’s utility companies to determine electricity and natural prices to the census blocks within this dataset.</w:t>
      </w:r>
    </w:p>
    <w:p w14:paraId="75941C8D" w14:textId="04A0FCA3" w:rsidR="00D43E97" w:rsidRDefault="00D43E97" w:rsidP="0072480E">
      <w:pPr>
        <w:pStyle w:val="NormalWeb"/>
        <w:shd w:val="clear" w:color="auto" w:fill="FFFFFF"/>
        <w:spacing w:before="0" w:beforeAutospacing="0" w:after="0" w:afterAutospacing="0"/>
        <w:ind w:firstLine="720"/>
        <w:rPr>
          <w:rFonts w:ascii="Calibri" w:hAnsi="Calibri" w:cs="Calibri"/>
          <w:color w:val="000000"/>
          <w:sz w:val="22"/>
          <w:szCs w:val="22"/>
        </w:rPr>
      </w:pPr>
      <w:r>
        <w:rPr>
          <w:rFonts w:ascii="Calibri" w:hAnsi="Calibri" w:cs="Calibri"/>
          <w:color w:val="000000"/>
          <w:sz w:val="22"/>
          <w:szCs w:val="22"/>
        </w:rPr>
        <w:t xml:space="preserve">I would </w:t>
      </w:r>
      <w:r w:rsidR="00FC2E0A">
        <w:rPr>
          <w:rFonts w:ascii="Calibri" w:hAnsi="Calibri" w:cs="Calibri"/>
          <w:color w:val="000000"/>
          <w:sz w:val="22"/>
          <w:szCs w:val="22"/>
        </w:rPr>
        <w:t xml:space="preserve">also </w:t>
      </w:r>
      <w:r>
        <w:rPr>
          <w:rFonts w:ascii="Calibri" w:hAnsi="Calibri" w:cs="Calibri"/>
          <w:color w:val="000000"/>
          <w:sz w:val="22"/>
          <w:szCs w:val="22"/>
        </w:rPr>
        <w:t xml:space="preserve">like to investigate </w:t>
      </w:r>
      <w:r w:rsidR="005109DC">
        <w:rPr>
          <w:rFonts w:ascii="Calibri" w:hAnsi="Calibri" w:cs="Calibri"/>
          <w:color w:val="000000"/>
          <w:sz w:val="22"/>
          <w:szCs w:val="22"/>
        </w:rPr>
        <w:t xml:space="preserve">what I suspect to be a </w:t>
      </w:r>
      <w:r>
        <w:rPr>
          <w:rFonts w:ascii="Calibri" w:hAnsi="Calibri" w:cs="Calibri"/>
          <w:color w:val="000000"/>
          <w:sz w:val="22"/>
          <w:szCs w:val="22"/>
        </w:rPr>
        <w:t xml:space="preserve">shock to </w:t>
      </w:r>
      <w:r w:rsidR="005109DC">
        <w:rPr>
          <w:rFonts w:ascii="Calibri" w:hAnsi="Calibri" w:cs="Calibri"/>
          <w:color w:val="000000"/>
          <w:sz w:val="22"/>
          <w:szCs w:val="22"/>
        </w:rPr>
        <w:t xml:space="preserve">the </w:t>
      </w:r>
      <w:r>
        <w:rPr>
          <w:rFonts w:ascii="Calibri" w:hAnsi="Calibri" w:cs="Calibri"/>
          <w:color w:val="000000"/>
          <w:sz w:val="22"/>
          <w:szCs w:val="22"/>
        </w:rPr>
        <w:t xml:space="preserve">natural gas </w:t>
      </w:r>
      <w:r w:rsidR="005109DC">
        <w:rPr>
          <w:rFonts w:ascii="Calibri" w:hAnsi="Calibri" w:cs="Calibri"/>
          <w:color w:val="000000"/>
          <w:sz w:val="22"/>
          <w:szCs w:val="22"/>
        </w:rPr>
        <w:t xml:space="preserve">market </w:t>
      </w:r>
      <w:r>
        <w:rPr>
          <w:rFonts w:ascii="Calibri" w:hAnsi="Calibri" w:cs="Calibri"/>
          <w:color w:val="000000"/>
          <w:sz w:val="22"/>
          <w:szCs w:val="22"/>
        </w:rPr>
        <w:t xml:space="preserve">during the summer of 2010. Residential, Commercial, and Industrial </w:t>
      </w:r>
      <w:r w:rsidR="00D01DAA">
        <w:rPr>
          <w:rFonts w:ascii="Calibri" w:hAnsi="Calibri" w:cs="Calibri"/>
          <w:color w:val="000000"/>
          <w:sz w:val="22"/>
          <w:szCs w:val="22"/>
        </w:rPr>
        <w:t xml:space="preserve">natural gas </w:t>
      </w:r>
      <w:r>
        <w:rPr>
          <w:rFonts w:ascii="Calibri" w:hAnsi="Calibri" w:cs="Calibri"/>
          <w:color w:val="000000"/>
          <w:sz w:val="22"/>
          <w:szCs w:val="22"/>
        </w:rPr>
        <w:t>consumption decreased during that time</w:t>
      </w:r>
      <w:r w:rsidR="005109DC">
        <w:rPr>
          <w:rFonts w:ascii="Calibri" w:hAnsi="Calibri" w:cs="Calibri"/>
          <w:color w:val="000000"/>
          <w:sz w:val="22"/>
          <w:szCs w:val="22"/>
        </w:rPr>
        <w:t xml:space="preserve"> while prices rose</w:t>
      </w:r>
      <w:r>
        <w:rPr>
          <w:rFonts w:ascii="Calibri" w:hAnsi="Calibri" w:cs="Calibri"/>
          <w:color w:val="000000"/>
          <w:sz w:val="22"/>
          <w:szCs w:val="22"/>
        </w:rPr>
        <w:t xml:space="preserve">, which would imply that there was some market force that drove prices to increase. </w:t>
      </w:r>
      <w:r w:rsidR="0072480E">
        <w:rPr>
          <w:rFonts w:ascii="Calibri" w:hAnsi="Calibri" w:cs="Calibri"/>
          <w:color w:val="000000"/>
          <w:sz w:val="22"/>
          <w:szCs w:val="22"/>
        </w:rPr>
        <w:t>A</w:t>
      </w:r>
      <w:r w:rsidR="00D01DAA">
        <w:rPr>
          <w:rFonts w:ascii="Calibri" w:hAnsi="Calibri" w:cs="Calibri"/>
          <w:color w:val="000000"/>
          <w:sz w:val="22"/>
          <w:szCs w:val="22"/>
        </w:rPr>
        <w:t xml:space="preserve">ny </w:t>
      </w:r>
      <w:r w:rsidR="00753937">
        <w:rPr>
          <w:rFonts w:ascii="Calibri" w:hAnsi="Calibri" w:cs="Calibri"/>
          <w:color w:val="000000"/>
          <w:sz w:val="22"/>
          <w:szCs w:val="22"/>
        </w:rPr>
        <w:t>future</w:t>
      </w:r>
      <w:r w:rsidR="00D01DAA">
        <w:rPr>
          <w:rFonts w:ascii="Calibri" w:hAnsi="Calibri" w:cs="Calibri"/>
          <w:color w:val="000000"/>
          <w:sz w:val="22"/>
          <w:szCs w:val="22"/>
        </w:rPr>
        <w:t xml:space="preserve"> research would have to </w:t>
      </w:r>
      <w:r w:rsidR="00FC2E0A">
        <w:rPr>
          <w:rFonts w:ascii="Calibri" w:hAnsi="Calibri" w:cs="Calibri"/>
          <w:color w:val="000000"/>
          <w:sz w:val="22"/>
          <w:szCs w:val="22"/>
        </w:rPr>
        <w:t>investigate</w:t>
      </w:r>
      <w:r w:rsidR="00D01DAA">
        <w:rPr>
          <w:rFonts w:ascii="Calibri" w:hAnsi="Calibri" w:cs="Calibri"/>
          <w:color w:val="000000"/>
          <w:sz w:val="22"/>
          <w:szCs w:val="22"/>
        </w:rPr>
        <w:t xml:space="preserve"> this price shock in an effort to eliminate bias.</w:t>
      </w:r>
    </w:p>
    <w:p w14:paraId="1912148E" w14:textId="4A53AE22" w:rsidR="00EE1776" w:rsidRDefault="00EE1776" w:rsidP="00A67E21"/>
    <w:p w14:paraId="074C2D97" w14:textId="107DA82A" w:rsidR="00700565" w:rsidRDefault="00700565" w:rsidP="00A67E21"/>
    <w:p w14:paraId="3FA91079" w14:textId="53E9DB28" w:rsidR="00700565" w:rsidRDefault="00700565" w:rsidP="00A67E21"/>
    <w:p w14:paraId="4D896845" w14:textId="3129C1F9" w:rsidR="00700565" w:rsidRDefault="00700565" w:rsidP="00A67E21"/>
    <w:p w14:paraId="2A033CE2" w14:textId="77777777" w:rsidR="00FB0B07" w:rsidRDefault="00FB0B07" w:rsidP="00A67E21"/>
    <w:p w14:paraId="0735CFA1" w14:textId="77777777" w:rsidR="00D01DAA" w:rsidRDefault="00D01DAA" w:rsidP="00A67E21">
      <w:pPr>
        <w:rPr>
          <w:b/>
          <w:sz w:val="28"/>
          <w:szCs w:val="28"/>
        </w:rPr>
      </w:pPr>
    </w:p>
    <w:p w14:paraId="583984F8" w14:textId="6FB2D4BD" w:rsidR="001F5445" w:rsidRDefault="001F5445" w:rsidP="00A67E21">
      <w:pPr>
        <w:rPr>
          <w:b/>
          <w:sz w:val="28"/>
          <w:szCs w:val="28"/>
        </w:rPr>
      </w:pPr>
      <w:r>
        <w:rPr>
          <w:b/>
          <w:sz w:val="28"/>
          <w:szCs w:val="28"/>
        </w:rPr>
        <w:lastRenderedPageBreak/>
        <w:t>Appendix</w:t>
      </w:r>
    </w:p>
    <w:p w14:paraId="547E9E4F" w14:textId="7C5D5BC0" w:rsidR="001F5445" w:rsidRDefault="00F825EF" w:rsidP="00FF396E">
      <w:pPr>
        <w:jc w:val="center"/>
        <w:rPr>
          <w:sz w:val="24"/>
          <w:szCs w:val="24"/>
        </w:rPr>
      </w:pPr>
      <w:r>
        <w:rPr>
          <w:noProof/>
        </w:rPr>
        <w:drawing>
          <wp:inline distT="0" distB="0" distL="0" distR="0" wp14:anchorId="2546A10B" wp14:editId="5370FD15">
            <wp:extent cx="2505438" cy="21616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505438" cy="2161684"/>
                    </a:xfrm>
                    <a:prstGeom prst="rect">
                      <a:avLst/>
                    </a:prstGeom>
                    <a:noFill/>
                    <a:ln>
                      <a:noFill/>
                    </a:ln>
                  </pic:spPr>
                </pic:pic>
              </a:graphicData>
            </a:graphic>
          </wp:inline>
        </w:drawing>
      </w:r>
      <w:r w:rsidR="00CC6FEA" w:rsidRPr="00CC6FEA">
        <w:t xml:space="preserve"> </w:t>
      </w:r>
      <w:r w:rsidR="00CC6FEA">
        <w:rPr>
          <w:noProof/>
        </w:rPr>
        <w:drawing>
          <wp:inline distT="0" distB="0" distL="0" distR="0" wp14:anchorId="7853ACD9" wp14:editId="25A029E6">
            <wp:extent cx="2605850" cy="215180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605850" cy="2151801"/>
                    </a:xfrm>
                    <a:prstGeom prst="rect">
                      <a:avLst/>
                    </a:prstGeom>
                    <a:noFill/>
                    <a:ln>
                      <a:noFill/>
                    </a:ln>
                  </pic:spPr>
                </pic:pic>
              </a:graphicData>
            </a:graphic>
          </wp:inline>
        </w:drawing>
      </w:r>
    </w:p>
    <w:p w14:paraId="359C92BA" w14:textId="3FFCC230" w:rsidR="00FF396E" w:rsidRDefault="00CC6FEA" w:rsidP="00FF396E">
      <w:pPr>
        <w:jc w:val="center"/>
        <w:rPr>
          <w:sz w:val="24"/>
          <w:szCs w:val="24"/>
        </w:rPr>
      </w:pPr>
      <w:r>
        <w:rPr>
          <w:noProof/>
        </w:rPr>
        <w:drawing>
          <wp:inline distT="0" distB="0" distL="0" distR="0" wp14:anchorId="0AFBE2A4" wp14:editId="7DE91863">
            <wp:extent cx="2460909" cy="216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60909" cy="2169049"/>
                    </a:xfrm>
                    <a:prstGeom prst="rect">
                      <a:avLst/>
                    </a:prstGeom>
                    <a:noFill/>
                    <a:ln>
                      <a:noFill/>
                    </a:ln>
                  </pic:spPr>
                </pic:pic>
              </a:graphicData>
            </a:graphic>
          </wp:inline>
        </w:drawing>
      </w:r>
      <w:r w:rsidRPr="00CC6FEA">
        <w:t xml:space="preserve"> </w:t>
      </w:r>
      <w:r>
        <w:rPr>
          <w:noProof/>
        </w:rPr>
        <w:drawing>
          <wp:inline distT="0" distB="0" distL="0" distR="0" wp14:anchorId="45A0F785" wp14:editId="6C192404">
            <wp:extent cx="2600656" cy="2136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00656" cy="2136720"/>
                    </a:xfrm>
                    <a:prstGeom prst="rect">
                      <a:avLst/>
                    </a:prstGeom>
                    <a:noFill/>
                    <a:ln>
                      <a:noFill/>
                    </a:ln>
                  </pic:spPr>
                </pic:pic>
              </a:graphicData>
            </a:graphic>
          </wp:inline>
        </w:drawing>
      </w:r>
    </w:p>
    <w:p w14:paraId="62E5F787" w14:textId="7286E7D5" w:rsidR="00FF396E" w:rsidRDefault="00CC6FEA" w:rsidP="00FF396E">
      <w:pPr>
        <w:jc w:val="center"/>
        <w:rPr>
          <w:sz w:val="24"/>
          <w:szCs w:val="24"/>
        </w:rPr>
      </w:pPr>
      <w:r>
        <w:rPr>
          <w:noProof/>
        </w:rPr>
        <w:drawing>
          <wp:inline distT="0" distB="0" distL="0" distR="0" wp14:anchorId="0D568CB3" wp14:editId="61838C85">
            <wp:extent cx="2537361" cy="2177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37361" cy="2177735"/>
                    </a:xfrm>
                    <a:prstGeom prst="rect">
                      <a:avLst/>
                    </a:prstGeom>
                    <a:noFill/>
                    <a:ln>
                      <a:noFill/>
                    </a:ln>
                  </pic:spPr>
                </pic:pic>
              </a:graphicData>
            </a:graphic>
          </wp:inline>
        </w:drawing>
      </w:r>
      <w:r w:rsidRPr="00CC6FEA">
        <w:rPr>
          <w:noProof/>
        </w:rPr>
        <w:t xml:space="preserve"> </w:t>
      </w:r>
      <w:r>
        <w:rPr>
          <w:noProof/>
        </w:rPr>
        <w:drawing>
          <wp:inline distT="0" distB="0" distL="0" distR="0" wp14:anchorId="5F4F0535" wp14:editId="3DFC65A1">
            <wp:extent cx="2681652" cy="214926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681652" cy="2149265"/>
                    </a:xfrm>
                    <a:prstGeom prst="rect">
                      <a:avLst/>
                    </a:prstGeom>
                    <a:noFill/>
                    <a:ln>
                      <a:noFill/>
                    </a:ln>
                  </pic:spPr>
                </pic:pic>
              </a:graphicData>
            </a:graphic>
          </wp:inline>
        </w:drawing>
      </w:r>
    </w:p>
    <w:p w14:paraId="592C6415" w14:textId="768BA983" w:rsidR="005F22E0" w:rsidRDefault="00FF396E" w:rsidP="00515C4F">
      <w:pPr>
        <w:jc w:val="center"/>
        <w:rPr>
          <w:sz w:val="24"/>
          <w:szCs w:val="24"/>
        </w:rPr>
      </w:pPr>
      <w:r>
        <w:rPr>
          <w:noProof/>
        </w:rPr>
        <w:lastRenderedPageBreak/>
        <w:drawing>
          <wp:inline distT="0" distB="0" distL="0" distR="0" wp14:anchorId="3E2CB203" wp14:editId="3848BD64">
            <wp:extent cx="2585390" cy="234300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85390" cy="2343009"/>
                    </a:xfrm>
                    <a:prstGeom prst="rect">
                      <a:avLst/>
                    </a:prstGeom>
                    <a:noFill/>
                    <a:ln>
                      <a:noFill/>
                    </a:ln>
                  </pic:spPr>
                </pic:pic>
              </a:graphicData>
            </a:graphic>
          </wp:inline>
        </w:drawing>
      </w:r>
      <w:r>
        <w:rPr>
          <w:noProof/>
        </w:rPr>
        <w:drawing>
          <wp:inline distT="0" distB="0" distL="0" distR="0" wp14:anchorId="020AF3DF" wp14:editId="59D44D65">
            <wp:extent cx="2615018" cy="2330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615018" cy="2330141"/>
                    </a:xfrm>
                    <a:prstGeom prst="rect">
                      <a:avLst/>
                    </a:prstGeom>
                    <a:noFill/>
                    <a:ln>
                      <a:noFill/>
                    </a:ln>
                  </pic:spPr>
                </pic:pic>
              </a:graphicData>
            </a:graphic>
          </wp:inline>
        </w:drawing>
      </w:r>
    </w:p>
    <w:p w14:paraId="66F30092" w14:textId="188333C3" w:rsidR="00222516" w:rsidRDefault="00C762B3" w:rsidP="00515C4F">
      <w:pPr>
        <w:jc w:val="center"/>
        <w:rPr>
          <w:sz w:val="24"/>
          <w:szCs w:val="24"/>
        </w:rPr>
      </w:pPr>
      <w:r>
        <w:rPr>
          <w:noProof/>
          <w:sz w:val="24"/>
          <w:szCs w:val="24"/>
        </w:rPr>
        <w:drawing>
          <wp:inline distT="0" distB="0" distL="0" distR="0" wp14:anchorId="5A05E296" wp14:editId="3A9BE8F4">
            <wp:extent cx="3657600" cy="1964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676590" cy="1974596"/>
                    </a:xfrm>
                    <a:prstGeom prst="rect">
                      <a:avLst/>
                    </a:prstGeom>
                  </pic:spPr>
                </pic:pic>
              </a:graphicData>
            </a:graphic>
          </wp:inline>
        </w:drawing>
      </w:r>
    </w:p>
    <w:p w14:paraId="7C657483" w14:textId="6A7482DF" w:rsidR="00C762B3" w:rsidRDefault="00C762B3" w:rsidP="00515C4F">
      <w:pPr>
        <w:jc w:val="center"/>
        <w:rPr>
          <w:sz w:val="24"/>
          <w:szCs w:val="24"/>
        </w:rPr>
      </w:pPr>
      <w:r>
        <w:rPr>
          <w:noProof/>
          <w:sz w:val="24"/>
          <w:szCs w:val="24"/>
        </w:rPr>
        <w:drawing>
          <wp:inline distT="0" distB="0" distL="0" distR="0" wp14:anchorId="12CD872C" wp14:editId="31439FCA">
            <wp:extent cx="3771900" cy="2006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803922" cy="2023475"/>
                    </a:xfrm>
                    <a:prstGeom prst="rect">
                      <a:avLst/>
                    </a:prstGeom>
                  </pic:spPr>
                </pic:pic>
              </a:graphicData>
            </a:graphic>
          </wp:inline>
        </w:drawing>
      </w:r>
    </w:p>
    <w:p w14:paraId="4AC4DACB" w14:textId="77777777" w:rsidR="00F722B1" w:rsidRDefault="00F722B1" w:rsidP="00515C4F">
      <w:pPr>
        <w:jc w:val="center"/>
        <w:rPr>
          <w:rFonts w:cstheme="minorHAnsi"/>
          <w:b/>
          <w:bCs/>
        </w:rPr>
      </w:pPr>
    </w:p>
    <w:p w14:paraId="5B1AEC95" w14:textId="17D112A4" w:rsidR="00FC2E0A" w:rsidRPr="00F722B1" w:rsidRDefault="00F722B1" w:rsidP="00515C4F">
      <w:pPr>
        <w:jc w:val="center"/>
        <w:rPr>
          <w:rFonts w:cstheme="minorHAnsi"/>
          <w:b/>
          <w:bCs/>
        </w:rPr>
      </w:pPr>
      <w:r w:rsidRPr="00F722B1">
        <w:rPr>
          <w:rFonts w:cstheme="minorHAnsi"/>
          <w:b/>
          <w:bCs/>
        </w:rPr>
        <w:t>Table 1: Summary Statistics</w:t>
      </w:r>
    </w:p>
    <w:tbl>
      <w:tblPr>
        <w:tblW w:w="9351" w:type="dxa"/>
        <w:tblLook w:val="04A0" w:firstRow="1" w:lastRow="0" w:firstColumn="1" w:lastColumn="0" w:noHBand="0" w:noVBand="1"/>
      </w:tblPr>
      <w:tblGrid>
        <w:gridCol w:w="2932"/>
        <w:gridCol w:w="3498"/>
        <w:gridCol w:w="2921"/>
      </w:tblGrid>
      <w:tr w:rsidR="00F722B1" w:rsidRPr="006F547B" w14:paraId="71AAC008" w14:textId="26C8B1EB" w:rsidTr="00F722B1">
        <w:trPr>
          <w:trHeight w:val="271"/>
        </w:trPr>
        <w:tc>
          <w:tcPr>
            <w:tcW w:w="2932" w:type="dxa"/>
            <w:tcBorders>
              <w:top w:val="single" w:sz="4" w:space="0" w:color="auto"/>
              <w:bottom w:val="single" w:sz="4" w:space="0" w:color="auto"/>
              <w:right w:val="single" w:sz="4" w:space="0" w:color="auto"/>
            </w:tcBorders>
            <w:shd w:val="clear" w:color="auto" w:fill="auto"/>
            <w:noWrap/>
            <w:vAlign w:val="bottom"/>
            <w:hideMark/>
          </w:tcPr>
          <w:p w14:paraId="5E196ABE" w14:textId="77777777" w:rsidR="00F722B1" w:rsidRPr="006F547B" w:rsidRDefault="00F722B1" w:rsidP="006F547B">
            <w:pPr>
              <w:spacing w:after="0" w:line="240" w:lineRule="auto"/>
              <w:rPr>
                <w:rFonts w:ascii="Calibri" w:eastAsia="Times New Roman" w:hAnsi="Calibri" w:cs="Calibri"/>
                <w:color w:val="000000"/>
              </w:rPr>
            </w:pPr>
            <w:r w:rsidRPr="006F547B">
              <w:rPr>
                <w:rFonts w:ascii="Calibri" w:eastAsia="Times New Roman" w:hAnsi="Calibri" w:cs="Calibri"/>
                <w:color w:val="000000"/>
              </w:rPr>
              <w:t> </w:t>
            </w:r>
          </w:p>
        </w:tc>
        <w:tc>
          <w:tcPr>
            <w:tcW w:w="641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0EFD7" w14:textId="77777777" w:rsidR="00F722B1" w:rsidRPr="006F547B" w:rsidRDefault="00F722B1" w:rsidP="00F722B1">
            <w:pPr>
              <w:spacing w:after="0" w:line="240" w:lineRule="auto"/>
              <w:jc w:val="center"/>
              <w:rPr>
                <w:rFonts w:ascii="Calibri" w:eastAsia="Times New Roman" w:hAnsi="Calibri" w:cs="Calibri"/>
                <w:b/>
                <w:bCs/>
                <w:color w:val="000000"/>
              </w:rPr>
            </w:pPr>
            <w:r w:rsidRPr="006F547B">
              <w:rPr>
                <w:rFonts w:ascii="Calibri" w:eastAsia="Times New Roman" w:hAnsi="Calibri" w:cs="Calibri"/>
                <w:b/>
                <w:bCs/>
                <w:color w:val="000000"/>
              </w:rPr>
              <w:t>Residential</w:t>
            </w:r>
          </w:p>
        </w:tc>
      </w:tr>
      <w:tr w:rsidR="00F722B1" w:rsidRPr="006F547B" w14:paraId="4CC359A2" w14:textId="49D5A05C" w:rsidTr="00F722B1">
        <w:trPr>
          <w:trHeight w:val="250"/>
        </w:trPr>
        <w:tc>
          <w:tcPr>
            <w:tcW w:w="2932" w:type="dxa"/>
            <w:tcBorders>
              <w:top w:val="single" w:sz="4" w:space="0" w:color="auto"/>
              <w:bottom w:val="single" w:sz="4" w:space="0" w:color="auto"/>
              <w:right w:val="single" w:sz="4" w:space="0" w:color="auto"/>
            </w:tcBorders>
            <w:shd w:val="clear" w:color="auto" w:fill="auto"/>
            <w:noWrap/>
            <w:vAlign w:val="bottom"/>
            <w:hideMark/>
          </w:tcPr>
          <w:p w14:paraId="3E95D4EA" w14:textId="77777777" w:rsidR="00F722B1" w:rsidRPr="006F547B" w:rsidRDefault="00F722B1" w:rsidP="006F547B">
            <w:pPr>
              <w:spacing w:after="0" w:line="240" w:lineRule="auto"/>
              <w:rPr>
                <w:rFonts w:ascii="Calibri" w:eastAsia="Times New Roman" w:hAnsi="Calibri" w:cs="Calibri"/>
                <w:b/>
                <w:bCs/>
                <w:color w:val="000000"/>
              </w:rPr>
            </w:pPr>
            <w:r w:rsidRPr="006F547B">
              <w:rPr>
                <w:rFonts w:ascii="Calibri" w:eastAsia="Times New Roman" w:hAnsi="Calibri" w:cs="Calibri"/>
                <w:b/>
                <w:bCs/>
                <w:color w:val="000000"/>
              </w:rPr>
              <w:t>Parameters</w:t>
            </w:r>
          </w:p>
        </w:tc>
        <w:tc>
          <w:tcPr>
            <w:tcW w:w="3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5DEF7" w14:textId="0192B0B9" w:rsidR="00F722B1" w:rsidRPr="006F547B" w:rsidRDefault="00F722B1" w:rsidP="00F722B1">
            <w:pPr>
              <w:spacing w:after="0" w:line="240" w:lineRule="auto"/>
              <w:jc w:val="center"/>
              <w:rPr>
                <w:rFonts w:ascii="Calibri" w:eastAsia="Times New Roman" w:hAnsi="Calibri" w:cs="Calibri"/>
                <w:b/>
                <w:bCs/>
                <w:color w:val="000000"/>
              </w:rPr>
            </w:pPr>
            <w:r w:rsidRPr="006F547B">
              <w:rPr>
                <w:rFonts w:ascii="Calibri" w:eastAsia="Times New Roman" w:hAnsi="Calibri" w:cs="Calibri"/>
                <w:b/>
                <w:bCs/>
                <w:color w:val="000000"/>
              </w:rPr>
              <w:t>Natural Gas (</w:t>
            </w:r>
            <w:r>
              <w:rPr>
                <w:rFonts w:ascii="Calibri" w:eastAsia="Times New Roman" w:hAnsi="Calibri" w:cs="Calibri"/>
                <w:b/>
                <w:bCs/>
                <w:color w:val="000000"/>
              </w:rPr>
              <w:t xml:space="preserve">Log </w:t>
            </w:r>
            <w:r w:rsidRPr="006F547B">
              <w:rPr>
                <w:rFonts w:ascii="Calibri" w:eastAsia="Times New Roman" w:hAnsi="Calibri" w:cs="Calibri"/>
                <w:b/>
                <w:bCs/>
                <w:color w:val="000000"/>
              </w:rPr>
              <w:t>Therms)</w:t>
            </w:r>
          </w:p>
        </w:tc>
        <w:tc>
          <w:tcPr>
            <w:tcW w:w="2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767ED" w14:textId="4529BAB7" w:rsidR="00F722B1" w:rsidRPr="006F547B" w:rsidRDefault="00F722B1" w:rsidP="00F722B1">
            <w:pPr>
              <w:spacing w:after="0" w:line="240" w:lineRule="auto"/>
              <w:jc w:val="center"/>
              <w:rPr>
                <w:rFonts w:ascii="Calibri" w:eastAsia="Times New Roman" w:hAnsi="Calibri" w:cs="Calibri"/>
                <w:b/>
                <w:bCs/>
                <w:color w:val="000000"/>
              </w:rPr>
            </w:pPr>
            <w:r w:rsidRPr="006F547B">
              <w:rPr>
                <w:rFonts w:ascii="Calibri" w:eastAsia="Times New Roman" w:hAnsi="Calibri" w:cs="Calibri"/>
                <w:b/>
                <w:bCs/>
                <w:color w:val="000000"/>
              </w:rPr>
              <w:t>Electricity (</w:t>
            </w:r>
            <w:r>
              <w:rPr>
                <w:rFonts w:ascii="Calibri" w:eastAsia="Times New Roman" w:hAnsi="Calibri" w:cs="Calibri"/>
                <w:b/>
                <w:bCs/>
                <w:color w:val="000000"/>
              </w:rPr>
              <w:t xml:space="preserve">Log </w:t>
            </w:r>
            <w:r w:rsidRPr="006F547B">
              <w:rPr>
                <w:rFonts w:ascii="Calibri" w:eastAsia="Times New Roman" w:hAnsi="Calibri" w:cs="Calibri"/>
                <w:b/>
                <w:bCs/>
                <w:color w:val="000000"/>
              </w:rPr>
              <w:t>KWH)</w:t>
            </w:r>
          </w:p>
        </w:tc>
      </w:tr>
      <w:tr w:rsidR="00F722B1" w:rsidRPr="006F547B" w14:paraId="678EF6F4" w14:textId="78CDA7A1" w:rsidTr="00F722B1">
        <w:trPr>
          <w:trHeight w:val="250"/>
        </w:trPr>
        <w:tc>
          <w:tcPr>
            <w:tcW w:w="2932" w:type="dxa"/>
            <w:tcBorders>
              <w:top w:val="single" w:sz="4" w:space="0" w:color="auto"/>
              <w:bottom w:val="single" w:sz="4" w:space="0" w:color="auto"/>
              <w:right w:val="single" w:sz="4" w:space="0" w:color="auto"/>
            </w:tcBorders>
            <w:shd w:val="clear" w:color="auto" w:fill="auto"/>
            <w:noWrap/>
            <w:vAlign w:val="bottom"/>
            <w:hideMark/>
          </w:tcPr>
          <w:p w14:paraId="7D528007" w14:textId="77777777" w:rsidR="00F722B1" w:rsidRPr="006F547B" w:rsidRDefault="00F722B1" w:rsidP="006F547B">
            <w:pPr>
              <w:spacing w:after="0" w:line="240" w:lineRule="auto"/>
              <w:rPr>
                <w:rFonts w:ascii="Calibri" w:eastAsia="Times New Roman" w:hAnsi="Calibri" w:cs="Calibri"/>
                <w:b/>
                <w:bCs/>
                <w:color w:val="000000"/>
              </w:rPr>
            </w:pPr>
            <w:r w:rsidRPr="006F547B">
              <w:rPr>
                <w:rFonts w:ascii="Calibri" w:eastAsia="Times New Roman" w:hAnsi="Calibri" w:cs="Calibri"/>
                <w:b/>
                <w:bCs/>
                <w:color w:val="000000"/>
              </w:rPr>
              <w:t>Average Temperature</w:t>
            </w:r>
          </w:p>
        </w:tc>
        <w:tc>
          <w:tcPr>
            <w:tcW w:w="3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68720" w14:textId="00E56A47" w:rsidR="00F722B1" w:rsidRPr="006F547B" w:rsidRDefault="00F722B1" w:rsidP="00F722B1">
            <w:pPr>
              <w:spacing w:after="0" w:line="240" w:lineRule="auto"/>
              <w:rPr>
                <w:rFonts w:ascii="Calibri" w:eastAsia="Times New Roman" w:hAnsi="Calibri" w:cs="Calibri"/>
                <w:color w:val="000000"/>
              </w:rPr>
            </w:pPr>
            <w:r>
              <w:rPr>
                <w:rFonts w:ascii="Calibri" w:eastAsia="Times New Roman" w:hAnsi="Calibri" w:cs="Calibri"/>
                <w:color w:val="000000"/>
              </w:rPr>
              <w:t>-0.044 (~</w:t>
            </w:r>
            <w:proofErr w:type="gramStart"/>
            <w:r>
              <w:rPr>
                <w:rFonts w:ascii="Calibri" w:eastAsia="Times New Roman" w:hAnsi="Calibri" w:cs="Calibri"/>
                <w:color w:val="000000"/>
              </w:rPr>
              <w:t>0)*</w:t>
            </w:r>
            <w:proofErr w:type="gramEnd"/>
            <w:r>
              <w:rPr>
                <w:rFonts w:ascii="Calibri" w:eastAsia="Times New Roman" w:hAnsi="Calibri" w:cs="Calibri"/>
                <w:color w:val="000000"/>
              </w:rPr>
              <w:t>**</w:t>
            </w:r>
          </w:p>
        </w:tc>
        <w:tc>
          <w:tcPr>
            <w:tcW w:w="2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AB6C2" w14:textId="2929B0E5" w:rsidR="00F722B1" w:rsidRPr="006F547B" w:rsidRDefault="00F722B1" w:rsidP="00F722B1">
            <w:pPr>
              <w:spacing w:after="0" w:line="240" w:lineRule="auto"/>
              <w:rPr>
                <w:rFonts w:ascii="Calibri" w:eastAsia="Times New Roman" w:hAnsi="Calibri" w:cs="Calibri"/>
                <w:color w:val="000000"/>
              </w:rPr>
            </w:pPr>
            <w:r>
              <w:rPr>
                <w:rFonts w:ascii="Calibri" w:eastAsia="Times New Roman" w:hAnsi="Calibri" w:cs="Calibri"/>
                <w:color w:val="000000"/>
              </w:rPr>
              <w:t>.006 (~</w:t>
            </w:r>
            <w:proofErr w:type="gramStart"/>
            <w:r>
              <w:rPr>
                <w:rFonts w:ascii="Calibri" w:eastAsia="Times New Roman" w:hAnsi="Calibri" w:cs="Calibri"/>
                <w:color w:val="000000"/>
              </w:rPr>
              <w:t>0)*</w:t>
            </w:r>
            <w:proofErr w:type="gramEnd"/>
            <w:r>
              <w:rPr>
                <w:rFonts w:ascii="Calibri" w:eastAsia="Times New Roman" w:hAnsi="Calibri" w:cs="Calibri"/>
                <w:color w:val="000000"/>
              </w:rPr>
              <w:t>**</w:t>
            </w:r>
          </w:p>
        </w:tc>
      </w:tr>
      <w:tr w:rsidR="00F722B1" w:rsidRPr="006F547B" w14:paraId="04E1DF20" w14:textId="3E7AF5D4" w:rsidTr="00F722B1">
        <w:trPr>
          <w:trHeight w:val="250"/>
        </w:trPr>
        <w:tc>
          <w:tcPr>
            <w:tcW w:w="2932" w:type="dxa"/>
            <w:tcBorders>
              <w:top w:val="single" w:sz="4" w:space="0" w:color="auto"/>
              <w:bottom w:val="single" w:sz="4" w:space="0" w:color="auto"/>
              <w:right w:val="single" w:sz="4" w:space="0" w:color="auto"/>
            </w:tcBorders>
            <w:shd w:val="clear" w:color="auto" w:fill="auto"/>
            <w:noWrap/>
            <w:vAlign w:val="bottom"/>
            <w:hideMark/>
          </w:tcPr>
          <w:p w14:paraId="72A4EBD8" w14:textId="77777777" w:rsidR="00F722B1" w:rsidRPr="006F547B" w:rsidRDefault="00F722B1" w:rsidP="006F547B">
            <w:pPr>
              <w:spacing w:after="0" w:line="240" w:lineRule="auto"/>
              <w:rPr>
                <w:rFonts w:ascii="Calibri" w:eastAsia="Times New Roman" w:hAnsi="Calibri" w:cs="Calibri"/>
                <w:b/>
                <w:bCs/>
                <w:color w:val="000000"/>
              </w:rPr>
            </w:pPr>
            <w:r w:rsidRPr="006F547B">
              <w:rPr>
                <w:rFonts w:ascii="Calibri" w:eastAsia="Times New Roman" w:hAnsi="Calibri" w:cs="Calibri"/>
                <w:b/>
                <w:bCs/>
                <w:color w:val="000000"/>
              </w:rPr>
              <w:t>Average Stories</w:t>
            </w:r>
          </w:p>
        </w:tc>
        <w:tc>
          <w:tcPr>
            <w:tcW w:w="3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8AB50" w14:textId="39F491D7" w:rsidR="00F722B1" w:rsidRPr="006F547B" w:rsidRDefault="00584CFE" w:rsidP="00F722B1">
            <w:pPr>
              <w:spacing w:after="0" w:line="240" w:lineRule="auto"/>
              <w:rPr>
                <w:rFonts w:ascii="Calibri" w:eastAsia="Times New Roman" w:hAnsi="Calibri" w:cs="Calibri"/>
                <w:color w:val="000000"/>
              </w:rPr>
            </w:pPr>
            <w:r>
              <w:rPr>
                <w:rFonts w:ascii="Calibri" w:eastAsia="Times New Roman" w:hAnsi="Calibri" w:cs="Calibri"/>
                <w:color w:val="000000"/>
              </w:rPr>
              <w:t>0.04</w:t>
            </w:r>
            <w:r w:rsidR="00222516">
              <w:rPr>
                <w:rFonts w:ascii="Calibri" w:eastAsia="Times New Roman" w:hAnsi="Calibri" w:cs="Calibri"/>
                <w:color w:val="000000"/>
              </w:rPr>
              <w:t>0</w:t>
            </w:r>
            <w:r w:rsidR="00F722B1">
              <w:rPr>
                <w:rFonts w:ascii="Calibri" w:eastAsia="Times New Roman" w:hAnsi="Calibri" w:cs="Calibri"/>
                <w:color w:val="000000"/>
              </w:rPr>
              <w:t xml:space="preserve"> (0.0</w:t>
            </w:r>
            <w:r>
              <w:rPr>
                <w:rFonts w:ascii="Calibri" w:eastAsia="Times New Roman" w:hAnsi="Calibri" w:cs="Calibri"/>
                <w:color w:val="000000"/>
              </w:rPr>
              <w:t>3</w:t>
            </w:r>
            <w:r w:rsidR="00F722B1">
              <w:rPr>
                <w:rFonts w:ascii="Calibri" w:eastAsia="Times New Roman" w:hAnsi="Calibri" w:cs="Calibri"/>
                <w:color w:val="000000"/>
              </w:rPr>
              <w:t>)</w:t>
            </w:r>
          </w:p>
        </w:tc>
        <w:tc>
          <w:tcPr>
            <w:tcW w:w="2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100FE" w14:textId="2BCDBA05" w:rsidR="00F722B1" w:rsidRPr="006F547B" w:rsidRDefault="00F722B1" w:rsidP="00F722B1">
            <w:pPr>
              <w:spacing w:after="0" w:line="240" w:lineRule="auto"/>
              <w:rPr>
                <w:rFonts w:ascii="Calibri" w:eastAsia="Times New Roman" w:hAnsi="Calibri" w:cs="Calibri"/>
                <w:color w:val="000000"/>
              </w:rPr>
            </w:pPr>
            <w:r>
              <w:rPr>
                <w:rFonts w:ascii="Calibri" w:eastAsia="Times New Roman" w:hAnsi="Calibri" w:cs="Calibri"/>
                <w:color w:val="000000"/>
              </w:rPr>
              <w:t>-0.</w:t>
            </w:r>
            <w:r w:rsidR="00222516">
              <w:rPr>
                <w:rFonts w:ascii="Calibri" w:eastAsia="Times New Roman" w:hAnsi="Calibri" w:cs="Calibri"/>
                <w:color w:val="000000"/>
              </w:rPr>
              <w:t>026</w:t>
            </w:r>
            <w:r>
              <w:rPr>
                <w:rFonts w:ascii="Calibri" w:eastAsia="Times New Roman" w:hAnsi="Calibri" w:cs="Calibri"/>
                <w:color w:val="000000"/>
              </w:rPr>
              <w:t xml:space="preserve"> (0.0</w:t>
            </w:r>
            <w:r w:rsidR="00222516">
              <w:rPr>
                <w:rFonts w:ascii="Calibri" w:eastAsia="Times New Roman" w:hAnsi="Calibri" w:cs="Calibri"/>
                <w:color w:val="000000"/>
              </w:rPr>
              <w:t>5</w:t>
            </w:r>
            <w:r>
              <w:rPr>
                <w:rFonts w:ascii="Calibri" w:eastAsia="Times New Roman" w:hAnsi="Calibri" w:cs="Calibri"/>
                <w:color w:val="000000"/>
              </w:rPr>
              <w:t>)</w:t>
            </w:r>
          </w:p>
        </w:tc>
      </w:tr>
      <w:tr w:rsidR="00F722B1" w:rsidRPr="006F547B" w14:paraId="692000FA" w14:textId="38BE57B1" w:rsidTr="00F722B1">
        <w:trPr>
          <w:trHeight w:val="250"/>
        </w:trPr>
        <w:tc>
          <w:tcPr>
            <w:tcW w:w="2932" w:type="dxa"/>
            <w:tcBorders>
              <w:top w:val="single" w:sz="4" w:space="0" w:color="auto"/>
              <w:bottom w:val="single" w:sz="4" w:space="0" w:color="auto"/>
              <w:right w:val="single" w:sz="4" w:space="0" w:color="auto"/>
            </w:tcBorders>
            <w:shd w:val="clear" w:color="auto" w:fill="auto"/>
            <w:noWrap/>
            <w:vAlign w:val="bottom"/>
            <w:hideMark/>
          </w:tcPr>
          <w:p w14:paraId="683983E6" w14:textId="77777777" w:rsidR="00F722B1" w:rsidRPr="006F547B" w:rsidRDefault="00F722B1" w:rsidP="006F547B">
            <w:pPr>
              <w:spacing w:after="0" w:line="240" w:lineRule="auto"/>
              <w:rPr>
                <w:rFonts w:ascii="Calibri" w:eastAsia="Times New Roman" w:hAnsi="Calibri" w:cs="Calibri"/>
                <w:b/>
                <w:bCs/>
                <w:color w:val="000000"/>
              </w:rPr>
            </w:pPr>
            <w:r w:rsidRPr="006F547B">
              <w:rPr>
                <w:rFonts w:ascii="Calibri" w:eastAsia="Times New Roman" w:hAnsi="Calibri" w:cs="Calibri"/>
                <w:b/>
                <w:bCs/>
                <w:color w:val="000000"/>
              </w:rPr>
              <w:t>Average Building Age</w:t>
            </w:r>
          </w:p>
        </w:tc>
        <w:tc>
          <w:tcPr>
            <w:tcW w:w="3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5EE04" w14:textId="7DD13B3E" w:rsidR="00F722B1" w:rsidRPr="006F547B" w:rsidRDefault="00584CFE" w:rsidP="00F722B1">
            <w:pPr>
              <w:spacing w:after="0" w:line="240" w:lineRule="auto"/>
              <w:rPr>
                <w:rFonts w:ascii="Calibri" w:eastAsia="Times New Roman" w:hAnsi="Calibri" w:cs="Calibri"/>
                <w:color w:val="000000"/>
              </w:rPr>
            </w:pPr>
            <w:r>
              <w:rPr>
                <w:rFonts w:ascii="Calibri" w:eastAsia="Times New Roman" w:hAnsi="Calibri" w:cs="Calibri"/>
                <w:color w:val="000000"/>
              </w:rPr>
              <w:t>0</w:t>
            </w:r>
            <w:r w:rsidR="00222516">
              <w:rPr>
                <w:rFonts w:ascii="Calibri" w:eastAsia="Times New Roman" w:hAnsi="Calibri" w:cs="Calibri"/>
                <w:color w:val="000000"/>
              </w:rPr>
              <w:t>.001</w:t>
            </w:r>
            <w:r w:rsidR="00F722B1">
              <w:rPr>
                <w:rFonts w:ascii="Calibri" w:eastAsia="Times New Roman" w:hAnsi="Calibri" w:cs="Calibri"/>
                <w:color w:val="000000"/>
              </w:rPr>
              <w:t xml:space="preserve"> (~</w:t>
            </w:r>
            <w:proofErr w:type="gramStart"/>
            <w:r w:rsidR="00F722B1">
              <w:rPr>
                <w:rFonts w:ascii="Calibri" w:eastAsia="Times New Roman" w:hAnsi="Calibri" w:cs="Calibri"/>
                <w:color w:val="000000"/>
              </w:rPr>
              <w:t>0)</w:t>
            </w:r>
            <w:r w:rsidR="00222516">
              <w:rPr>
                <w:rFonts w:ascii="Calibri" w:eastAsia="Times New Roman" w:hAnsi="Calibri" w:cs="Calibri"/>
                <w:color w:val="000000"/>
              </w:rPr>
              <w:t>*</w:t>
            </w:r>
            <w:proofErr w:type="gramEnd"/>
          </w:p>
        </w:tc>
        <w:tc>
          <w:tcPr>
            <w:tcW w:w="2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8D2AB" w14:textId="24AF519F" w:rsidR="00F722B1" w:rsidRPr="006F547B" w:rsidRDefault="00F722B1" w:rsidP="00F722B1">
            <w:pPr>
              <w:spacing w:after="0" w:line="240" w:lineRule="auto"/>
              <w:rPr>
                <w:rFonts w:ascii="Calibri" w:eastAsia="Times New Roman" w:hAnsi="Calibri" w:cs="Calibri"/>
                <w:color w:val="000000"/>
              </w:rPr>
            </w:pPr>
            <w:r>
              <w:rPr>
                <w:rFonts w:ascii="Calibri" w:eastAsia="Times New Roman" w:hAnsi="Calibri" w:cs="Calibri"/>
                <w:color w:val="000000"/>
              </w:rPr>
              <w:t>-0.00</w:t>
            </w:r>
            <w:r w:rsidR="0032479D">
              <w:rPr>
                <w:rFonts w:ascii="Calibri" w:eastAsia="Times New Roman" w:hAnsi="Calibri" w:cs="Calibri"/>
                <w:color w:val="000000"/>
              </w:rPr>
              <w:t>4</w:t>
            </w:r>
            <w:r>
              <w:rPr>
                <w:rFonts w:ascii="Calibri" w:eastAsia="Times New Roman" w:hAnsi="Calibri" w:cs="Calibri"/>
                <w:color w:val="000000"/>
              </w:rPr>
              <w:t xml:space="preserve"> (~</w:t>
            </w:r>
            <w:proofErr w:type="gramStart"/>
            <w:r>
              <w:rPr>
                <w:rFonts w:ascii="Calibri" w:eastAsia="Times New Roman" w:hAnsi="Calibri" w:cs="Calibri"/>
                <w:color w:val="000000"/>
              </w:rPr>
              <w:t>0)*</w:t>
            </w:r>
            <w:proofErr w:type="gramEnd"/>
            <w:r>
              <w:rPr>
                <w:rFonts w:ascii="Calibri" w:eastAsia="Times New Roman" w:hAnsi="Calibri" w:cs="Calibri"/>
                <w:color w:val="000000"/>
              </w:rPr>
              <w:t>**</w:t>
            </w:r>
          </w:p>
        </w:tc>
      </w:tr>
    </w:tbl>
    <w:p w14:paraId="47FA58D4" w14:textId="77777777" w:rsidR="00E83D85" w:rsidRDefault="00E83D85" w:rsidP="00E83D85">
      <w:pPr>
        <w:rPr>
          <w:b/>
          <w:sz w:val="28"/>
          <w:szCs w:val="28"/>
        </w:rPr>
      </w:pPr>
      <w:r>
        <w:rPr>
          <w:b/>
          <w:sz w:val="28"/>
          <w:szCs w:val="28"/>
        </w:rPr>
        <w:lastRenderedPageBreak/>
        <w:t>Works Cited</w:t>
      </w:r>
    </w:p>
    <w:p w14:paraId="6A2E938E" w14:textId="77777777" w:rsidR="00E83D85" w:rsidRPr="00177A5A" w:rsidRDefault="00E83D85" w:rsidP="00E83D85">
      <w:pPr>
        <w:pStyle w:val="NormalWeb"/>
        <w:ind w:left="567" w:hanging="567"/>
        <w:rPr>
          <w:rFonts w:asciiTheme="minorHAnsi" w:hAnsiTheme="minorHAnsi" w:cstheme="minorHAnsi"/>
          <w:sz w:val="22"/>
          <w:szCs w:val="22"/>
        </w:rPr>
      </w:pPr>
      <w:r>
        <w:rPr>
          <w:rFonts w:asciiTheme="minorHAnsi" w:hAnsiTheme="minorHAnsi" w:cstheme="minorHAnsi"/>
          <w:sz w:val="22"/>
          <w:szCs w:val="22"/>
        </w:rPr>
        <w:t>1.</w:t>
      </w:r>
      <w:r w:rsidRPr="00177A5A">
        <w:rPr>
          <w:rFonts w:asciiTheme="minorHAnsi" w:hAnsiTheme="minorHAnsi" w:cstheme="minorHAnsi"/>
          <w:sz w:val="22"/>
          <w:szCs w:val="22"/>
        </w:rPr>
        <w:t xml:space="preserve"> “Electricity Usage of a Central Air Conditioner.” </w:t>
      </w:r>
      <w:r w:rsidRPr="00177A5A">
        <w:rPr>
          <w:rFonts w:asciiTheme="minorHAnsi" w:hAnsiTheme="minorHAnsi" w:cstheme="minorHAnsi"/>
          <w:i/>
          <w:iCs/>
          <w:sz w:val="22"/>
          <w:szCs w:val="22"/>
        </w:rPr>
        <w:t>Electricity Usage of a CFL Light Bulb - Energy Use Calculator</w:t>
      </w:r>
      <w:r w:rsidRPr="00177A5A">
        <w:rPr>
          <w:rFonts w:asciiTheme="minorHAnsi" w:hAnsiTheme="minorHAnsi" w:cstheme="minorHAnsi"/>
          <w:sz w:val="22"/>
          <w:szCs w:val="22"/>
        </w:rPr>
        <w:t>, energyusecalculator.com/electricity_centralac.htm.</w:t>
      </w:r>
    </w:p>
    <w:p w14:paraId="17DFA6EC" w14:textId="77777777" w:rsidR="00E83D85" w:rsidRDefault="00E83D85" w:rsidP="00E83D85">
      <w:pPr>
        <w:pStyle w:val="NormalWeb"/>
        <w:ind w:left="567" w:hanging="567"/>
        <w:rPr>
          <w:rFonts w:asciiTheme="minorHAnsi" w:hAnsiTheme="minorHAnsi" w:cstheme="minorHAnsi"/>
          <w:sz w:val="22"/>
          <w:szCs w:val="22"/>
        </w:rPr>
      </w:pPr>
      <w:r>
        <w:rPr>
          <w:rFonts w:asciiTheme="minorHAnsi" w:hAnsiTheme="minorHAnsi" w:cstheme="minorHAnsi"/>
          <w:sz w:val="22"/>
          <w:szCs w:val="22"/>
        </w:rPr>
        <w:t xml:space="preserve">2. </w:t>
      </w:r>
      <w:r w:rsidRPr="00177A5A">
        <w:rPr>
          <w:rFonts w:asciiTheme="minorHAnsi" w:hAnsiTheme="minorHAnsi" w:cstheme="minorHAnsi"/>
          <w:sz w:val="22"/>
          <w:szCs w:val="22"/>
        </w:rPr>
        <w:t xml:space="preserve">Miller, Renee. “The Average BTU of Furnaces.” </w:t>
      </w:r>
      <w:r w:rsidRPr="00177A5A">
        <w:rPr>
          <w:rFonts w:asciiTheme="minorHAnsi" w:hAnsiTheme="minorHAnsi" w:cstheme="minorHAnsi"/>
          <w:i/>
          <w:iCs/>
          <w:sz w:val="22"/>
          <w:szCs w:val="22"/>
        </w:rPr>
        <w:t>Home Guides | SF Gate</w:t>
      </w:r>
      <w:r w:rsidRPr="00177A5A">
        <w:rPr>
          <w:rFonts w:asciiTheme="minorHAnsi" w:hAnsiTheme="minorHAnsi" w:cstheme="minorHAnsi"/>
          <w:sz w:val="22"/>
          <w:szCs w:val="22"/>
        </w:rPr>
        <w:t>, 21 Nov. 2017, homeguides.sfgate.com/average-btu-furnaces-88602.html.</w:t>
      </w:r>
    </w:p>
    <w:p w14:paraId="7A137AA1" w14:textId="77777777" w:rsidR="00E83D85" w:rsidRPr="00177A5A" w:rsidRDefault="00E83D85" w:rsidP="00E83D85">
      <w:pPr>
        <w:pStyle w:val="NormalWeb"/>
        <w:ind w:left="567" w:hanging="567"/>
        <w:rPr>
          <w:rFonts w:asciiTheme="minorHAnsi" w:hAnsiTheme="minorHAnsi" w:cstheme="minorHAnsi"/>
          <w:sz w:val="22"/>
          <w:szCs w:val="22"/>
        </w:rPr>
      </w:pPr>
      <w:r>
        <w:rPr>
          <w:rFonts w:asciiTheme="minorHAnsi" w:hAnsiTheme="minorHAnsi" w:cstheme="minorHAnsi"/>
          <w:sz w:val="22"/>
          <w:szCs w:val="22"/>
        </w:rPr>
        <w:t xml:space="preserve">3. </w:t>
      </w:r>
      <w:r w:rsidRPr="00177A5A">
        <w:rPr>
          <w:rFonts w:asciiTheme="minorHAnsi" w:hAnsiTheme="minorHAnsi" w:cstheme="minorHAnsi"/>
          <w:sz w:val="22"/>
          <w:szCs w:val="22"/>
        </w:rPr>
        <w:t xml:space="preserve">Perry, Mark J. “New US Homes Today Are 1,000 Square Feet Larger than in 1973 and Living Space per Person Has Nearly Doubled.” </w:t>
      </w:r>
      <w:r w:rsidRPr="00177A5A">
        <w:rPr>
          <w:rFonts w:asciiTheme="minorHAnsi" w:hAnsiTheme="minorHAnsi" w:cstheme="minorHAnsi"/>
          <w:i/>
          <w:iCs/>
          <w:sz w:val="22"/>
          <w:szCs w:val="22"/>
        </w:rPr>
        <w:t>AEI</w:t>
      </w:r>
      <w:r w:rsidRPr="00177A5A">
        <w:rPr>
          <w:rFonts w:asciiTheme="minorHAnsi" w:hAnsiTheme="minorHAnsi" w:cstheme="minorHAnsi"/>
          <w:sz w:val="22"/>
          <w:szCs w:val="22"/>
        </w:rPr>
        <w:t xml:space="preserve">, 5 June 2016, </w:t>
      </w:r>
      <w:r w:rsidRPr="00700565">
        <w:rPr>
          <w:rFonts w:asciiTheme="minorHAnsi" w:hAnsiTheme="minorHAnsi" w:cstheme="minorHAnsi"/>
          <w:sz w:val="22"/>
          <w:szCs w:val="22"/>
        </w:rPr>
        <w:t>www.aei.org/publication/new-us-homes-today-are-1000-square-feet-larger-than-in-1973-and-living-space-per-person-has-nearly-doubled/</w:t>
      </w:r>
      <w:r w:rsidRPr="00177A5A">
        <w:rPr>
          <w:rFonts w:asciiTheme="minorHAnsi" w:hAnsiTheme="minorHAnsi" w:cstheme="minorHAnsi"/>
          <w:sz w:val="22"/>
          <w:szCs w:val="22"/>
        </w:rPr>
        <w:t>.</w:t>
      </w:r>
    </w:p>
    <w:p w14:paraId="58547CF4" w14:textId="77777777" w:rsidR="00E83D85" w:rsidRPr="00177A5A" w:rsidRDefault="00E83D85" w:rsidP="00E83D85">
      <w:pPr>
        <w:pStyle w:val="NormalWeb"/>
        <w:ind w:left="567" w:hanging="567"/>
        <w:rPr>
          <w:rFonts w:asciiTheme="minorHAnsi" w:hAnsiTheme="minorHAnsi" w:cstheme="minorHAnsi"/>
          <w:sz w:val="22"/>
          <w:szCs w:val="22"/>
        </w:rPr>
      </w:pPr>
      <w:r>
        <w:rPr>
          <w:rFonts w:asciiTheme="minorHAnsi" w:hAnsiTheme="minorHAnsi" w:cstheme="minorHAnsi"/>
          <w:sz w:val="22"/>
          <w:szCs w:val="22"/>
        </w:rPr>
        <w:t xml:space="preserve">4. </w:t>
      </w:r>
      <w:r w:rsidRPr="00177A5A">
        <w:rPr>
          <w:rFonts w:asciiTheme="minorHAnsi" w:hAnsiTheme="minorHAnsi" w:cstheme="minorHAnsi"/>
          <w:sz w:val="22"/>
          <w:szCs w:val="22"/>
        </w:rPr>
        <w:t xml:space="preserve">“Peoples Gas Historical Gas Charge Rates per Therm.” </w:t>
      </w:r>
      <w:r w:rsidRPr="00177A5A">
        <w:rPr>
          <w:rFonts w:asciiTheme="minorHAnsi" w:hAnsiTheme="minorHAnsi" w:cstheme="minorHAnsi"/>
          <w:i/>
          <w:iCs/>
          <w:sz w:val="22"/>
          <w:szCs w:val="22"/>
        </w:rPr>
        <w:t>Illinois Commerce Commission</w:t>
      </w:r>
      <w:r w:rsidRPr="00177A5A">
        <w:rPr>
          <w:rFonts w:asciiTheme="minorHAnsi" w:hAnsiTheme="minorHAnsi" w:cstheme="minorHAnsi"/>
          <w:sz w:val="22"/>
          <w:szCs w:val="22"/>
        </w:rPr>
        <w:t>, www.icc.illinois.gov/ags/pgarates.aspx.</w:t>
      </w:r>
    </w:p>
    <w:p w14:paraId="3C4A9041" w14:textId="77777777" w:rsidR="00E83D85" w:rsidRPr="00177A5A" w:rsidRDefault="00E83D85" w:rsidP="00E83D85">
      <w:pPr>
        <w:pStyle w:val="NormalWeb"/>
        <w:ind w:left="567" w:hanging="567"/>
        <w:rPr>
          <w:rFonts w:asciiTheme="minorHAnsi" w:hAnsiTheme="minorHAnsi" w:cstheme="minorHAnsi"/>
          <w:sz w:val="22"/>
          <w:szCs w:val="22"/>
        </w:rPr>
      </w:pPr>
      <w:r>
        <w:rPr>
          <w:rFonts w:asciiTheme="minorHAnsi" w:hAnsiTheme="minorHAnsi" w:cstheme="minorHAnsi"/>
          <w:sz w:val="22"/>
          <w:szCs w:val="22"/>
        </w:rPr>
        <w:t xml:space="preserve">5. </w:t>
      </w:r>
      <w:r w:rsidRPr="00177A5A">
        <w:rPr>
          <w:rFonts w:asciiTheme="minorHAnsi" w:hAnsiTheme="minorHAnsi" w:cstheme="minorHAnsi"/>
          <w:sz w:val="22"/>
          <w:szCs w:val="22"/>
        </w:rPr>
        <w:t>Bureau of Labor, Statistics. “BLS Electricity Price ($/KWH) in Chicago 2010.” Oct. 2018.</w:t>
      </w:r>
    </w:p>
    <w:p w14:paraId="16EE1DCF" w14:textId="5A74D988" w:rsidR="00E83D85" w:rsidRDefault="00E83D85" w:rsidP="00E83D85">
      <w:pPr>
        <w:pStyle w:val="NormalWeb"/>
        <w:ind w:left="567" w:hanging="567"/>
        <w:rPr>
          <w:rFonts w:asciiTheme="minorHAnsi" w:hAnsiTheme="minorHAnsi" w:cstheme="minorHAnsi"/>
          <w:sz w:val="22"/>
          <w:szCs w:val="22"/>
        </w:rPr>
      </w:pPr>
      <w:r>
        <w:rPr>
          <w:rFonts w:asciiTheme="minorHAnsi" w:hAnsiTheme="minorHAnsi" w:cstheme="minorHAnsi"/>
          <w:sz w:val="22"/>
          <w:szCs w:val="22"/>
        </w:rPr>
        <w:t xml:space="preserve">6. </w:t>
      </w:r>
      <w:r w:rsidRPr="00177A5A">
        <w:rPr>
          <w:rFonts w:asciiTheme="minorHAnsi" w:hAnsiTheme="minorHAnsi" w:cstheme="minorHAnsi"/>
          <w:sz w:val="22"/>
          <w:szCs w:val="22"/>
        </w:rPr>
        <w:t>City of, Chicago. “Chicago Energy Usage 2010</w:t>
      </w:r>
      <w:r>
        <w:rPr>
          <w:rFonts w:asciiTheme="minorHAnsi" w:hAnsiTheme="minorHAnsi" w:cstheme="minorHAnsi"/>
          <w:sz w:val="22"/>
          <w:szCs w:val="22"/>
        </w:rPr>
        <w:t>”;</w:t>
      </w:r>
      <w:r w:rsidRPr="00177A5A">
        <w:rPr>
          <w:rFonts w:asciiTheme="minorHAnsi" w:hAnsiTheme="minorHAnsi" w:cstheme="minorHAnsi"/>
          <w:sz w:val="22"/>
          <w:szCs w:val="22"/>
        </w:rPr>
        <w:t xml:space="preserve"> </w:t>
      </w:r>
      <w:r>
        <w:rPr>
          <w:rFonts w:asciiTheme="minorHAnsi" w:hAnsiTheme="minorHAnsi" w:cstheme="minorHAnsi"/>
          <w:sz w:val="22"/>
          <w:szCs w:val="22"/>
        </w:rPr>
        <w:t>“</w:t>
      </w:r>
      <w:r w:rsidRPr="00177A5A">
        <w:rPr>
          <w:rFonts w:asciiTheme="minorHAnsi" w:hAnsiTheme="minorHAnsi" w:cstheme="minorHAnsi"/>
          <w:sz w:val="22"/>
          <w:szCs w:val="22"/>
        </w:rPr>
        <w:t>Community Geographic Boundaries</w:t>
      </w:r>
      <w:r>
        <w:rPr>
          <w:rFonts w:asciiTheme="minorHAnsi" w:hAnsiTheme="minorHAnsi" w:cstheme="minorHAnsi"/>
          <w:sz w:val="22"/>
          <w:szCs w:val="22"/>
        </w:rPr>
        <w:t>.”</w:t>
      </w:r>
      <w:r w:rsidRPr="00177A5A">
        <w:rPr>
          <w:rFonts w:asciiTheme="minorHAnsi" w:hAnsiTheme="minorHAnsi" w:cstheme="minorHAnsi"/>
          <w:sz w:val="22"/>
          <w:szCs w:val="22"/>
        </w:rPr>
        <w:t xml:space="preserve"> Chicago Data Portal, 11 July 2018.</w:t>
      </w:r>
    </w:p>
    <w:p w14:paraId="4FCA1723" w14:textId="44B8C6EC" w:rsidR="008B2FC2" w:rsidRPr="00E83D85" w:rsidRDefault="008B2FC2" w:rsidP="00E83D85">
      <w:pPr>
        <w:pStyle w:val="NormalWeb"/>
        <w:ind w:left="567" w:hanging="567"/>
        <w:rPr>
          <w:rFonts w:asciiTheme="minorHAnsi" w:hAnsiTheme="minorHAnsi" w:cstheme="minorHAnsi"/>
          <w:sz w:val="22"/>
          <w:szCs w:val="22"/>
        </w:rPr>
      </w:pPr>
      <w:r>
        <w:rPr>
          <w:rFonts w:asciiTheme="minorHAnsi" w:hAnsiTheme="minorHAnsi" w:cstheme="minorHAnsi"/>
          <w:sz w:val="22"/>
          <w:szCs w:val="22"/>
        </w:rPr>
        <w:t xml:space="preserve">7. </w:t>
      </w:r>
      <w:r w:rsidRPr="008B2FC2">
        <w:rPr>
          <w:rFonts w:asciiTheme="minorHAnsi" w:hAnsiTheme="minorHAnsi" w:cstheme="minorHAnsi"/>
          <w:sz w:val="22"/>
          <w:szCs w:val="22"/>
        </w:rPr>
        <w:t xml:space="preserve">“Chicago, IL Weather </w:t>
      </w:r>
      <w:proofErr w:type="spellStart"/>
      <w:r w:rsidRPr="008B2FC2">
        <w:rPr>
          <w:rFonts w:asciiTheme="minorHAnsi" w:hAnsiTheme="minorHAnsi" w:cstheme="minorHAnsi"/>
          <w:sz w:val="22"/>
          <w:szCs w:val="22"/>
        </w:rPr>
        <w:t>Historystar_ratehome</w:t>
      </w:r>
      <w:proofErr w:type="spellEnd"/>
      <w:r w:rsidRPr="008B2FC2">
        <w:rPr>
          <w:rFonts w:asciiTheme="minorHAnsi" w:hAnsiTheme="minorHAnsi" w:cstheme="minorHAnsi"/>
          <w:sz w:val="22"/>
          <w:szCs w:val="22"/>
        </w:rPr>
        <w:t>.” </w:t>
      </w:r>
      <w:r w:rsidRPr="008B2FC2">
        <w:rPr>
          <w:rFonts w:asciiTheme="minorHAnsi" w:hAnsiTheme="minorHAnsi" w:cstheme="minorHAnsi"/>
          <w:i/>
          <w:iCs/>
          <w:sz w:val="22"/>
          <w:szCs w:val="22"/>
        </w:rPr>
        <w:t>Weather Underground</w:t>
      </w:r>
      <w:r w:rsidRPr="008B2FC2">
        <w:rPr>
          <w:rFonts w:asciiTheme="minorHAnsi" w:hAnsiTheme="minorHAnsi" w:cstheme="minorHAnsi"/>
          <w:sz w:val="22"/>
          <w:szCs w:val="22"/>
        </w:rPr>
        <w:t>, www.wunderground.com/history/monthly/us/il/chicago/KORD/date/2010-12.</w:t>
      </w:r>
    </w:p>
    <w:sectPr w:rsidR="008B2FC2" w:rsidRPr="00E83D85" w:rsidSect="00CD013B">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21B86" w14:textId="77777777" w:rsidR="00541834" w:rsidRDefault="00541834" w:rsidP="00CD013B">
      <w:pPr>
        <w:spacing w:after="0" w:line="240" w:lineRule="auto"/>
      </w:pPr>
      <w:r>
        <w:separator/>
      </w:r>
    </w:p>
  </w:endnote>
  <w:endnote w:type="continuationSeparator" w:id="0">
    <w:p w14:paraId="287D6F67" w14:textId="77777777" w:rsidR="00541834" w:rsidRDefault="00541834" w:rsidP="00CD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05366" w14:textId="77777777" w:rsidR="00541834" w:rsidRDefault="00541834" w:rsidP="00CD013B">
      <w:pPr>
        <w:spacing w:after="0" w:line="240" w:lineRule="auto"/>
      </w:pPr>
      <w:r>
        <w:separator/>
      </w:r>
    </w:p>
  </w:footnote>
  <w:footnote w:type="continuationSeparator" w:id="0">
    <w:p w14:paraId="70A52106" w14:textId="77777777" w:rsidR="00541834" w:rsidRDefault="00541834" w:rsidP="00CD0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D997C" w14:textId="5048D94F" w:rsidR="005109DC" w:rsidRDefault="005109DC" w:rsidP="00CD013B">
    <w:pPr>
      <w:pStyle w:val="Header"/>
      <w:jc w:val="right"/>
    </w:pPr>
    <w:r>
      <w:t>Stephen Steiner</w:t>
    </w:r>
  </w:p>
  <w:p w14:paraId="15C583E5" w14:textId="1B321F08" w:rsidR="005109DC" w:rsidRDefault="007139AC" w:rsidP="00CD013B">
    <w:pPr>
      <w:pStyle w:val="Header"/>
      <w:jc w:val="right"/>
    </w:pPr>
    <w:r>
      <w:t>Energy Consumption in Chicago</w:t>
    </w:r>
  </w:p>
  <w:p w14:paraId="7AAAA9BC" w14:textId="36FCE30E" w:rsidR="007139AC" w:rsidRDefault="007139AC" w:rsidP="007139AC">
    <w:pPr>
      <w:pStyle w:val="Header"/>
      <w:jc w:val="right"/>
    </w:pPr>
    <w:r>
      <w:t xml:space="preserve">Data and code available at: </w:t>
    </w:r>
    <w:hyperlink r:id="rId1" w:history="1">
      <w:r w:rsidRPr="00064A1A">
        <w:rPr>
          <w:rStyle w:val="Hyperlink"/>
        </w:rPr>
        <w:t>https://github.com/stephensteiner4</w:t>
      </w:r>
    </w:hyperlink>
  </w:p>
  <w:p w14:paraId="21AEF710" w14:textId="726156F4" w:rsidR="005109DC" w:rsidRDefault="00541834" w:rsidP="00CD013B">
    <w:pPr>
      <w:pStyle w:val="Header"/>
      <w:jc w:val="right"/>
    </w:pPr>
    <w:hyperlink r:id="rId2" w:history="1">
      <w:r w:rsidR="007139AC" w:rsidRPr="00064A1A">
        <w:rPr>
          <w:rStyle w:val="Hyperlink"/>
        </w:rPr>
        <w:t>ssteiner4@uwalumni.com</w:t>
      </w:r>
    </w:hyperlink>
  </w:p>
  <w:p w14:paraId="37DEA5AC" w14:textId="561E919C" w:rsidR="005109DC" w:rsidRDefault="007139AC" w:rsidP="00CD013B">
    <w:pPr>
      <w:pStyle w:val="Header"/>
      <w:jc w:val="right"/>
    </w:pPr>
    <w:r>
      <w:t>(630)329-0438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3B"/>
    <w:rsid w:val="00014C02"/>
    <w:rsid w:val="00015FC4"/>
    <w:rsid w:val="000326C6"/>
    <w:rsid w:val="000679D0"/>
    <w:rsid w:val="00080A67"/>
    <w:rsid w:val="00095833"/>
    <w:rsid w:val="000C7FFE"/>
    <w:rsid w:val="000D2985"/>
    <w:rsid w:val="00102DF0"/>
    <w:rsid w:val="00106770"/>
    <w:rsid w:val="001741CC"/>
    <w:rsid w:val="00177A5A"/>
    <w:rsid w:val="001B47A6"/>
    <w:rsid w:val="001C4CD0"/>
    <w:rsid w:val="001F5445"/>
    <w:rsid w:val="002015E6"/>
    <w:rsid w:val="00205F7F"/>
    <w:rsid w:val="00215ADE"/>
    <w:rsid w:val="00222516"/>
    <w:rsid w:val="00253EAE"/>
    <w:rsid w:val="0026010D"/>
    <w:rsid w:val="00266E72"/>
    <w:rsid w:val="00293FF2"/>
    <w:rsid w:val="002B3A08"/>
    <w:rsid w:val="002E5F3E"/>
    <w:rsid w:val="00315FB1"/>
    <w:rsid w:val="0032479D"/>
    <w:rsid w:val="003A4470"/>
    <w:rsid w:val="00401C3F"/>
    <w:rsid w:val="00430BEE"/>
    <w:rsid w:val="004374F7"/>
    <w:rsid w:val="004740A8"/>
    <w:rsid w:val="004A7C2D"/>
    <w:rsid w:val="005109DC"/>
    <w:rsid w:val="00515C4F"/>
    <w:rsid w:val="00541834"/>
    <w:rsid w:val="00571AC4"/>
    <w:rsid w:val="00584CFE"/>
    <w:rsid w:val="00590E2D"/>
    <w:rsid w:val="005A29D0"/>
    <w:rsid w:val="005B7507"/>
    <w:rsid w:val="005C4732"/>
    <w:rsid w:val="005E3EE6"/>
    <w:rsid w:val="005F22E0"/>
    <w:rsid w:val="00615049"/>
    <w:rsid w:val="00630875"/>
    <w:rsid w:val="00644D77"/>
    <w:rsid w:val="00666A9D"/>
    <w:rsid w:val="00671CDB"/>
    <w:rsid w:val="00690C2D"/>
    <w:rsid w:val="00690D5C"/>
    <w:rsid w:val="006A09EB"/>
    <w:rsid w:val="006A3335"/>
    <w:rsid w:val="006F547B"/>
    <w:rsid w:val="00700565"/>
    <w:rsid w:val="007139AC"/>
    <w:rsid w:val="00716EC8"/>
    <w:rsid w:val="0072480E"/>
    <w:rsid w:val="0073419B"/>
    <w:rsid w:val="0074324E"/>
    <w:rsid w:val="00753937"/>
    <w:rsid w:val="00791557"/>
    <w:rsid w:val="007D735C"/>
    <w:rsid w:val="007E324E"/>
    <w:rsid w:val="008073F8"/>
    <w:rsid w:val="008224F6"/>
    <w:rsid w:val="008442A8"/>
    <w:rsid w:val="00883640"/>
    <w:rsid w:val="0089220C"/>
    <w:rsid w:val="008A054C"/>
    <w:rsid w:val="008B2FC2"/>
    <w:rsid w:val="008C336C"/>
    <w:rsid w:val="008C6633"/>
    <w:rsid w:val="008C752A"/>
    <w:rsid w:val="008D4878"/>
    <w:rsid w:val="008D67A9"/>
    <w:rsid w:val="00913FD0"/>
    <w:rsid w:val="0092217C"/>
    <w:rsid w:val="00932967"/>
    <w:rsid w:val="00990F41"/>
    <w:rsid w:val="00995E8E"/>
    <w:rsid w:val="00A24C44"/>
    <w:rsid w:val="00A67E21"/>
    <w:rsid w:val="00A7437F"/>
    <w:rsid w:val="00A7678B"/>
    <w:rsid w:val="00A90812"/>
    <w:rsid w:val="00AB5ADA"/>
    <w:rsid w:val="00AD3D30"/>
    <w:rsid w:val="00B21482"/>
    <w:rsid w:val="00B530C0"/>
    <w:rsid w:val="00B76169"/>
    <w:rsid w:val="00B93511"/>
    <w:rsid w:val="00BA5466"/>
    <w:rsid w:val="00BC6C78"/>
    <w:rsid w:val="00BE7AC9"/>
    <w:rsid w:val="00C02345"/>
    <w:rsid w:val="00C04A25"/>
    <w:rsid w:val="00C1197E"/>
    <w:rsid w:val="00C762B3"/>
    <w:rsid w:val="00C945F8"/>
    <w:rsid w:val="00CB54ED"/>
    <w:rsid w:val="00CC2DF1"/>
    <w:rsid w:val="00CC6FEA"/>
    <w:rsid w:val="00CD013B"/>
    <w:rsid w:val="00D01DAA"/>
    <w:rsid w:val="00D2434F"/>
    <w:rsid w:val="00D43E97"/>
    <w:rsid w:val="00DF287E"/>
    <w:rsid w:val="00E22EE1"/>
    <w:rsid w:val="00E53D07"/>
    <w:rsid w:val="00E61DB1"/>
    <w:rsid w:val="00E7192D"/>
    <w:rsid w:val="00E83D85"/>
    <w:rsid w:val="00EB1366"/>
    <w:rsid w:val="00EC7026"/>
    <w:rsid w:val="00EE1776"/>
    <w:rsid w:val="00EF5C5B"/>
    <w:rsid w:val="00F26483"/>
    <w:rsid w:val="00F374D9"/>
    <w:rsid w:val="00F722B1"/>
    <w:rsid w:val="00F77F6E"/>
    <w:rsid w:val="00F80C91"/>
    <w:rsid w:val="00F825EF"/>
    <w:rsid w:val="00FA3EE2"/>
    <w:rsid w:val="00FB0B07"/>
    <w:rsid w:val="00FB5D24"/>
    <w:rsid w:val="00FC2E0A"/>
    <w:rsid w:val="00FF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73D85"/>
  <w15:chartTrackingRefBased/>
  <w15:docId w15:val="{2C1CCE58-4A6C-48BC-BB68-106D1E32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13B"/>
  </w:style>
  <w:style w:type="paragraph" w:styleId="Footer">
    <w:name w:val="footer"/>
    <w:basedOn w:val="Normal"/>
    <w:link w:val="FooterChar"/>
    <w:uiPriority w:val="99"/>
    <w:unhideWhenUsed/>
    <w:rsid w:val="00CD0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13B"/>
  </w:style>
  <w:style w:type="paragraph" w:styleId="NormalWeb">
    <w:name w:val="Normal (Web)"/>
    <w:basedOn w:val="Normal"/>
    <w:uiPriority w:val="99"/>
    <w:unhideWhenUsed/>
    <w:rsid w:val="00A67E2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E3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0565"/>
    <w:rPr>
      <w:color w:val="0563C1" w:themeColor="hyperlink"/>
      <w:u w:val="single"/>
    </w:rPr>
  </w:style>
  <w:style w:type="character" w:styleId="UnresolvedMention">
    <w:name w:val="Unresolved Mention"/>
    <w:basedOn w:val="DefaultParagraphFont"/>
    <w:uiPriority w:val="99"/>
    <w:semiHidden/>
    <w:unhideWhenUsed/>
    <w:rsid w:val="00700565"/>
    <w:rPr>
      <w:color w:val="605E5C"/>
      <w:shd w:val="clear" w:color="auto" w:fill="E1DFDD"/>
    </w:rPr>
  </w:style>
  <w:style w:type="paragraph" w:styleId="NoSpacing">
    <w:name w:val="No Spacing"/>
    <w:uiPriority w:val="1"/>
    <w:qFormat/>
    <w:rsid w:val="008B2F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7722">
      <w:bodyDiv w:val="1"/>
      <w:marLeft w:val="0"/>
      <w:marRight w:val="0"/>
      <w:marTop w:val="0"/>
      <w:marBottom w:val="0"/>
      <w:divBdr>
        <w:top w:val="none" w:sz="0" w:space="0" w:color="auto"/>
        <w:left w:val="none" w:sz="0" w:space="0" w:color="auto"/>
        <w:bottom w:val="none" w:sz="0" w:space="0" w:color="auto"/>
        <w:right w:val="none" w:sz="0" w:space="0" w:color="auto"/>
      </w:divBdr>
    </w:div>
    <w:div w:id="65105148">
      <w:bodyDiv w:val="1"/>
      <w:marLeft w:val="0"/>
      <w:marRight w:val="0"/>
      <w:marTop w:val="0"/>
      <w:marBottom w:val="0"/>
      <w:divBdr>
        <w:top w:val="none" w:sz="0" w:space="0" w:color="auto"/>
        <w:left w:val="none" w:sz="0" w:space="0" w:color="auto"/>
        <w:bottom w:val="none" w:sz="0" w:space="0" w:color="auto"/>
        <w:right w:val="none" w:sz="0" w:space="0" w:color="auto"/>
      </w:divBdr>
    </w:div>
    <w:div w:id="84884596">
      <w:bodyDiv w:val="1"/>
      <w:marLeft w:val="0"/>
      <w:marRight w:val="0"/>
      <w:marTop w:val="0"/>
      <w:marBottom w:val="0"/>
      <w:divBdr>
        <w:top w:val="none" w:sz="0" w:space="0" w:color="auto"/>
        <w:left w:val="none" w:sz="0" w:space="0" w:color="auto"/>
        <w:bottom w:val="none" w:sz="0" w:space="0" w:color="auto"/>
        <w:right w:val="none" w:sz="0" w:space="0" w:color="auto"/>
      </w:divBdr>
    </w:div>
    <w:div w:id="290213021">
      <w:bodyDiv w:val="1"/>
      <w:marLeft w:val="0"/>
      <w:marRight w:val="0"/>
      <w:marTop w:val="0"/>
      <w:marBottom w:val="0"/>
      <w:divBdr>
        <w:top w:val="none" w:sz="0" w:space="0" w:color="auto"/>
        <w:left w:val="none" w:sz="0" w:space="0" w:color="auto"/>
        <w:bottom w:val="none" w:sz="0" w:space="0" w:color="auto"/>
        <w:right w:val="none" w:sz="0" w:space="0" w:color="auto"/>
      </w:divBdr>
      <w:divsChild>
        <w:div w:id="1215658317">
          <w:marLeft w:val="0"/>
          <w:marRight w:val="0"/>
          <w:marTop w:val="0"/>
          <w:marBottom w:val="0"/>
          <w:divBdr>
            <w:top w:val="none" w:sz="0" w:space="0" w:color="auto"/>
            <w:left w:val="none" w:sz="0" w:space="0" w:color="auto"/>
            <w:bottom w:val="none" w:sz="0" w:space="0" w:color="auto"/>
            <w:right w:val="none" w:sz="0" w:space="0" w:color="auto"/>
          </w:divBdr>
        </w:div>
        <w:div w:id="969094683">
          <w:marLeft w:val="0"/>
          <w:marRight w:val="0"/>
          <w:marTop w:val="0"/>
          <w:marBottom w:val="0"/>
          <w:divBdr>
            <w:top w:val="none" w:sz="0" w:space="0" w:color="auto"/>
            <w:left w:val="none" w:sz="0" w:space="0" w:color="auto"/>
            <w:bottom w:val="none" w:sz="0" w:space="0" w:color="auto"/>
            <w:right w:val="none" w:sz="0" w:space="0" w:color="auto"/>
          </w:divBdr>
        </w:div>
        <w:div w:id="1230531936">
          <w:marLeft w:val="0"/>
          <w:marRight w:val="0"/>
          <w:marTop w:val="0"/>
          <w:marBottom w:val="0"/>
          <w:divBdr>
            <w:top w:val="none" w:sz="0" w:space="0" w:color="auto"/>
            <w:left w:val="none" w:sz="0" w:space="0" w:color="auto"/>
            <w:bottom w:val="none" w:sz="0" w:space="0" w:color="auto"/>
            <w:right w:val="none" w:sz="0" w:space="0" w:color="auto"/>
          </w:divBdr>
        </w:div>
        <w:div w:id="529073977">
          <w:marLeft w:val="0"/>
          <w:marRight w:val="0"/>
          <w:marTop w:val="0"/>
          <w:marBottom w:val="0"/>
          <w:divBdr>
            <w:top w:val="none" w:sz="0" w:space="0" w:color="auto"/>
            <w:left w:val="none" w:sz="0" w:space="0" w:color="auto"/>
            <w:bottom w:val="none" w:sz="0" w:space="0" w:color="auto"/>
            <w:right w:val="none" w:sz="0" w:space="0" w:color="auto"/>
          </w:divBdr>
        </w:div>
        <w:div w:id="265819907">
          <w:marLeft w:val="0"/>
          <w:marRight w:val="0"/>
          <w:marTop w:val="0"/>
          <w:marBottom w:val="0"/>
          <w:divBdr>
            <w:top w:val="none" w:sz="0" w:space="0" w:color="auto"/>
            <w:left w:val="none" w:sz="0" w:space="0" w:color="auto"/>
            <w:bottom w:val="none" w:sz="0" w:space="0" w:color="auto"/>
            <w:right w:val="none" w:sz="0" w:space="0" w:color="auto"/>
          </w:divBdr>
        </w:div>
        <w:div w:id="1482497855">
          <w:marLeft w:val="0"/>
          <w:marRight w:val="0"/>
          <w:marTop w:val="0"/>
          <w:marBottom w:val="0"/>
          <w:divBdr>
            <w:top w:val="none" w:sz="0" w:space="0" w:color="auto"/>
            <w:left w:val="none" w:sz="0" w:space="0" w:color="auto"/>
            <w:bottom w:val="none" w:sz="0" w:space="0" w:color="auto"/>
            <w:right w:val="none" w:sz="0" w:space="0" w:color="auto"/>
          </w:divBdr>
        </w:div>
        <w:div w:id="1233930396">
          <w:marLeft w:val="0"/>
          <w:marRight w:val="0"/>
          <w:marTop w:val="0"/>
          <w:marBottom w:val="0"/>
          <w:divBdr>
            <w:top w:val="none" w:sz="0" w:space="0" w:color="auto"/>
            <w:left w:val="none" w:sz="0" w:space="0" w:color="auto"/>
            <w:bottom w:val="none" w:sz="0" w:space="0" w:color="auto"/>
            <w:right w:val="none" w:sz="0" w:space="0" w:color="auto"/>
          </w:divBdr>
        </w:div>
        <w:div w:id="956713177">
          <w:marLeft w:val="0"/>
          <w:marRight w:val="0"/>
          <w:marTop w:val="0"/>
          <w:marBottom w:val="0"/>
          <w:divBdr>
            <w:top w:val="none" w:sz="0" w:space="0" w:color="auto"/>
            <w:left w:val="none" w:sz="0" w:space="0" w:color="auto"/>
            <w:bottom w:val="none" w:sz="0" w:space="0" w:color="auto"/>
            <w:right w:val="none" w:sz="0" w:space="0" w:color="auto"/>
          </w:divBdr>
        </w:div>
        <w:div w:id="1075857403">
          <w:marLeft w:val="0"/>
          <w:marRight w:val="0"/>
          <w:marTop w:val="0"/>
          <w:marBottom w:val="0"/>
          <w:divBdr>
            <w:top w:val="none" w:sz="0" w:space="0" w:color="auto"/>
            <w:left w:val="none" w:sz="0" w:space="0" w:color="auto"/>
            <w:bottom w:val="none" w:sz="0" w:space="0" w:color="auto"/>
            <w:right w:val="none" w:sz="0" w:space="0" w:color="auto"/>
          </w:divBdr>
        </w:div>
        <w:div w:id="1922520790">
          <w:marLeft w:val="0"/>
          <w:marRight w:val="0"/>
          <w:marTop w:val="0"/>
          <w:marBottom w:val="0"/>
          <w:divBdr>
            <w:top w:val="none" w:sz="0" w:space="0" w:color="auto"/>
            <w:left w:val="none" w:sz="0" w:space="0" w:color="auto"/>
            <w:bottom w:val="none" w:sz="0" w:space="0" w:color="auto"/>
            <w:right w:val="none" w:sz="0" w:space="0" w:color="auto"/>
          </w:divBdr>
        </w:div>
        <w:div w:id="1954097246">
          <w:marLeft w:val="0"/>
          <w:marRight w:val="0"/>
          <w:marTop w:val="0"/>
          <w:marBottom w:val="0"/>
          <w:divBdr>
            <w:top w:val="none" w:sz="0" w:space="0" w:color="auto"/>
            <w:left w:val="none" w:sz="0" w:space="0" w:color="auto"/>
            <w:bottom w:val="none" w:sz="0" w:space="0" w:color="auto"/>
            <w:right w:val="none" w:sz="0" w:space="0" w:color="auto"/>
          </w:divBdr>
        </w:div>
        <w:div w:id="564490568">
          <w:marLeft w:val="0"/>
          <w:marRight w:val="0"/>
          <w:marTop w:val="0"/>
          <w:marBottom w:val="0"/>
          <w:divBdr>
            <w:top w:val="none" w:sz="0" w:space="0" w:color="auto"/>
            <w:left w:val="none" w:sz="0" w:space="0" w:color="auto"/>
            <w:bottom w:val="none" w:sz="0" w:space="0" w:color="auto"/>
            <w:right w:val="none" w:sz="0" w:space="0" w:color="auto"/>
          </w:divBdr>
        </w:div>
      </w:divsChild>
    </w:div>
    <w:div w:id="293680348">
      <w:bodyDiv w:val="1"/>
      <w:marLeft w:val="0"/>
      <w:marRight w:val="0"/>
      <w:marTop w:val="0"/>
      <w:marBottom w:val="0"/>
      <w:divBdr>
        <w:top w:val="none" w:sz="0" w:space="0" w:color="auto"/>
        <w:left w:val="none" w:sz="0" w:space="0" w:color="auto"/>
        <w:bottom w:val="none" w:sz="0" w:space="0" w:color="auto"/>
        <w:right w:val="none" w:sz="0" w:space="0" w:color="auto"/>
      </w:divBdr>
    </w:div>
    <w:div w:id="329454674">
      <w:bodyDiv w:val="1"/>
      <w:marLeft w:val="0"/>
      <w:marRight w:val="0"/>
      <w:marTop w:val="0"/>
      <w:marBottom w:val="0"/>
      <w:divBdr>
        <w:top w:val="none" w:sz="0" w:space="0" w:color="auto"/>
        <w:left w:val="none" w:sz="0" w:space="0" w:color="auto"/>
        <w:bottom w:val="none" w:sz="0" w:space="0" w:color="auto"/>
        <w:right w:val="none" w:sz="0" w:space="0" w:color="auto"/>
      </w:divBdr>
    </w:div>
    <w:div w:id="365301522">
      <w:bodyDiv w:val="1"/>
      <w:marLeft w:val="0"/>
      <w:marRight w:val="0"/>
      <w:marTop w:val="0"/>
      <w:marBottom w:val="0"/>
      <w:divBdr>
        <w:top w:val="none" w:sz="0" w:space="0" w:color="auto"/>
        <w:left w:val="none" w:sz="0" w:space="0" w:color="auto"/>
        <w:bottom w:val="none" w:sz="0" w:space="0" w:color="auto"/>
        <w:right w:val="none" w:sz="0" w:space="0" w:color="auto"/>
      </w:divBdr>
    </w:div>
    <w:div w:id="954293347">
      <w:bodyDiv w:val="1"/>
      <w:marLeft w:val="0"/>
      <w:marRight w:val="0"/>
      <w:marTop w:val="0"/>
      <w:marBottom w:val="0"/>
      <w:divBdr>
        <w:top w:val="none" w:sz="0" w:space="0" w:color="auto"/>
        <w:left w:val="none" w:sz="0" w:space="0" w:color="auto"/>
        <w:bottom w:val="none" w:sz="0" w:space="0" w:color="auto"/>
        <w:right w:val="none" w:sz="0" w:space="0" w:color="auto"/>
      </w:divBdr>
    </w:div>
    <w:div w:id="1261790610">
      <w:bodyDiv w:val="1"/>
      <w:marLeft w:val="0"/>
      <w:marRight w:val="0"/>
      <w:marTop w:val="0"/>
      <w:marBottom w:val="0"/>
      <w:divBdr>
        <w:top w:val="none" w:sz="0" w:space="0" w:color="auto"/>
        <w:left w:val="none" w:sz="0" w:space="0" w:color="auto"/>
        <w:bottom w:val="none" w:sz="0" w:space="0" w:color="auto"/>
        <w:right w:val="none" w:sz="0" w:space="0" w:color="auto"/>
      </w:divBdr>
    </w:div>
    <w:div w:id="1553035255">
      <w:bodyDiv w:val="1"/>
      <w:marLeft w:val="0"/>
      <w:marRight w:val="0"/>
      <w:marTop w:val="0"/>
      <w:marBottom w:val="0"/>
      <w:divBdr>
        <w:top w:val="none" w:sz="0" w:space="0" w:color="auto"/>
        <w:left w:val="none" w:sz="0" w:space="0" w:color="auto"/>
        <w:bottom w:val="none" w:sz="0" w:space="0" w:color="auto"/>
        <w:right w:val="none" w:sz="0" w:space="0" w:color="auto"/>
      </w:divBdr>
    </w:div>
    <w:div w:id="189006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hyperlink" Target="mailto:ssteiner4@uwalumni.com" TargetMode="External"/><Relationship Id="rId1" Type="http://schemas.openxmlformats.org/officeDocument/2006/relationships/hyperlink" Target="https://github.com/stephensteiner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John Steiner</dc:creator>
  <cp:keywords/>
  <dc:description/>
  <cp:lastModifiedBy>Stephen Steiner</cp:lastModifiedBy>
  <cp:revision>12</cp:revision>
  <dcterms:created xsi:type="dcterms:W3CDTF">2021-05-18T21:17:00Z</dcterms:created>
  <dcterms:modified xsi:type="dcterms:W3CDTF">2021-05-19T13:49:00Z</dcterms:modified>
</cp:coreProperties>
</file>