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334C" w14:textId="35A7F309" w:rsidR="007C71E5" w:rsidRPr="004F01EE" w:rsidRDefault="007C71E5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4F01EE">
        <w:rPr>
          <w:rFonts w:ascii="Cambria Math" w:eastAsia="Times New Roman" w:hAnsi="Cambria Math" w:cs="Helvetica"/>
          <w:b/>
          <w:bCs/>
          <w:color w:val="000000"/>
          <w:kern w:val="0"/>
          <w:sz w:val="28"/>
          <w:szCs w:val="28"/>
          <w14:ligatures w14:val="none"/>
        </w:rPr>
        <w:t>Introduction</w:t>
      </w:r>
    </w:p>
    <w:p w14:paraId="0BA844B8" w14:textId="1AA1B7B5" w:rsidR="00FF5FEF" w:rsidRDefault="008611F8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As water becomes increasingly scarce, it will become increasingly important to design water management regimes that effectively and efficiently manage their water supply. </w:t>
      </w:r>
      <w:r w:rsidR="00AD2ACB" w:rsidRPr="007C71E5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In this analysis, </w:t>
      </w:r>
      <w:r w:rsidR="00815AAF">
        <w:rPr>
          <w:rFonts w:ascii="Cambria Math" w:eastAsia="Times New Roman" w:hAnsi="Cambria Math" w:cs="Helvetica"/>
          <w:color w:val="000000"/>
          <w:kern w:val="0"/>
          <w14:ligatures w14:val="none"/>
        </w:rPr>
        <w:t>I am</w:t>
      </w:r>
      <w:r w:rsidR="00AD2ACB" w:rsidRPr="007C71E5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trying to determine which group of water suppliers </w:t>
      </w:r>
      <w:r w:rsidR="007C71E5" w:rsidRPr="007C71E5">
        <w:rPr>
          <w:rFonts w:ascii="Cambria Math" w:eastAsia="Times New Roman" w:hAnsi="Cambria Math" w:cs="Helvetica"/>
          <w:color w:val="000000"/>
          <w:kern w:val="0"/>
          <w14:ligatures w14:val="none"/>
        </w:rPr>
        <w:t>most efficiently manage their water supply</w:t>
      </w:r>
      <w:r w:rsidR="002F266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: For-Profit companies, </w:t>
      </w:r>
      <w:r w:rsidR="00FA30DC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Public entities, or Mutual Water companies (i.e., </w:t>
      </w:r>
      <w:r w:rsidR="00A029C9">
        <w:rPr>
          <w:rFonts w:ascii="Cambria Math" w:eastAsia="Times New Roman" w:hAnsi="Cambria Math" w:cs="Helvetica"/>
          <w:color w:val="000000"/>
          <w:kern w:val="0"/>
          <w14:ligatures w14:val="none"/>
        </w:rPr>
        <w:t>companies that are owned by</w:t>
      </w:r>
      <w:r w:rsidR="00CA556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end-users)</w:t>
      </w:r>
      <w:r w:rsidR="007C71E5" w:rsidRPr="007C71E5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. </w:t>
      </w:r>
      <w:r w:rsidR="00815AA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To investigate this, I use a dataset </w:t>
      </w:r>
      <w:r w:rsidR="003623D9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of </w:t>
      </w:r>
      <w:r w:rsidR="00917C63">
        <w:rPr>
          <w:rFonts w:ascii="Cambria Math" w:eastAsia="Times New Roman" w:hAnsi="Cambria Math" w:cs="Helvetica"/>
          <w:color w:val="000000"/>
          <w:kern w:val="0"/>
          <w14:ligatures w14:val="none"/>
        </w:rPr>
        <w:t>Water Supplier Monthly Water Conservation reports</w:t>
      </w:r>
      <w:r w:rsidR="00CA556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from </w:t>
      </w:r>
      <w:r w:rsidR="00DD0C78">
        <w:rPr>
          <w:rFonts w:ascii="Cambria Math" w:eastAsia="Times New Roman" w:hAnsi="Cambria Math" w:cs="Helvetica"/>
          <w:color w:val="000000"/>
          <w:kern w:val="0"/>
          <w14:ligatures w14:val="none"/>
        </w:rPr>
        <w:t>the California</w:t>
      </w:r>
      <w:r w:rsidR="00CF7FA1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State Water Board</w:t>
      </w:r>
      <w:r w:rsidR="000E028E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. </w:t>
      </w:r>
      <w:r w:rsidR="004C107C">
        <w:rPr>
          <w:rFonts w:ascii="Cambria Math" w:eastAsia="Times New Roman" w:hAnsi="Cambria Math" w:cs="Helvetica"/>
          <w:color w:val="000000"/>
          <w:kern w:val="0"/>
          <w14:ligatures w14:val="none"/>
        </w:rPr>
        <w:t>In 2014, the Board mandated that large urban water suppliers had to submit monthly water consumption figures and disclose what water conservation stage they were in. T</w:t>
      </w:r>
      <w:r w:rsidR="000E028E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he compiled reports range from </w:t>
      </w:r>
      <w:r w:rsidR="000E73B4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June 2014 to January </w:t>
      </w:r>
      <w:r w:rsidR="004C107C">
        <w:rPr>
          <w:rFonts w:ascii="Cambria Math" w:eastAsia="Times New Roman" w:hAnsi="Cambria Math" w:cs="Helvetica"/>
          <w:color w:val="000000"/>
          <w:kern w:val="0"/>
          <w14:ligatures w14:val="none"/>
        </w:rPr>
        <w:t>2021</w:t>
      </w:r>
      <w:r w:rsidR="00C574E1">
        <w:rPr>
          <w:rFonts w:ascii="Cambria Math" w:eastAsia="Times New Roman" w:hAnsi="Cambria Math" w:cs="Helvetica"/>
          <w:color w:val="000000"/>
          <w:kern w:val="0"/>
          <w14:ligatures w14:val="none"/>
        </w:rPr>
        <w:t>.</w:t>
      </w:r>
    </w:p>
    <w:p w14:paraId="7C90E245" w14:textId="75805E79" w:rsidR="00714C36" w:rsidRDefault="00714C36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For this analysis, I focus on </w:t>
      </w:r>
      <w:r w:rsidR="005958CD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residential consumption in </w:t>
      </w: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three counties in which </w:t>
      </w:r>
      <w:r w:rsidR="006A79C6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all </w:t>
      </w:r>
      <w:r w:rsidR="00874556">
        <w:rPr>
          <w:rFonts w:ascii="Cambria Math" w:eastAsia="Times New Roman" w:hAnsi="Cambria Math" w:cs="Helvetica"/>
          <w:color w:val="000000"/>
          <w:kern w:val="0"/>
          <w14:ligatures w14:val="none"/>
        </w:rPr>
        <w:t>ownership</w:t>
      </w:r>
      <w:r w:rsidR="006A79C6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groups can be found: </w:t>
      </w:r>
      <w:r w:rsidR="00F159C9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Los Angeles, Kern, and </w:t>
      </w:r>
      <w:r w:rsidR="006A79C6">
        <w:rPr>
          <w:rFonts w:ascii="Cambria Math" w:eastAsia="Times New Roman" w:hAnsi="Cambria Math" w:cs="Helvetica"/>
          <w:color w:val="000000"/>
          <w:kern w:val="0"/>
          <w14:ligatures w14:val="none"/>
        </w:rPr>
        <w:t>Sacramento</w:t>
      </w:r>
      <w:r w:rsidR="005958CD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. </w:t>
      </w:r>
      <w:r w:rsidR="00AA601E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I limited the scope to residential consumers </w:t>
      </w:r>
      <w:r w:rsidR="00A11DB3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to keep the </w:t>
      </w:r>
      <w:r w:rsidR="00277ABF">
        <w:rPr>
          <w:rFonts w:ascii="Cambria Math" w:eastAsia="Times New Roman" w:hAnsi="Cambria Math" w:cs="Helvetica"/>
          <w:color w:val="000000"/>
          <w:kern w:val="0"/>
          <w14:ligatures w14:val="none"/>
        </w:rPr>
        <w:t>analysis a little less complicated, but total monthly industrial and residential water consumption can be seen below.</w:t>
      </w:r>
    </w:p>
    <w:p w14:paraId="35149BB7" w14:textId="2B7ECF9B" w:rsidR="00A11DB3" w:rsidRDefault="00A11DB3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3AEF3038" wp14:editId="0519B60E">
            <wp:extent cx="5486400" cy="2743200"/>
            <wp:effectExtent l="0" t="0" r="0" b="0"/>
            <wp:docPr id="1268858957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58957" name="Picture 1" descr="A graph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08B9" w14:textId="0C01A1C6" w:rsidR="004F01EE" w:rsidRPr="004F01EE" w:rsidRDefault="004F01EE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4F01EE">
        <w:rPr>
          <w:rFonts w:ascii="Cambria Math" w:eastAsia="Times New Roman" w:hAnsi="Cambria Math" w:cs="Helvetica"/>
          <w:b/>
          <w:bCs/>
          <w:color w:val="000000"/>
          <w:kern w:val="0"/>
          <w:sz w:val="28"/>
          <w:szCs w:val="28"/>
          <w14:ligatures w14:val="none"/>
        </w:rPr>
        <w:t>Data Description</w:t>
      </w:r>
    </w:p>
    <w:p w14:paraId="2D34B932" w14:textId="48D88389" w:rsidR="00D22C41" w:rsidRDefault="00D04D34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In determining </w:t>
      </w:r>
      <w:r w:rsidR="00B83FD6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efficiency of water </w:t>
      </w:r>
      <w:r w:rsidR="002F6F12">
        <w:rPr>
          <w:rFonts w:ascii="Cambria Math" w:eastAsia="Times New Roman" w:hAnsi="Cambria Math" w:cs="Helvetica"/>
          <w:color w:val="000000"/>
          <w:kern w:val="0"/>
          <w14:ligatures w14:val="none"/>
        </w:rPr>
        <w:t>management</w:t>
      </w:r>
      <w:r w:rsidR="00B83FD6">
        <w:rPr>
          <w:rFonts w:ascii="Cambria Math" w:eastAsia="Times New Roman" w:hAnsi="Cambria Math" w:cs="Helvetica"/>
          <w:color w:val="000000"/>
          <w:kern w:val="0"/>
          <w14:ligatures w14:val="none"/>
        </w:rPr>
        <w:t>, I focus on two variables:</w:t>
      </w:r>
      <w:r w:rsidR="00632F7F" w:rsidRPr="00632F7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Residential Gallons Per Capita Day (GPCD)</w:t>
      </w:r>
      <w:r w:rsidR="00B83FD6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and water shortage stage</w:t>
      </w:r>
      <w:r w:rsidR="00632F7F" w:rsidRPr="00632F7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. </w:t>
      </w:r>
    </w:p>
    <w:p w14:paraId="09A5E287" w14:textId="5FEF1EC1" w:rsidR="00632F7F" w:rsidRPr="007C71E5" w:rsidRDefault="00D22C41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GPCD: </w:t>
      </w:r>
      <w:r w:rsidR="00673FEC">
        <w:rPr>
          <w:rFonts w:ascii="Cambria Math" w:eastAsia="Times New Roman" w:hAnsi="Cambria Math" w:cs="Helvetica"/>
          <w:color w:val="000000"/>
          <w:kern w:val="0"/>
          <w14:ligatures w14:val="none"/>
        </w:rPr>
        <w:t>W</w:t>
      </w:r>
      <w:r w:rsidR="00632F7F" w:rsidRPr="00632F7F">
        <w:rPr>
          <w:rFonts w:ascii="Cambria Math" w:eastAsia="Times New Roman" w:hAnsi="Cambria Math" w:cs="Helvetica"/>
          <w:color w:val="000000"/>
          <w:kern w:val="0"/>
          <w14:ligatures w14:val="none"/>
        </w:rPr>
        <w:t>ater suppliers report estimates of the gallons of water per person per day by residential customers it serves. GPCD is calculated using the following formula:</w:t>
      </w:r>
    </w:p>
    <w:p w14:paraId="15208DC3" w14:textId="77777777" w:rsidR="00AD2ACB" w:rsidRPr="007C71E5" w:rsidRDefault="00AD2ACB" w:rsidP="000C4455">
      <w:pPr>
        <w:shd w:val="clear" w:color="auto" w:fill="FFFFFF"/>
        <w:spacing w:before="240" w:after="0" w:line="240" w:lineRule="auto"/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</w:pPr>
    </w:p>
    <w:p w14:paraId="4CCBB5CA" w14:textId="77777777" w:rsidR="000C4455" w:rsidRPr="007C71E5" w:rsidRDefault="00C000B1" w:rsidP="000C4455">
      <w:pPr>
        <w:spacing w:after="0" w:line="240" w:lineRule="auto"/>
        <w:jc w:val="center"/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14:ligatures w14:val="none"/>
            </w:rPr>
            <m:t>GPCD</m:t>
          </m:r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14:ligatures w14:val="none"/>
                </w:rPr>
                <m:t>TMP*PRU*C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14:ligatures w14:val="none"/>
                </w:rPr>
                <m:t>TPS</m:t>
              </m:r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14:ligatures w14:val="none"/>
                </w:rPr>
                <m:t>*MD</m:t>
              </m:r>
            </m:den>
          </m:f>
        </m:oMath>
      </m:oMathPara>
    </w:p>
    <w:p w14:paraId="05CF5169" w14:textId="77777777" w:rsidR="00AD2ACB" w:rsidRPr="007C71E5" w:rsidRDefault="00AD2ACB" w:rsidP="00AD2ACB">
      <w:pPr>
        <w:spacing w:after="0" w:line="240" w:lineRule="auto"/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</w:pPr>
    </w:p>
    <w:p w14:paraId="491357EE" w14:textId="26DE0E9B" w:rsidR="00632F7F" w:rsidRDefault="00632F7F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 w:rsidRPr="00632F7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where TMP = Total monthly potable water production; PRU = percent residential use; C = Unit conversion factor; TPS = total population served; and MD = number of days in the month. Unit conversion factor refers to methods of converting the water suppliers' potable water unit of choice </w:t>
      </w:r>
      <w:r w:rsidRPr="00632F7F">
        <w:rPr>
          <w:rFonts w:ascii="Cambria Math" w:eastAsia="Times New Roman" w:hAnsi="Cambria Math" w:cs="Helvetica"/>
          <w:color w:val="000000"/>
          <w:kern w:val="0"/>
          <w14:ligatures w14:val="none"/>
        </w:rPr>
        <w:lastRenderedPageBreak/>
        <w:t>to gallons [i.e., Million Gallons (MG) = 1,000,000 gallons (G)]</w:t>
      </w:r>
      <w:r w:rsidR="00874556">
        <w:rPr>
          <w:rFonts w:ascii="Cambria Math" w:eastAsia="Times New Roman" w:hAnsi="Cambria Math" w:cs="Helvetica"/>
          <w:color w:val="000000"/>
          <w:kern w:val="0"/>
          <w14:ligatures w14:val="none"/>
        </w:rPr>
        <w:t>.</w:t>
      </w:r>
      <w:r w:rsidR="004911BF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 </w:t>
      </w:r>
      <w:r w:rsidR="00A36454"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I focus on GPCD because it </w:t>
      </w:r>
      <w:r w:rsidR="00FD503E">
        <w:rPr>
          <w:rFonts w:ascii="Cambria Math" w:eastAsia="Times New Roman" w:hAnsi="Cambria Math" w:cs="Helvetica"/>
          <w:color w:val="000000"/>
          <w:kern w:val="0"/>
          <w14:ligatures w14:val="none"/>
        </w:rPr>
        <w:t>reflects water consumption habits at the user level.</w:t>
      </w:r>
    </w:p>
    <w:p w14:paraId="01E0EFFC" w14:textId="77777777" w:rsidR="00004BCA" w:rsidRDefault="00004BCA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</w:p>
    <w:p w14:paraId="548BE052" w14:textId="7B018429" w:rsidR="00004BCA" w:rsidRDefault="006E02BC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noProof/>
          <w:color w:val="000000"/>
          <w:kern w:val="0"/>
          <w14:ligatures w14:val="none"/>
        </w:rPr>
        <w:drawing>
          <wp:inline distT="0" distB="0" distL="0" distR="0" wp14:anchorId="575A942D" wp14:editId="1BA12980">
            <wp:extent cx="4864100" cy="2432050"/>
            <wp:effectExtent l="0" t="0" r="0" b="0"/>
            <wp:docPr id="312939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14C1" w14:textId="77777777" w:rsidR="006E02BC" w:rsidRDefault="006E02BC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</w:p>
    <w:p w14:paraId="4539F8AF" w14:textId="01A1D18E" w:rsidR="006E02BC" w:rsidRDefault="006E02BC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>Due to the long tails, I took the log and use that from now on:</w:t>
      </w:r>
    </w:p>
    <w:p w14:paraId="591FCE8D" w14:textId="77777777" w:rsidR="001506F7" w:rsidRDefault="001506F7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</w:p>
    <w:p w14:paraId="4F70AEE1" w14:textId="59CB92A8" w:rsidR="001506F7" w:rsidRDefault="001506F7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6C399212" wp14:editId="7967BBEB">
            <wp:extent cx="4749800" cy="2374900"/>
            <wp:effectExtent l="0" t="0" r="0" b="6350"/>
            <wp:docPr id="96849348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9348" name="Picture 2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A6D1" w14:textId="44087F26" w:rsidR="004B004E" w:rsidRDefault="004B004E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>
        <w:rPr>
          <w:rFonts w:ascii="Cambria Math" w:eastAsia="Times New Roman" w:hAnsi="Cambria Math" w:cs="Helvetica"/>
          <w:color w:val="000000"/>
          <w:kern w:val="0"/>
          <w14:ligatures w14:val="none"/>
        </w:rPr>
        <w:t xml:space="preserve">Upon first inspection, the box plot below suggests that Mutual water companies typically do have higher </w:t>
      </w:r>
      <w:r w:rsidR="00715027">
        <w:rPr>
          <w:rFonts w:ascii="Cambria Math" w:eastAsia="Times New Roman" w:hAnsi="Cambria Math" w:cs="Helvetica"/>
          <w:color w:val="000000"/>
          <w:kern w:val="0"/>
          <w14:ligatures w14:val="none"/>
        </w:rPr>
        <w:t>GPCD.</w:t>
      </w:r>
    </w:p>
    <w:p w14:paraId="7E2277A8" w14:textId="6EEFE2C6" w:rsidR="00723439" w:rsidRDefault="00723439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  <w:r w:rsidRPr="007C71E5">
        <w:rPr>
          <w:rFonts w:ascii="Cambria Math" w:hAnsi="Cambria Math"/>
          <w:noProof/>
        </w:rPr>
        <w:lastRenderedPageBreak/>
        <w:drawing>
          <wp:inline distT="0" distB="0" distL="0" distR="0" wp14:anchorId="3FF19ED1" wp14:editId="336684BA">
            <wp:extent cx="4675752" cy="3302000"/>
            <wp:effectExtent l="0" t="0" r="0" b="0"/>
            <wp:docPr id="234889639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9639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28" cy="330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E737" w14:textId="77777777" w:rsidR="00B83FD6" w:rsidRDefault="00B83FD6" w:rsidP="00AD2ACB">
      <w:pPr>
        <w:spacing w:after="0" w:line="240" w:lineRule="auto"/>
        <w:rPr>
          <w:rFonts w:ascii="Cambria Math" w:eastAsia="Times New Roman" w:hAnsi="Cambria Math" w:cs="Helvetica"/>
          <w:color w:val="000000"/>
          <w:kern w:val="0"/>
          <w14:ligatures w14:val="none"/>
        </w:rPr>
      </w:pPr>
    </w:p>
    <w:p w14:paraId="03785572" w14:textId="6DC4BC7A" w:rsidR="007D7621" w:rsidRDefault="006E02BC" w:rsidP="00AD2ACB">
      <w:pPr>
        <w:spacing w:after="0" w:line="240" w:lineRule="auto"/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</w:pPr>
      <w:r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>The w</w:t>
      </w:r>
      <w:r w:rsidR="00D22C41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>ater shortage stage</w:t>
      </w:r>
      <w:r w:rsidR="001554E6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 xml:space="preserve"> tells us what </w:t>
      </w:r>
      <w:r w:rsidR="006B0674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>water conservation stage the suppliers were in at the time of reporting. This required significant cleaning</w:t>
      </w:r>
      <w:r w:rsidR="001D2D84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 xml:space="preserve"> (done in Python)</w:t>
      </w:r>
      <w:r w:rsidR="007D7621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 xml:space="preserve"> and still </w:t>
      </w:r>
      <w:r w:rsidR="00CA1788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>had some strange values after cleaning</w:t>
      </w:r>
      <w:r w:rsidR="001D2D84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>.</w:t>
      </w:r>
      <w:r w:rsidR="00CA1788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 xml:space="preserve"> For example, the stages range from 1-5 but certain utilities occasionally </w:t>
      </w:r>
      <w:r w:rsidR="00FD7242"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  <w:t>said that they were in “Stage 7” (see below).</w:t>
      </w:r>
      <w:r w:rsidR="0055109F" w:rsidRPr="0055109F">
        <w:rPr>
          <w:rFonts w:ascii="Cambria Math" w:hAnsi="Cambria Math"/>
        </w:rPr>
        <w:t xml:space="preserve"> </w:t>
      </w:r>
      <w:r w:rsidR="0055109F">
        <w:rPr>
          <w:rFonts w:ascii="Cambria Math" w:hAnsi="Cambria Math"/>
        </w:rPr>
        <w:t xml:space="preserve">Later stages are higher because those suppliers tend to </w:t>
      </w:r>
      <w:r w:rsidR="0055109F">
        <w:rPr>
          <w:rFonts w:ascii="Cambria Math" w:hAnsi="Cambria Math"/>
        </w:rPr>
        <w:t>have a</w:t>
      </w:r>
      <w:r w:rsidR="0055109F">
        <w:rPr>
          <w:rFonts w:ascii="Cambria Math" w:hAnsi="Cambria Math"/>
        </w:rPr>
        <w:t xml:space="preserve"> higher log(GPCD) value overall</w:t>
      </w:r>
      <w:r w:rsidR="0055109F">
        <w:rPr>
          <w:rFonts w:ascii="Cambria Math" w:hAnsi="Cambria Math"/>
        </w:rPr>
        <w:t>.</w:t>
      </w:r>
    </w:p>
    <w:p w14:paraId="202701D1" w14:textId="77777777" w:rsidR="00715027" w:rsidRDefault="00715027" w:rsidP="00AD2ACB">
      <w:pPr>
        <w:spacing w:after="0" w:line="240" w:lineRule="auto"/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</w:pPr>
    </w:p>
    <w:p w14:paraId="3A0971DB" w14:textId="5AFEFE8D" w:rsidR="00B83FD6" w:rsidRPr="00632F7F" w:rsidRDefault="00DE30B0" w:rsidP="00AD2ACB">
      <w:pPr>
        <w:spacing w:after="0" w:line="240" w:lineRule="auto"/>
        <w:rPr>
          <w:rFonts w:ascii="Cambria Math" w:eastAsia="Times New Roman" w:hAnsi="Cambria Math" w:cs="Times New Roman"/>
          <w:kern w:val="0"/>
          <w:bdr w:val="none" w:sz="0" w:space="0" w:color="auto" w:frame="1"/>
          <w14:ligatures w14:val="none"/>
        </w:rPr>
      </w:pPr>
      <w:r>
        <w:rPr>
          <w:rFonts w:ascii="Cambria Math" w:eastAsia="Times New Roman" w:hAnsi="Cambria Math" w:cs="Times New Roman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544DB36A" wp14:editId="212D067B">
            <wp:extent cx="5111750" cy="3609900"/>
            <wp:effectExtent l="0" t="0" r="0" b="0"/>
            <wp:docPr id="80402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59" cy="36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52C3" w14:textId="77777777" w:rsidR="00632F7F" w:rsidRPr="007C71E5" w:rsidRDefault="00632F7F">
      <w:pPr>
        <w:rPr>
          <w:rFonts w:ascii="Cambria Math" w:hAnsi="Cambria Math"/>
        </w:rPr>
      </w:pPr>
    </w:p>
    <w:p w14:paraId="2EFB61C6" w14:textId="6B688172" w:rsidR="00811668" w:rsidRDefault="00811668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I account for monthly seasonality</w:t>
      </w:r>
      <w:r w:rsidR="00D9622A">
        <w:rPr>
          <w:rFonts w:ascii="Cambria Math" w:hAnsi="Cambria Math"/>
        </w:rPr>
        <w:t xml:space="preserve"> by using a “summer” dummy variable for </w:t>
      </w:r>
      <w:r w:rsidR="00256978">
        <w:rPr>
          <w:rFonts w:ascii="Cambria Math" w:hAnsi="Cambria Math"/>
        </w:rPr>
        <w:t>June-September</w:t>
      </w:r>
      <w:r w:rsidR="00E31F9A">
        <w:rPr>
          <w:rFonts w:ascii="Cambria Math" w:hAnsi="Cambria Math"/>
        </w:rPr>
        <w:t xml:space="preserve">. I </w:t>
      </w:r>
      <w:r w:rsidR="00256978">
        <w:rPr>
          <w:rFonts w:ascii="Cambria Math" w:hAnsi="Cambria Math"/>
        </w:rPr>
        <w:t>also include indicators for May and October because they still</w:t>
      </w:r>
      <w:r w:rsidR="00E31F9A">
        <w:rPr>
          <w:rFonts w:ascii="Cambria Math" w:hAnsi="Cambria Math"/>
        </w:rPr>
        <w:t xml:space="preserve"> have higher consumption than is typical for the rest of the year.</w:t>
      </w:r>
    </w:p>
    <w:p w14:paraId="61981A24" w14:textId="59EE889A" w:rsidR="00947609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</w:rPr>
        <w:br/>
      </w:r>
      <w:r w:rsidRPr="007C71E5">
        <w:rPr>
          <w:rFonts w:ascii="Cambria Math" w:hAnsi="Cambria Math"/>
          <w:noProof/>
        </w:rPr>
        <w:drawing>
          <wp:inline distT="0" distB="0" distL="0" distR="0" wp14:anchorId="69B1C2B0" wp14:editId="051AAF8D">
            <wp:extent cx="3992373" cy="2819400"/>
            <wp:effectExtent l="0" t="0" r="8255" b="0"/>
            <wp:docPr id="497508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90" cy="282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93B3" w14:textId="0F9F6C97" w:rsidR="00E31F9A" w:rsidRPr="007C71E5" w:rsidRDefault="00DA1CC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In aggregate, it doesn’t look like there is a significant annual trend, but I include </w:t>
      </w:r>
      <w:r w:rsidR="00723439">
        <w:rPr>
          <w:rFonts w:ascii="Cambria Math" w:hAnsi="Cambria Math"/>
        </w:rPr>
        <w:t>year in my regressions as well to account for any time trends.</w:t>
      </w:r>
    </w:p>
    <w:p w14:paraId="10E8F54F" w14:textId="329B52B8" w:rsidR="00255B0E" w:rsidRPr="007C71E5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20C625CF" wp14:editId="10269128">
            <wp:extent cx="4010356" cy="2832100"/>
            <wp:effectExtent l="0" t="0" r="9525" b="6350"/>
            <wp:docPr id="2052592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31" cy="283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ADB" w14:textId="77777777" w:rsidR="00451EB6" w:rsidRDefault="00451EB6">
      <w:pPr>
        <w:rPr>
          <w:rFonts w:ascii="Cambria Math" w:hAnsi="Cambria Math"/>
        </w:rPr>
      </w:pPr>
    </w:p>
    <w:p w14:paraId="7896F970" w14:textId="2878DE1D" w:rsidR="00255B0E" w:rsidRDefault="004D681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Although I </w:t>
      </w:r>
      <w:r w:rsidR="005050DB">
        <w:rPr>
          <w:rFonts w:ascii="Cambria Math" w:hAnsi="Cambria Math"/>
        </w:rPr>
        <w:t xml:space="preserve">selected which water suppliers to analyze by county, the hydrologic region </w:t>
      </w:r>
      <w:r w:rsidR="00C6600B">
        <w:rPr>
          <w:rFonts w:ascii="Cambria Math" w:hAnsi="Cambria Math"/>
        </w:rPr>
        <w:t>variable better reflect</w:t>
      </w:r>
      <w:r w:rsidR="0013551D">
        <w:rPr>
          <w:rFonts w:ascii="Cambria Math" w:hAnsi="Cambria Math"/>
        </w:rPr>
        <w:t>s</w:t>
      </w:r>
      <w:r w:rsidR="00C6600B">
        <w:rPr>
          <w:rFonts w:ascii="Cambria Math" w:hAnsi="Cambria Math"/>
        </w:rPr>
        <w:t xml:space="preserve"> the </w:t>
      </w:r>
      <w:r w:rsidR="00C06892">
        <w:rPr>
          <w:rFonts w:ascii="Cambria Math" w:hAnsi="Cambria Math"/>
        </w:rPr>
        <w:t xml:space="preserve">environmental constraints in which the suppliers find themselves. </w:t>
      </w:r>
      <w:r w:rsidR="0013551D">
        <w:rPr>
          <w:rFonts w:ascii="Cambria Math" w:hAnsi="Cambria Math"/>
        </w:rPr>
        <w:t>Moreover, each ownership group is still represented in each region.</w:t>
      </w:r>
    </w:p>
    <w:p w14:paraId="6F9BC7F1" w14:textId="39A5B73F" w:rsidR="00E5699D" w:rsidRDefault="0013551D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5DABE2DF" wp14:editId="3A3C62C3">
            <wp:extent cx="3111500" cy="2139950"/>
            <wp:effectExtent l="0" t="0" r="0" b="0"/>
            <wp:docPr id="1136929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B2F9" w14:textId="65AE0C91" w:rsidR="0013551D" w:rsidRDefault="0013551D">
      <w:pPr>
        <w:rPr>
          <w:rFonts w:ascii="Cambria Math" w:hAnsi="Cambria Math"/>
        </w:rPr>
      </w:pPr>
    </w:p>
    <w:p w14:paraId="203BFF9E" w14:textId="1A1DC83C" w:rsidR="0013551D" w:rsidRPr="007C71E5" w:rsidRDefault="0013551D">
      <w:pPr>
        <w:rPr>
          <w:rFonts w:ascii="Cambria Math" w:hAnsi="Cambria Math"/>
        </w:rPr>
      </w:pPr>
      <w:r>
        <w:rPr>
          <w:rFonts w:ascii="Cambria Math" w:hAnsi="Cambria Math"/>
        </w:rPr>
        <w:t>Interestingly, the South Coast region typically consumes significantly less than the Sacramento River and Tulare Lake regions.</w:t>
      </w:r>
    </w:p>
    <w:p w14:paraId="3184D2B1" w14:textId="77777777" w:rsidR="00255B0E" w:rsidRPr="007C71E5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4D63CF0C" wp14:editId="68B3DD78">
            <wp:extent cx="4527550" cy="3197340"/>
            <wp:effectExtent l="0" t="0" r="6350" b="3175"/>
            <wp:docPr id="29626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78" cy="31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F12D" w14:textId="77777777" w:rsidR="00947609" w:rsidRDefault="00947609">
      <w:pPr>
        <w:rPr>
          <w:rFonts w:ascii="Cambria Math" w:hAnsi="Cambria Math"/>
        </w:rPr>
      </w:pPr>
    </w:p>
    <w:p w14:paraId="1AA2E418" w14:textId="0A4ECC2C" w:rsidR="00F6100C" w:rsidRDefault="00F25960">
      <w:pPr>
        <w:rPr>
          <w:rFonts w:ascii="Cambria Math" w:hAnsi="Cambria Math"/>
        </w:rPr>
      </w:pPr>
      <w:r>
        <w:rPr>
          <w:rFonts w:ascii="Cambria Math" w:hAnsi="Cambria Math"/>
        </w:rPr>
        <w:t>The suppliers most frequently find themselves in stages 1-3</w:t>
      </w:r>
      <w:r w:rsidR="00F6100C">
        <w:rPr>
          <w:rFonts w:ascii="Cambria Math" w:hAnsi="Cambria Math"/>
        </w:rPr>
        <w:t>.</w:t>
      </w:r>
    </w:p>
    <w:p w14:paraId="475B046D" w14:textId="77777777" w:rsidR="00F6100C" w:rsidRPr="007C71E5" w:rsidRDefault="00F6100C">
      <w:pPr>
        <w:rPr>
          <w:rFonts w:ascii="Cambria Math" w:hAnsi="Cambria Math"/>
        </w:rPr>
      </w:pPr>
    </w:p>
    <w:p w14:paraId="01F417EC" w14:textId="55D00B25" w:rsidR="00947609" w:rsidRDefault="00947609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2B8B91E4" wp14:editId="6307012F">
            <wp:extent cx="4318000" cy="759797"/>
            <wp:effectExtent l="0" t="0" r="6350" b="2540"/>
            <wp:docPr id="2106781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10" cy="7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01CB" w14:textId="77777777" w:rsidR="00671B0B" w:rsidRPr="007C71E5" w:rsidRDefault="00671B0B">
      <w:pPr>
        <w:rPr>
          <w:rFonts w:ascii="Cambria Math" w:hAnsi="Cambria Math"/>
        </w:rPr>
      </w:pPr>
    </w:p>
    <w:p w14:paraId="0F73A826" w14:textId="1A6B7E2B" w:rsidR="0055109F" w:rsidRPr="0055109F" w:rsidRDefault="0055109F">
      <w:pPr>
        <w:rPr>
          <w:rFonts w:ascii="Cambria Math" w:hAnsi="Cambria Math"/>
          <w:b/>
          <w:bCs/>
          <w:sz w:val="28"/>
          <w:szCs w:val="28"/>
        </w:rPr>
      </w:pPr>
      <w:r w:rsidRPr="0055109F">
        <w:rPr>
          <w:rFonts w:ascii="Cambria Math" w:hAnsi="Cambria Math"/>
          <w:b/>
          <w:bCs/>
          <w:sz w:val="28"/>
          <w:szCs w:val="28"/>
        </w:rPr>
        <w:lastRenderedPageBreak/>
        <w:t>Modeling Average Daily Water Consumption by Ownership Group</w:t>
      </w:r>
      <w:r>
        <w:rPr>
          <w:rFonts w:ascii="Cambria Math" w:hAnsi="Cambria Math"/>
          <w:b/>
          <w:bCs/>
          <w:sz w:val="28"/>
          <w:szCs w:val="28"/>
        </w:rPr>
        <w:t xml:space="preserve"> via OLS</w:t>
      </w:r>
    </w:p>
    <w:p w14:paraId="47B8D9AD" w14:textId="50F62EF1" w:rsidR="00835603" w:rsidRDefault="00835603">
      <w:pPr>
        <w:rPr>
          <w:rFonts w:ascii="Cambria Math" w:hAnsi="Cambria Math"/>
        </w:rPr>
      </w:pPr>
      <w:r>
        <w:rPr>
          <w:rFonts w:ascii="Cambria Math" w:hAnsi="Cambria Math"/>
        </w:rPr>
        <w:t>The regression below tests whether or not consumers across ownership groups consume the same amount of water controlling for seasonality, share of residential consumers, and not being in a “disaster” (defined as being shortage stage 4 or higher). I’m also clustering standard errors around water supplier.</w:t>
      </w:r>
      <w:r w:rsidR="0055109F">
        <w:rPr>
          <w:rFonts w:ascii="Cambria Math" w:hAnsi="Cambria Math"/>
        </w:rPr>
        <w:t xml:space="preserve"> Disaster likely has a positive coefficient because </w:t>
      </w:r>
      <w:r>
        <w:rPr>
          <w:rFonts w:ascii="Cambria Math" w:hAnsi="Cambria Math"/>
        </w:rPr>
        <w:t xml:space="preserve">the </w:t>
      </w:r>
      <w:r w:rsidR="0055109F">
        <w:rPr>
          <w:rFonts w:ascii="Cambria Math" w:hAnsi="Cambria Math"/>
        </w:rPr>
        <w:t>suppliers that reached a ‘disaster’ stage tend to have higher log(GPCD)</w:t>
      </w:r>
      <w:r w:rsidR="0055109F" w:rsidRPr="0055109F">
        <w:rPr>
          <w:rFonts w:ascii="Cambria Math" w:hAnsi="Cambria Math"/>
        </w:rPr>
        <w:t xml:space="preserve"> </w:t>
      </w:r>
      <w:r w:rsidR="0055109F">
        <w:rPr>
          <w:rFonts w:ascii="Cambria Math" w:hAnsi="Cambria Math"/>
        </w:rPr>
        <w:t>[</w:t>
      </w:r>
      <w:r w:rsidR="0055109F">
        <w:rPr>
          <w:rFonts w:ascii="Cambria Math" w:hAnsi="Cambria Math"/>
        </w:rPr>
        <w:t>non-disaster suppliers have a median log(GPCD) value of 4.44 compared to 4.55 for disaster suppliers</w:t>
      </w:r>
      <w:r w:rsidR="0055109F">
        <w:rPr>
          <w:rFonts w:ascii="Cambria Math" w:hAnsi="Cambria Math"/>
        </w:rPr>
        <w:t xml:space="preserve"> like the city of Beverly Hills; see shortage stage box plot above].</w:t>
      </w:r>
    </w:p>
    <w:p w14:paraId="130DE232" w14:textId="3F2D258A" w:rsidR="00947609" w:rsidRPr="007C71E5" w:rsidRDefault="003977FB">
      <w:pPr>
        <w:rPr>
          <w:rFonts w:ascii="Cambria Math" w:hAnsi="Cambria Math"/>
        </w:rPr>
      </w:pPr>
      <w:r>
        <w:rPr>
          <w:rFonts w:ascii="Cambria Math" w:hAnsi="Cambria Math"/>
        </w:rPr>
        <w:t>Mutual companies</w:t>
      </w:r>
      <w:r w:rsidR="00F13446">
        <w:rPr>
          <w:rFonts w:ascii="Cambria Math" w:hAnsi="Cambria Math"/>
        </w:rPr>
        <w:t xml:space="preserve">’ consumers use 52.3% and </w:t>
      </w:r>
      <w:r w:rsidR="00F13446">
        <w:rPr>
          <w:rFonts w:ascii="Cambria Math" w:hAnsi="Cambria Math"/>
        </w:rPr>
        <w:t>14.9%</w:t>
      </w:r>
      <w:r w:rsidR="0055109F">
        <w:rPr>
          <w:rFonts w:ascii="Cambria Math" w:hAnsi="Cambria Math"/>
        </w:rPr>
        <w:t xml:space="preserve"> more water per day</w:t>
      </w:r>
      <w:r>
        <w:rPr>
          <w:rFonts w:ascii="Cambria Math" w:hAnsi="Cambria Math"/>
        </w:rPr>
        <w:t xml:space="preserve"> in Tulare Lake and Sacramento River hydrologic regions</w:t>
      </w:r>
      <w:r w:rsidR="00F13446">
        <w:rPr>
          <w:rFonts w:ascii="Cambria Math" w:hAnsi="Cambria Math"/>
        </w:rPr>
        <w:t xml:space="preserve">, respectively, </w:t>
      </w:r>
      <w:r w:rsidR="0055109F">
        <w:rPr>
          <w:rFonts w:ascii="Cambria Math" w:hAnsi="Cambria Math"/>
        </w:rPr>
        <w:t>than</w:t>
      </w:r>
      <w:r>
        <w:rPr>
          <w:rFonts w:ascii="Cambria Math" w:hAnsi="Cambria Math"/>
        </w:rPr>
        <w:t xml:space="preserve"> For-Profit entities and Public </w:t>
      </w:r>
      <w:r w:rsidR="00F13446">
        <w:rPr>
          <w:rFonts w:ascii="Cambria Math" w:hAnsi="Cambria Math"/>
        </w:rPr>
        <w:t xml:space="preserve">consumers use 12.4% and 12.2% more water </w:t>
      </w:r>
      <w:r w:rsidR="0055109F">
        <w:rPr>
          <w:rFonts w:ascii="Cambria Math" w:hAnsi="Cambria Math"/>
        </w:rPr>
        <w:t xml:space="preserve">per day </w:t>
      </w:r>
      <w:r>
        <w:rPr>
          <w:rFonts w:ascii="Cambria Math" w:hAnsi="Cambria Math"/>
        </w:rPr>
        <w:t xml:space="preserve">in Tulare Lake and </w:t>
      </w:r>
      <w:r w:rsidR="00F13446">
        <w:rPr>
          <w:rFonts w:ascii="Cambria Math" w:hAnsi="Cambria Math"/>
        </w:rPr>
        <w:t>South Coast, respectively</w:t>
      </w:r>
      <w:r>
        <w:rPr>
          <w:rFonts w:ascii="Cambria Math" w:hAnsi="Cambria Math"/>
        </w:rPr>
        <w:t>.</w:t>
      </w:r>
      <w:r w:rsidR="00F13446">
        <w:rPr>
          <w:rFonts w:ascii="Cambria Math" w:hAnsi="Cambria Math"/>
        </w:rPr>
        <w:t xml:space="preserve"> </w:t>
      </w:r>
      <w:r w:rsidR="00835603">
        <w:rPr>
          <w:rFonts w:ascii="Cambria Math" w:hAnsi="Cambria Math"/>
        </w:rPr>
        <w:t>We cannot reject the null hypothesis that consumption is the same in other regions.</w:t>
      </w:r>
    </w:p>
    <w:p w14:paraId="6F3235E7" w14:textId="6D03CE65" w:rsidR="00255B0E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058E0321" wp14:editId="78513EAA">
            <wp:extent cx="5196407" cy="2389265"/>
            <wp:effectExtent l="0" t="0" r="4445" b="0"/>
            <wp:docPr id="181194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803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07" cy="23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1C75" w14:textId="77777777" w:rsidR="003977FB" w:rsidRDefault="003977FB">
      <w:pPr>
        <w:rPr>
          <w:rFonts w:ascii="Cambria Math" w:hAnsi="Cambria Math"/>
        </w:rPr>
      </w:pPr>
    </w:p>
    <w:p w14:paraId="017BC4B0" w14:textId="61AFF3E8" w:rsidR="00671B0B" w:rsidRPr="007C71E5" w:rsidRDefault="003977FB">
      <w:pPr>
        <w:rPr>
          <w:rFonts w:ascii="Cambria Math" w:hAnsi="Cambria Math"/>
        </w:rPr>
      </w:pPr>
      <w:r>
        <w:rPr>
          <w:rFonts w:ascii="Cambria Math" w:hAnsi="Cambria Math"/>
        </w:rPr>
        <w:t>Looking at the diagnostics plot, there is some deviation from the 45-degree line suggesting that the model is missing something. The residual plot also suggests that the model may also violate the heteroskedasticity assumption.</w:t>
      </w:r>
    </w:p>
    <w:p w14:paraId="7E3B109B" w14:textId="77777777" w:rsidR="00255B0E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lastRenderedPageBreak/>
        <w:drawing>
          <wp:inline distT="0" distB="0" distL="0" distR="0" wp14:anchorId="449FDD2C" wp14:editId="1B64602D">
            <wp:extent cx="4801638" cy="3390900"/>
            <wp:effectExtent l="0" t="0" r="0" b="0"/>
            <wp:docPr id="1769821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82" cy="339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9E67" w14:textId="77777777" w:rsidR="008B0E67" w:rsidRDefault="008B0E67">
      <w:pPr>
        <w:rPr>
          <w:rFonts w:ascii="Cambria Math" w:hAnsi="Cambria Math"/>
        </w:rPr>
      </w:pPr>
    </w:p>
    <w:p w14:paraId="425B1D8F" w14:textId="77777777" w:rsidR="00835603" w:rsidRDefault="00835603">
      <w:pPr>
        <w:rPr>
          <w:rFonts w:ascii="Cambria Math" w:hAnsi="Cambria Math"/>
        </w:rPr>
      </w:pPr>
    </w:p>
    <w:p w14:paraId="0F12DBF0" w14:textId="7562B1DC" w:rsidR="00835603" w:rsidRPr="00835603" w:rsidRDefault="00835603">
      <w:pPr>
        <w:rPr>
          <w:rFonts w:ascii="Cambria Math" w:hAnsi="Cambria Math"/>
          <w:b/>
          <w:bCs/>
          <w:sz w:val="28"/>
          <w:szCs w:val="28"/>
        </w:rPr>
      </w:pPr>
      <w:r w:rsidRPr="00835603">
        <w:rPr>
          <w:rFonts w:ascii="Cambria Math" w:hAnsi="Cambria Math"/>
          <w:b/>
          <w:bCs/>
          <w:sz w:val="28"/>
          <w:szCs w:val="28"/>
        </w:rPr>
        <w:t>Odds of Crisis</w:t>
      </w:r>
    </w:p>
    <w:p w14:paraId="7F4E92BF" w14:textId="51B0ED3C" w:rsidR="00255B0E" w:rsidRPr="007C71E5" w:rsidRDefault="0083560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I’ve defined crisis as being in a shortage stage of 2 or greater. </w:t>
      </w:r>
      <w:r w:rsidR="008B0E67">
        <w:rPr>
          <w:rFonts w:ascii="Cambria Math" w:hAnsi="Cambria Math"/>
        </w:rPr>
        <w:t>The table below suggests that month is not a very important indicator for whether or not the utility company will be in a state of shortage while year does</w:t>
      </w:r>
      <w:r>
        <w:rPr>
          <w:rFonts w:ascii="Cambria Math" w:hAnsi="Cambria Math"/>
        </w:rPr>
        <w:t xml:space="preserve"> suggest that crises became less likely over time</w:t>
      </w:r>
      <w:r w:rsidR="008B0E67">
        <w:rPr>
          <w:rFonts w:ascii="Cambria Math" w:hAnsi="Cambria Math"/>
        </w:rPr>
        <w:t>.</w:t>
      </w:r>
    </w:p>
    <w:p w14:paraId="0B767642" w14:textId="27A65BE2" w:rsidR="00255B0E" w:rsidRPr="007C71E5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6D320F80" wp14:editId="711E04AD">
            <wp:extent cx="3683000" cy="2311400"/>
            <wp:effectExtent l="0" t="0" r="0" b="0"/>
            <wp:docPr id="284862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8E5E" w14:textId="6815B29E" w:rsidR="00255B0E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lastRenderedPageBreak/>
        <w:drawing>
          <wp:inline distT="0" distB="0" distL="0" distR="0" wp14:anchorId="48F90B16" wp14:editId="1D62885A">
            <wp:extent cx="3663950" cy="1663700"/>
            <wp:effectExtent l="0" t="0" r="0" b="0"/>
            <wp:docPr id="45266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699B" w14:textId="77777777" w:rsidR="008B0E67" w:rsidRPr="007C71E5" w:rsidRDefault="008B0E67">
      <w:pPr>
        <w:rPr>
          <w:rFonts w:ascii="Cambria Math" w:hAnsi="Cambria Math"/>
        </w:rPr>
      </w:pPr>
    </w:p>
    <w:p w14:paraId="303032A1" w14:textId="12405B40" w:rsidR="008B0E67" w:rsidRPr="007C71E5" w:rsidRDefault="008B0E67" w:rsidP="008B0E67">
      <w:pPr>
        <w:rPr>
          <w:rFonts w:ascii="Cambria Math" w:hAnsi="Cambria Math"/>
        </w:rPr>
      </w:pPr>
      <w:r>
        <w:rPr>
          <w:rFonts w:ascii="Cambria Math" w:hAnsi="Cambria Math"/>
        </w:rPr>
        <w:t>In the GLM model to predict likelihood of being in crisis, the odds of Mutual Water companies and Public entities being in a state of crisis are 263% and 60% higher than For-Profit companies in South Lake. While the results for Tulare Lake contradict the South Coast findings, we have a much more robust sample in South Lake for each group</w:t>
      </w:r>
      <w:r>
        <w:rPr>
          <w:rFonts w:ascii="Cambria Math" w:hAnsi="Cambria Math"/>
        </w:rPr>
        <w:t xml:space="preserve"> per hydrologic region vs. ownership table above.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f the 1-2 For-Profit companies </w:t>
      </w:r>
      <w:r>
        <w:rPr>
          <w:rFonts w:ascii="Cambria Math" w:hAnsi="Cambria Math"/>
        </w:rPr>
        <w:t>in Tulare Lake and Sacramento River</w:t>
      </w:r>
      <w:r>
        <w:rPr>
          <w:rFonts w:ascii="Cambria Math" w:hAnsi="Cambria Math"/>
        </w:rPr>
        <w:t xml:space="preserve"> are </w:t>
      </w:r>
      <w:r>
        <w:rPr>
          <w:rFonts w:ascii="Cambria Math" w:hAnsi="Cambria Math"/>
        </w:rPr>
        <w:t>simply run not as well, then this would construe the results in favor of the other ownership groups.</w:t>
      </w:r>
    </w:p>
    <w:p w14:paraId="740D86D2" w14:textId="77777777" w:rsidR="00255B0E" w:rsidRPr="007C71E5" w:rsidRDefault="00255B0E">
      <w:pPr>
        <w:rPr>
          <w:rFonts w:ascii="Cambria Math" w:hAnsi="Cambria Math"/>
        </w:rPr>
      </w:pPr>
    </w:p>
    <w:p w14:paraId="6EA726C7" w14:textId="0AC9E3F6" w:rsidR="00255B0E" w:rsidRDefault="00255B0E">
      <w:pPr>
        <w:rPr>
          <w:rFonts w:ascii="Cambria Math" w:hAnsi="Cambria Math"/>
        </w:rPr>
      </w:pPr>
      <w:r w:rsidRPr="007C71E5">
        <w:rPr>
          <w:rFonts w:ascii="Cambria Math" w:hAnsi="Cambria Math"/>
          <w:noProof/>
        </w:rPr>
        <w:drawing>
          <wp:inline distT="0" distB="0" distL="0" distR="0" wp14:anchorId="4C50F00D" wp14:editId="0B0EE2D5">
            <wp:extent cx="4277131" cy="2723330"/>
            <wp:effectExtent l="0" t="0" r="0" b="1270"/>
            <wp:docPr id="1038833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3056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31" cy="27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8F8B" w14:textId="77777777" w:rsidR="00F13446" w:rsidRDefault="00F13446">
      <w:pPr>
        <w:rPr>
          <w:rFonts w:ascii="Cambria Math" w:hAnsi="Cambria Math"/>
        </w:rPr>
      </w:pPr>
    </w:p>
    <w:p w14:paraId="7C0B0D0A" w14:textId="2ED67090" w:rsidR="00F13446" w:rsidRPr="007C71E5" w:rsidRDefault="00F13446">
      <w:pPr>
        <w:rPr>
          <w:rFonts w:ascii="Cambria Math" w:hAnsi="Cambria Math"/>
        </w:rPr>
      </w:pPr>
      <w:r>
        <w:rPr>
          <w:rFonts w:ascii="Cambria Math" w:hAnsi="Cambria Math"/>
        </w:rPr>
        <w:t>Taken together</w:t>
      </w:r>
      <w:r w:rsidR="0055109F">
        <w:rPr>
          <w:rFonts w:ascii="Cambria Math" w:hAnsi="Cambria Math"/>
        </w:rPr>
        <w:t>, although the results are a little mixed</w:t>
      </w:r>
      <w:r>
        <w:rPr>
          <w:rFonts w:ascii="Cambria Math" w:hAnsi="Cambria Math"/>
        </w:rPr>
        <w:t xml:space="preserve">, </w:t>
      </w:r>
      <w:r w:rsidR="0055109F">
        <w:rPr>
          <w:rFonts w:ascii="Cambria Math" w:hAnsi="Cambria Math"/>
        </w:rPr>
        <w:t xml:space="preserve">they </w:t>
      </w:r>
      <w:r>
        <w:rPr>
          <w:rFonts w:ascii="Cambria Math" w:hAnsi="Cambria Math"/>
        </w:rPr>
        <w:t>suggest that Public entities and Mutual Water companies manage their water supply less efficiently</w:t>
      </w:r>
      <w:r w:rsidR="0055109F">
        <w:rPr>
          <w:rFonts w:ascii="Cambria Math" w:hAnsi="Cambria Math"/>
        </w:rPr>
        <w:t xml:space="preserve"> if we put more weight on the South Coast hydrologic region because we have a more robust </w:t>
      </w:r>
      <w:r w:rsidR="00FD5850">
        <w:rPr>
          <w:rFonts w:ascii="Cambria Math" w:hAnsi="Cambria Math"/>
        </w:rPr>
        <w:t xml:space="preserve">supplier </w:t>
      </w:r>
      <w:r w:rsidR="0055109F">
        <w:rPr>
          <w:rFonts w:ascii="Cambria Math" w:hAnsi="Cambria Math"/>
        </w:rPr>
        <w:t>sample</w:t>
      </w:r>
      <w:r w:rsidR="00FD5850">
        <w:rPr>
          <w:rFonts w:ascii="Cambria Math" w:hAnsi="Cambria Math"/>
        </w:rPr>
        <w:t xml:space="preserve"> in that region</w:t>
      </w:r>
      <w:r w:rsidR="0055109F">
        <w:rPr>
          <w:rFonts w:ascii="Cambria Math" w:hAnsi="Cambria Math"/>
        </w:rPr>
        <w:t>.</w:t>
      </w:r>
    </w:p>
    <w:sectPr w:rsidR="00F13446" w:rsidRPr="007C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E"/>
    <w:rsid w:val="00004BCA"/>
    <w:rsid w:val="000C4455"/>
    <w:rsid w:val="000E028E"/>
    <w:rsid w:val="000E22C2"/>
    <w:rsid w:val="000E73B4"/>
    <w:rsid w:val="0013551D"/>
    <w:rsid w:val="001506F7"/>
    <w:rsid w:val="001554E6"/>
    <w:rsid w:val="001D2D84"/>
    <w:rsid w:val="00255B0E"/>
    <w:rsid w:val="00256978"/>
    <w:rsid w:val="00275A7A"/>
    <w:rsid w:val="00277ABF"/>
    <w:rsid w:val="002E250D"/>
    <w:rsid w:val="002F266F"/>
    <w:rsid w:val="002F6F12"/>
    <w:rsid w:val="003623D9"/>
    <w:rsid w:val="003977FB"/>
    <w:rsid w:val="00451EB6"/>
    <w:rsid w:val="004911BF"/>
    <w:rsid w:val="004B004E"/>
    <w:rsid w:val="004C107C"/>
    <w:rsid w:val="004C6F60"/>
    <w:rsid w:val="004D6816"/>
    <w:rsid w:val="004F01EE"/>
    <w:rsid w:val="005050DB"/>
    <w:rsid w:val="0055109F"/>
    <w:rsid w:val="005958CD"/>
    <w:rsid w:val="00632F7F"/>
    <w:rsid w:val="00671B0B"/>
    <w:rsid w:val="00673FEC"/>
    <w:rsid w:val="006A25D3"/>
    <w:rsid w:val="006A79C6"/>
    <w:rsid w:val="006B0674"/>
    <w:rsid w:val="006E02BC"/>
    <w:rsid w:val="006F06A6"/>
    <w:rsid w:val="00714C36"/>
    <w:rsid w:val="00715027"/>
    <w:rsid w:val="00723439"/>
    <w:rsid w:val="007C4FFE"/>
    <w:rsid w:val="007C71E5"/>
    <w:rsid w:val="007D7621"/>
    <w:rsid w:val="00811668"/>
    <w:rsid w:val="00815AAF"/>
    <w:rsid w:val="00835603"/>
    <w:rsid w:val="008611F8"/>
    <w:rsid w:val="00874556"/>
    <w:rsid w:val="00884F5C"/>
    <w:rsid w:val="008B0E67"/>
    <w:rsid w:val="00917C63"/>
    <w:rsid w:val="00947609"/>
    <w:rsid w:val="0095093B"/>
    <w:rsid w:val="00A029C9"/>
    <w:rsid w:val="00A11DB3"/>
    <w:rsid w:val="00A36454"/>
    <w:rsid w:val="00AA601E"/>
    <w:rsid w:val="00AD2ACB"/>
    <w:rsid w:val="00B1460E"/>
    <w:rsid w:val="00B31893"/>
    <w:rsid w:val="00B83FD6"/>
    <w:rsid w:val="00C000B1"/>
    <w:rsid w:val="00C06892"/>
    <w:rsid w:val="00C574E1"/>
    <w:rsid w:val="00C6600B"/>
    <w:rsid w:val="00CA1788"/>
    <w:rsid w:val="00CA2065"/>
    <w:rsid w:val="00CA556F"/>
    <w:rsid w:val="00CB5CC3"/>
    <w:rsid w:val="00CF7FA1"/>
    <w:rsid w:val="00D04D34"/>
    <w:rsid w:val="00D22C41"/>
    <w:rsid w:val="00D9622A"/>
    <w:rsid w:val="00DA1CC4"/>
    <w:rsid w:val="00DD0C78"/>
    <w:rsid w:val="00DE30B0"/>
    <w:rsid w:val="00E31F9A"/>
    <w:rsid w:val="00E5699D"/>
    <w:rsid w:val="00EC45F7"/>
    <w:rsid w:val="00EC7474"/>
    <w:rsid w:val="00F13446"/>
    <w:rsid w:val="00F159C9"/>
    <w:rsid w:val="00F25146"/>
    <w:rsid w:val="00F25960"/>
    <w:rsid w:val="00F6100C"/>
    <w:rsid w:val="00FA30DC"/>
    <w:rsid w:val="00FD503E"/>
    <w:rsid w:val="00FD5850"/>
    <w:rsid w:val="00FD7242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4BA8"/>
  <w15:chartTrackingRefBased/>
  <w15:docId w15:val="{4BD4EA92-A8EC-4C9F-B3BE-2E0BB4A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">
    <w:name w:val="mo"/>
    <w:basedOn w:val="DefaultParagraphFont"/>
    <w:rsid w:val="00632F7F"/>
  </w:style>
  <w:style w:type="character" w:customStyle="1" w:styleId="mi">
    <w:name w:val="mi"/>
    <w:basedOn w:val="DefaultParagraphFont"/>
    <w:rsid w:val="00632F7F"/>
  </w:style>
  <w:style w:type="character" w:customStyle="1" w:styleId="mjxassistivemathml">
    <w:name w:val="mjx_assistive_mathml"/>
    <w:basedOn w:val="DefaultParagraphFont"/>
    <w:rsid w:val="00632F7F"/>
  </w:style>
  <w:style w:type="character" w:styleId="PlaceholderText">
    <w:name w:val="Placeholder Text"/>
    <w:basedOn w:val="DefaultParagraphFont"/>
    <w:uiPriority w:val="99"/>
    <w:semiHidden/>
    <w:rsid w:val="00C00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Steiner</dc:creator>
  <cp:keywords/>
  <dc:description/>
  <cp:lastModifiedBy>Stephen Steiner</cp:lastModifiedBy>
  <cp:revision>79</cp:revision>
  <dcterms:created xsi:type="dcterms:W3CDTF">2023-12-02T16:25:00Z</dcterms:created>
  <dcterms:modified xsi:type="dcterms:W3CDTF">2023-12-03T22:58:00Z</dcterms:modified>
</cp:coreProperties>
</file>