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pPr>
      <w:r>
        <w:rPr>
          <w:rFonts w:ascii="Arial" w:cs="Arial" w:eastAsia="Arial" w:hAnsi="Arial"/>
          <w:b/>
          <w:bCs/>
          <w:color w:val="1F4E79"/>
          <w:sz w:val="52"/>
          <w:szCs w:val="52"/>
        </w:rPr>
        <w:t xml:space="preserve">ENVIRONMENTAL WORK AS % OF PROJECT / GRANT VALUE</w:t>
      </w:r>
    </w:p>
    <w:p>
      <w:pPr>
        <w:spacing w:before="0" w:after="80"/>
      </w:pPr>
      <w:r>
        <w:rPr>
          <w:rFonts w:ascii="Arial" w:cs="Arial" w:eastAsia="Arial" w:hAnsi="Arial"/>
          <w:color w:val="2E75B6"/>
          <w:sz w:val="26"/>
          <w:szCs w:val="26"/>
        </w:rPr>
        <w:t xml:space="preserve">Global Evidence Synthesis with Primary-Source Dataset — ESL Environmental Intelligence Platform Pricing Intelligence</w:t>
      </w:r>
    </w:p>
    <w:p>
      <w:pPr>
        <w:spacing w:before="60" w:after="200"/>
        <w:jc w:val="center"/>
      </w:pPr>
      <w:r>
        <w:rPr>
          <w:rFonts w:ascii="Arial" w:cs="Arial" w:eastAsia="Arial" w:hAnsi="Arial"/>
          <w:b w:val="false"/>
          <w:bCs w:val="false"/>
          <w:i w:val="false"/>
          <w:iCs w:val="false"/>
          <w:color w:val="555555"/>
          <w:sz w:val="20"/>
          <w:szCs w:val="20"/>
        </w:rPr>
        <w:t xml:space="preserve">Environmental Solutions Limited (ESL)  |  March 2026  |  Version 3 — Extended Primary-Source Research</w:t>
      </w:r>
    </w:p>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1. EXECUTIVE ANSWER</w:t>
      </w:r>
    </w:p>
    <w:p>
      <w:pPr>
        <w:spacing w:before="120" w:after="80"/>
        <w:jc w:val="left"/>
      </w:pPr>
      <w:r>
        <w:rPr>
          <w:rFonts w:ascii="Arial" w:cs="Arial" w:eastAsia="Arial" w:hAnsi="Arial"/>
          <w:b/>
          <w:bCs/>
          <w:i w:val="false"/>
          <w:iCs w:val="false"/>
          <w:color w:val="000000"/>
          <w:sz w:val="18"/>
          <w:szCs w:val="18"/>
        </w:rPr>
        <w:t xml:space="preserve">PRIMARY FINDING (UNCHANGED, NOW EVIDENCE-BACKED): No defensible flat global percentage exists. The primary-source research gathered across three research sessions confirms this conclusion and provides a directional range from disclosed data.</w:t>
      </w:r>
    </w:p>
    <w:p>
      <w:pPr>
        <w:spacing w:before="80" w:after="60"/>
        <w:jc w:val="left"/>
      </w:pPr>
      <w:r>
        <w:rPr>
          <w:rFonts w:ascii="Arial" w:cs="Arial" w:eastAsia="Arial" w:hAnsi="Arial"/>
          <w:b/>
          <w:bCs/>
          <w:i w:val="false"/>
          <w:iCs w:val="false"/>
          <w:color w:val="1F4E79"/>
          <w:sz w:val="18"/>
          <w:szCs w:val="18"/>
        </w:rPr>
        <w:t xml:space="preserve">PRIMARY DATA SUMMARY — FOUR CONFIRMED CASES:</w:t>
      </w:r>
    </w:p>
    <w:tbl>
      <w:tblPr>
        <w:tblW w:type="dxa" w:w="7260"/>
        <w:tblBorders>
          <w:top w:val="single" w:color="auto" w:sz="4"/>
          <w:left w:val="single" w:color="auto" w:sz="4"/>
          <w:bottom w:val="single" w:color="auto" w:sz="4"/>
          <w:right w:val="single" w:color="auto" w:sz="4"/>
          <w:insideH w:val="single" w:color="auto" w:sz="4"/>
          <w:insideV w:val="single" w:color="auto" w:sz="4"/>
        </w:tblBorders>
      </w:tblPr>
      <w:tblGrid>
        <w:gridCol w:w="300"/>
        <w:gridCol w:w="1400"/>
        <w:gridCol w:w="700"/>
        <w:gridCol w:w="1100"/>
        <w:gridCol w:w="2200"/>
        <w:gridCol w:w="1100"/>
        <w:gridCol w:w="460"/>
      </w:tblGrid>
      <w:tr>
        <w:trPr>
          <w:tblHeader/>
        </w:trPr>
        <w:tc>
          <w:tcPr>
            <w:tcW w:type="dxa" w:w="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Case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Institution</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Sector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Total Project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Environmental Numerator</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Ratio</w:t>
            </w:r>
          </w:p>
        </w:tc>
        <w:tc>
          <w:tcPr>
            <w:tcW w:type="dxa" w:w="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Tier</w:t>
            </w:r>
          </w:p>
        </w:tc>
      </w:tr>
      <w:tr>
        <w:tc>
          <w:tcPr>
            <w:tcW w:type="dxa" w:w="30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w:t>
            </w:r>
          </w:p>
        </w:tc>
        <w:tc>
          <w:tcPr>
            <w:tcW w:type="dxa" w:w="140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World Bank P095003 — Nigeria RAMP-2</w:t>
            </w:r>
          </w:p>
        </w:tc>
        <w:tc>
          <w:tcPr>
            <w:tcW w:type="dxa" w:w="70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Rural roads</w:t>
            </w:r>
          </w:p>
        </w:tc>
        <w:tc>
          <w:tcPr>
            <w:tcW w:type="dxa" w:w="110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$321.7M</w:t>
            </w:r>
          </w:p>
        </w:tc>
        <w:tc>
          <w:tcPr>
            <w:tcW w:type="dxa" w:w="220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Niger State ESMP monitoring budget: $39,300</w:t>
            </w:r>
          </w:p>
        </w:tc>
        <w:tc>
          <w:tcPr>
            <w:tcW w:type="dxa" w:w="110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0.012%</w:t>
            </w:r>
          </w:p>
        </w:tc>
        <w:tc>
          <w:tcPr>
            <w:tcW w:type="dxa" w:w="46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w:t>
            </w:r>
          </w:p>
        </w:tc>
      </w:tr>
      <w:tr>
        <w:tc>
          <w:tcPr>
            <w:tcW w:type="dxa" w:w="30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w:t>
            </w:r>
          </w:p>
        </w:tc>
        <w:tc>
          <w:tcPr>
            <w:tcW w:type="dxa" w:w="140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AIIB P000066 — Lao NR-13 North</w:t>
            </w:r>
          </w:p>
        </w:tc>
        <w:tc>
          <w:tcPr>
            <w:tcW w:type="dxa" w:w="70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Roads</w:t>
            </w:r>
          </w:p>
        </w:tc>
        <w:tc>
          <w:tcPr>
            <w:tcW w:type="dxa" w:w="110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$128M</w:t>
            </w:r>
          </w:p>
        </w:tc>
        <w:tc>
          <w:tcPr>
            <w:tcW w:type="dxa" w:w="220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Safeguards monitoring sub-component: $0.7M</w:t>
            </w:r>
          </w:p>
        </w:tc>
        <w:tc>
          <w:tcPr>
            <w:tcW w:type="dxa" w:w="110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0.55%</w:t>
            </w:r>
          </w:p>
        </w:tc>
        <w:tc>
          <w:tcPr>
            <w:tcW w:type="dxa" w:w="460"/>
            <w:tcBorders>
              <w:top w:val="single" w:color="1A6B3C" w:sz="1"/>
              <w:left w:val="single" w:color="1A6B3C" w:sz="1"/>
              <w:bottom w:val="single" w:color="1A6B3C" w:sz="1"/>
              <w:right w:val="single" w:color="1A6B3C" w:sz="1"/>
            </w:tcBorders>
            <w:shd w:fill="E8F5E9"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ADB 50099-002 — Cambodia CTDP-4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Urban/water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$88.5M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Safeguard mitigation and monitoring costs: included within capital cost, not separately disclosed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Not computable</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w:t>
            </w:r>
          </w:p>
        </w:tc>
      </w:tr>
      <w:tr>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ODI/World Bank internal study — global average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sectors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~$100M–$300M avg WB project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$13.5M average direct safeguards cost per project (all E&amp;S combined)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4.5%–13.5% depending on project size</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w:t>
            </w:r>
          </w:p>
        </w:tc>
      </w:tr>
    </w:tbl>
    <w:p>
      <w:pPr>
        <w:spacing w:before="40" w:after="60"/>
        <w:jc w:val="left"/>
      </w:pPr>
      <w:r>
        <w:rPr>
          <w:rFonts w:ascii="Arial" w:cs="Arial" w:eastAsia="Arial" w:hAnsi="Arial"/>
          <w:b w:val="false"/>
          <w:bCs w:val="false"/>
          <w:i/>
          <w:iCs/>
          <w:color w:val="000000"/>
          <w:sz w:val="16"/>
          <w:szCs w:val="16"/>
        </w:rPr>
        <w:t xml:space="preserve">* Tier B = secondary source. The ODI/WB figure is broad combined E&amp;S, not narrow environmental only.</w:t>
      </w:r>
    </w:p>
    <w:p>
      <w:pPr>
        <w:shd w:fill="FFF8E1" w:val="clear"/>
        <w:spacing w:before="40" w:after="40"/>
      </w:pPr>
      <w:r>
        <w:rPr>
          <w:rFonts w:ascii="Arial" w:cs="Arial" w:eastAsia="Arial" w:hAnsi="Arial"/>
          <w:i/>
          <w:iCs/>
          <w:color w:val="8B4513"/>
          <w:sz w:val="16"/>
          <w:szCs w:val="16"/>
        </w:rPr>
        <w:t xml:space="preserve">⚠  The two Tier A cases span 0.012% to 0.55% — a 46× range — just for disclosed monitoring costs across large road projects. This alone disproves any flat global percentage.</w:t>
      </w:r>
    </w:p>
    <w:p>
      <w:pPr>
        <w:spacing w:before="100" w:after="60"/>
        <w:jc w:val="left"/>
      </w:pPr>
      <w:r>
        <w:rPr>
          <w:rFonts w:ascii="Arial" w:cs="Arial" w:eastAsia="Arial" w:hAnsi="Arial"/>
          <w:b/>
          <w:bCs/>
          <w:i w:val="false"/>
          <w:iCs w:val="false"/>
          <w:color w:val="1F4E79"/>
          <w:sz w:val="18"/>
          <w:szCs w:val="18"/>
        </w:rPr>
        <w:t xml:space="preserve">WHAT THESE NUMBERS MEAN FOR PLATFORM PRICING:</w:t>
      </w:r>
    </w:p>
    <w:p>
      <w:pPr>
        <w:pStyle w:val="ListParagraph"/>
        <w:numPr>
          <w:ilvl w:val="0"/>
          <w:numId w:val="2"/>
        </w:numPr>
        <w:spacing w:before="40" w:after="40"/>
      </w:pPr>
      <w:r>
        <w:rPr>
          <w:rFonts w:ascii="Arial" w:cs="Arial" w:eastAsia="Arial" w:hAnsi="Arial"/>
          <w:sz w:val="18"/>
          <w:szCs w:val="18"/>
        </w:rPr>
        <w:t xml:space="preserve">The disclosed ESMP monitoring budget is systematically 5×–50× smaller than true environmental compliance cost because mitigation obligations are embedded in civil works contracts and supervision contracts, not in standalone ESMP budget lines.</w:t>
      </w:r>
    </w:p>
    <w:p>
      <w:pPr>
        <w:pStyle w:val="ListParagraph"/>
        <w:numPr>
          <w:ilvl w:val="0"/>
          <w:numId w:val="2"/>
        </w:numPr>
        <w:spacing w:before="40" w:after="40"/>
      </w:pPr>
      <w:r>
        <w:rPr>
          <w:rFonts w:ascii="Arial" w:cs="Arial" w:eastAsia="Arial" w:hAnsi="Arial"/>
          <w:sz w:val="18"/>
          <w:szCs w:val="18"/>
        </w:rPr>
        <w:t xml:space="preserve">The $13.5M World Bank average safeguards figure (Tier B) covers ALL E&amp;S categories including social, labor, resettlement, and community engagement. Narrow environmental is likely 30%–60% of that — implying $4M–$8M environmental at a notional $200M World Bank project, or 2%–4%.</w:t>
      </w:r>
    </w:p>
    <w:p>
      <w:pPr>
        <w:pStyle w:val="ListParagraph"/>
        <w:numPr>
          <w:ilvl w:val="0"/>
          <w:numId w:val="2"/>
        </w:numPr>
        <w:spacing w:before="40" w:after="40"/>
      </w:pPr>
      <w:r>
        <w:rPr>
          <w:rFonts w:ascii="Arial" w:cs="Arial" w:eastAsia="Arial" w:hAnsi="Arial"/>
          <w:sz w:val="18"/>
          <w:szCs w:val="18"/>
        </w:rPr>
        <w:t xml:space="preserve">The platform cannot be priced as a fraction of capex. Even at $35K/yr it represents 0.35% of a $10M project — higher than the entire disclosed monitoring budget. It must be positioned and sold as a regional institutional intelligence service, not a per-project line item.</w:t>
      </w:r>
    </w:p>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2. FULL PRIMARY-SOURCE DATASET — ALL CONFIRMED CASES</w:t>
      </w:r>
    </w:p>
    <w:p>
      <w:pPr>
        <w:spacing w:before="60" w:after="60"/>
        <w:jc w:val="left"/>
      </w:pPr>
      <w:r>
        <w:rPr>
          <w:rFonts w:ascii="Arial" w:cs="Arial" w:eastAsia="Arial" w:hAnsi="Arial"/>
          <w:b w:val="false"/>
          <w:bCs w:val="false"/>
          <w:i w:val="false"/>
          <w:iCs w:val="false"/>
          <w:color w:val="000000"/>
          <w:sz w:val="18"/>
          <w:szCs w:val="18"/>
        </w:rPr>
        <w:t xml:space="preserve">All cases where at least one of numerator or denominator was sourced from a primary official document are included. Cases are classified A (both from primary source), B (one from primary, one derived or secondary), or B* (secondary citation of internal study).</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250"/>
        <w:gridCol w:w="1600"/>
        <w:gridCol w:w="500"/>
        <w:gridCol w:w="600"/>
        <w:gridCol w:w="900"/>
        <w:gridCol w:w="1400"/>
        <w:gridCol w:w="1000"/>
        <w:gridCol w:w="650"/>
        <w:gridCol w:w="350"/>
        <w:gridCol w:w="2200"/>
      </w:tblGrid>
      <w:tr>
        <w:trPr>
          <w:tblHeader/>
        </w:trPr>
        <w:tc>
          <w:tcPr>
            <w:tcW w:type="dxa" w:w="2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Project</w:t>
            </w:r>
          </w:p>
        </w:tc>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Country</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Sector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Total Cost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Env. Numerator</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Numerator Type</w:t>
            </w:r>
          </w:p>
        </w:tc>
        <w:tc>
          <w:tcPr>
            <w:tcW w:type="dxa" w:w="6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Computed %</w:t>
            </w:r>
          </w:p>
        </w:tc>
        <w:tc>
          <w:tcPr>
            <w:tcW w:type="dxa" w:w="3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Tier</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Key Finding</w:t>
            </w:r>
          </w:p>
        </w:tc>
      </w:tr>
      <w:tr>
        <w:tc>
          <w:tcPr>
            <w:tcW w:type="dxa" w:w="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Nigeria RAMP-2 (WB P095003) — Niger State ESMP</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Nigeria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Rural roads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$321.7M total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$39,300 ESMP implementation and monitoring budget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Narrow — standalone ESMP monitoring only, one state subproject</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0.012%</w:t>
            </w:r>
          </w:p>
        </w:tc>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Lowest Tier A ratio. Confirms embedded cost problem: $39K is only the monitoring budget. All contractor environmental mitigation ($1M–$10M estimated) is embedded in civil works contracts.</w:t>
            </w:r>
          </w:p>
        </w:tc>
      </w:tr>
      <w:tr>
        <w:tc>
          <w:tcPr>
            <w:tcW w:type="dxa" w:w="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AIIB NR-13 North Lao PDR (P000066)</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Lao PDR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Roads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$128M total ($100M AIIB + $26M WB + GoL)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$0.7M safeguards monitoring sub-component (Component 2: TA+Supervision = $4.8M total)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Monitoring + overloading control + traffic safety — not pure environmental only</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0.55%</w:t>
            </w:r>
          </w:p>
        </w:tc>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Highest Tier A ratio. 10-year OPBRC contract with ring-fenced monitoring budget. ~$70K/yr environmental equivalent if environmental = 50% of sub-component.</w:t>
            </w:r>
          </w:p>
        </w:tc>
      </w:tr>
      <w:tr>
        <w:tc>
          <w:tcPr>
            <w:tcW w:type="dxa" w:w="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Cambodia CTDP-4 (ADB 50099-002)</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Cambodia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Urban / water / sanitation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$88.5M total ($80.5M ADB + $8M GoC)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Safeguard mitigation and monitoring: stated as included within capital cost in RRP economic analysis — not separately disclosed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Embedded — confirmed by RRP language 'economic costs include capital cost, including safeguard mitigation and monitoring'</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Not computable — denominator confirmed, numerator embedded</w:t>
            </w:r>
          </w:p>
        </w:tc>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Critical structural case: ADB RRP explicitly states safeguard costs are within capital costs, not a separable line. This is the dominant disclosure pattern across ADB projects.</w:t>
            </w:r>
          </w:p>
        </w:tc>
      </w:tr>
      <w:tr>
        <w:tc>
          <w:tcPr>
            <w:tcW w:type="dxa" w:w="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Lao PDR NR-13S Section 3 (AIIB P000616 / WB portion)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Lao PDR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Roads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~$25M WB Crisis Window for Section 3 (78km)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ESMP monitoring allocated to GOL counterpart budget (RMF) — not in AIIB/WB financing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Monitoring-only — allocated to separate GOL line, not disclosed in loan documents</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Not computable</w:t>
            </w:r>
          </w:p>
        </w:tc>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Confirms that monitoring costs are often funded by counterpart government, making them invisible in MDB project documents entirely.</w:t>
            </w:r>
          </w:p>
        </w:tc>
      </w:tr>
      <w:tr>
        <w:tc>
          <w:tcPr>
            <w:tcW w:type="dxa" w:w="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World Bank safeguards average — ODI/WB internal study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Global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sectors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~$100M–$300M implied average WB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$13.5M average direct safeguards cost per project (broad E&amp;S, all categories)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Broad combined E&amp;S including social, labor, resettlement, grievance, community engagement</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4.5%–13.5% of implied project size; narrow env. ~2%–4%</w:t>
            </w:r>
          </w:p>
        </w:tc>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Only published average across WB portfolio. Secondary citation from ODI (2015). Broad E&amp;S, not decomposed. Narrow environmental inferred at 30%–60% of total.</w:t>
            </w:r>
          </w:p>
        </w:tc>
      </w:tr>
      <w:tr>
        <w:tc>
          <w:tcPr>
            <w:tcW w:type="dxa" w:w="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IFC Segou Solar 33MW Mali (IFC Cat. B)</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Mali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Solar energy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EUR 50.2M (~$55M)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Environmental monitoring within ESAP per PS1 requirements — no dollar amount in ESRS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Monitoring-only — structure confirmed, cost not disclosed</w:t>
            </w:r>
          </w:p>
        </w:tc>
        <w:tc>
          <w:tcPr>
            <w:tcW w:type="dxa" w:w="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Not computable</w:t>
            </w:r>
          </w:p>
        </w:tc>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Confirms Cat. B IFC projects require ongoing environmental monitoring but do not disclose the cost in the ESRS. Monitoring embedded in O&amp;M phase project staffing.</w:t>
            </w:r>
          </w:p>
        </w:tc>
      </w:tr>
    </w:tbl>
    <w:p>
      <w:pPr>
        <w:shd w:fill="FFF8E1" w:val="clear"/>
        <w:spacing w:before="40" w:after="40"/>
      </w:pPr>
      <w:r>
        <w:rPr>
          <w:rFonts w:ascii="Arial" w:cs="Arial" w:eastAsia="Arial" w:hAnsi="Arial"/>
          <w:i/>
          <w:iCs/>
          <w:color w:val="8B4513"/>
          <w:sz w:val="16"/>
          <w:szCs w:val="16"/>
        </w:rPr>
        <w:t xml:space="preserve">⚠  Cases 3–6: Environmental cost is either embedded in capital costs (Case 3), allocated to government counterpart funding outside the MDB loan (Case 4), or not disclosed at all (Cases 5–6). This is not exceptional — it is the standard disclosure pattern.</w:t>
      </w:r>
    </w:p>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3. COMPUTED RATIOS — TIER A CASES ONLY</w:t>
      </w:r>
    </w:p>
    <w:p>
      <w:pPr>
        <w:spacing w:before="60" w:after="80"/>
        <w:jc w:val="left"/>
      </w:pPr>
      <w:r>
        <w:rPr>
          <w:rFonts w:ascii="Arial" w:cs="Arial" w:eastAsia="Arial" w:hAnsi="Arial"/>
          <w:b w:val="false"/>
          <w:bCs w:val="false"/>
          <w:i w:val="false"/>
          <w:iCs w:val="false"/>
          <w:color w:val="000000"/>
          <w:sz w:val="18"/>
          <w:szCs w:val="18"/>
        </w:rPr>
        <w:t xml:space="preserve">Only two cases have computable ratios from directly cited primary sources. All other cases have either embedded or undisclosed numerators.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
        <w:gridCol w:w="1600"/>
        <w:gridCol w:w="900"/>
        <w:gridCol w:w="1400"/>
        <w:gridCol w:w="700"/>
        <w:gridCol w:w="2300"/>
        <w:gridCol w:w="2210"/>
      </w:tblGrid>
      <w:tr>
        <w:trPr>
          <w:tblHeader/>
        </w:trPr>
        <w:tc>
          <w:tcPr>
            <w:tcW w:type="dxa" w:w="2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Case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Project</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Total Cost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Numerator</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Ratio</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What This Ratio Captures</w:t>
            </w:r>
          </w:p>
        </w:tc>
        <w:tc>
          <w:tcPr>
            <w:tcW w:type="dxa" w:w="22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What It Misses</w:t>
            </w:r>
          </w:p>
        </w:tc>
      </w:tr>
      <w:tr>
        <w:tc>
          <w:tcPr>
            <w:tcW w:type="dxa" w:w="25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Nigeria RAMP-2 Niger State ESMP (2019)</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$321.7M</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$39,300</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0.012%</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Standalone ESMP monitoring and training for 403km of rural roads in one state</w:t>
            </w:r>
          </w:p>
        </w:tc>
        <w:tc>
          <w:tcPr>
            <w:tcW w:type="dxa" w:w="221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Contractor environmental mitigation (dust, drainage, erosion, OHS, vegetation) embedded in civil works BOQ — estimated 0.5%–3% of civil works contract; supervision consultant environmental specialist; PMU environmental staffing; pre-project ESIA cost</w:t>
            </w:r>
          </w:p>
        </w:tc>
      </w:tr>
      <w:tr>
        <w:tc>
          <w:tcPr>
            <w:tcW w:type="dxa" w:w="2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AIIB NR-13 North Lao PDR (2019)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$128M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$0.7M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Safeguards monitoring sub-component covering environmental+social monitoring, overloading control, and traffic safety campaigns over 10 years</w:t>
            </w:r>
          </w:p>
        </w:tc>
        <w:tc>
          <w:tcPr>
            <w:tcW w:type="dxa" w:w="22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Pure environmental-only portion — estimate 50% of $0.7M = $350K, or 0.27% of project cost</w:t>
            </w:r>
          </w:p>
        </w:tc>
      </w:tr>
    </w:tbl>
    <w:p>
      <w:pPr>
        <w:spacing w:before="80" w:after="60"/>
        <w:jc w:val="left"/>
      </w:pPr>
      <w:r>
        <w:rPr>
          <w:rFonts w:ascii="Arial" w:cs="Arial" w:eastAsia="Arial" w:hAnsi="Arial"/>
          <w:b/>
          <w:bCs/>
          <w:i/>
          <w:iCs/>
          <w:color w:val="000000"/>
          <w:sz w:val="18"/>
          <w:szCs w:val="18"/>
        </w:rPr>
        <w:t xml:space="preserve">RANGE FROM TIER A DATA: 0.012% to 0.55% (46× spread for disclosed monitoring costs). This is the honest answer from primary data. No single number can be defended across these two cases, let alone across all sectors and project types.</w:t>
      </w:r>
    </w:p>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4. THE EMBEDDING PROBLEM — WHY DISCLOSED PERCENTAGES UNDERSTATE REAL SPEND</w:t>
      </w:r>
    </w:p>
    <w:p>
      <w:pPr>
        <w:spacing w:before="60" w:after="60"/>
        <w:jc w:val="left"/>
      </w:pPr>
      <w:r>
        <w:rPr>
          <w:rFonts w:ascii="Arial" w:cs="Arial" w:eastAsia="Arial" w:hAnsi="Arial"/>
          <w:b w:val="false"/>
          <w:bCs w:val="false"/>
          <w:i w:val="false"/>
          <w:iCs w:val="false"/>
          <w:color w:val="000000"/>
          <w:sz w:val="18"/>
          <w:szCs w:val="18"/>
        </w:rPr>
        <w:t xml:space="preserve">Case 3 (ADB CTDP-4) is the clearest primary-source confirmation of the embedding problem. The ADB RRP for that project states explicitly that 'economic costs include capital cost, including safeguard mitigation and monitoring.' This means the environmental compliance spend is inside the capital cost lines — not reportable as a standalone ratio.</w:t>
      </w:r>
    </w:p>
    <w:p>
      <w:pPr>
        <w:spacing w:before="40" w:after="80"/>
        <w:jc w:val="left"/>
      </w:pPr>
      <w:r>
        <w:rPr>
          <w:rFonts w:ascii="Arial" w:cs="Arial" w:eastAsia="Arial" w:hAnsi="Arial"/>
          <w:b w:val="false"/>
          <w:bCs w:val="false"/>
          <w:i w:val="false"/>
          <w:iCs w:val="false"/>
          <w:color w:val="000000"/>
          <w:sz w:val="18"/>
          <w:szCs w:val="18"/>
        </w:rPr>
        <w:t xml:space="preserve">The Nigeria RAMP-2 case confirms the same dynamic from the opposite direction: the standalone ESMP budget ($39,300) is a tiny fraction of actual environmental compliance because contractor ESHS obligations, supervision specialist costs, and PMU staffing are all embedded elsewhere in the project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800"/>
        <w:gridCol w:w="2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Environmental Cost Category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Disclosed in ESMP Budget?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Where It Appears Instead</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Scale as % of Project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Contractor ESHS compliance (dust, drainage, waste, OHS, erosion)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Embedded in civil works contract BOQ as contractor obligation</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~0.5%–3% of civil works contract 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Supervision consultant environmental specialist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Within supervision/PMCS contract total, not disaggregated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~0.1%–0.3% of total project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PMU environmental safeguards officer salary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Within project management component</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~0.05%–0.15% of total project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Pre-project ESIA preparation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Funded by PPF or TA grant before appraisal; not in project cost table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~0.05%–0.5% depending on project size and complexity</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Standalone ESMP monitoring budget (what IS disclosed)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YES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ESMP budget table</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~0.01%–0.1% — the only visible figure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True total narrow environmental spend (all categories)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RARELY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Aggregated nowhere in public documents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~0.5%–5% estimated depending on sector and size</w:t>
            </w:r>
          </w:p>
        </w:tc>
      </w:tr>
    </w:tbl>
    <w:p>
      <w:pPr>
        <w:spacing w:before="80" w:after="60"/>
        <w:jc w:val="left"/>
      </w:pPr>
      <w:r>
        <w:rPr>
          <w:rFonts w:ascii="Arial" w:cs="Arial" w:eastAsia="Arial" w:hAnsi="Arial"/>
          <w:b w:val="false"/>
          <w:bCs w:val="false"/>
          <w:i/>
          <w:iCs/>
          <w:color w:val="000000"/>
          <w:sz w:val="18"/>
          <w:szCs w:val="18"/>
        </w:rPr>
        <w:t xml:space="preserve">Conservative embedding multiplier: Multiply any disclosed ESMP monitoring budget by 10×–50× to approximate total real environmental compliance spend. This is a judgment range, not an evidence-based coefficient — but the RAMP-2 case illustrates the magnitude.</w:t>
      </w:r>
    </w:p>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5. DEFENSIBLE SEGMENTED RANGES — COMBINING TIER A AND TIER B</w:t>
      </w:r>
    </w:p>
    <w:p>
      <w:pPr>
        <w:spacing w:before="60" w:after="80"/>
        <w:jc w:val="left"/>
      </w:pPr>
      <w:r>
        <w:rPr>
          <w:rFonts w:ascii="Arial" w:cs="Arial" w:eastAsia="Arial" w:hAnsi="Arial"/>
          <w:b w:val="false"/>
          <w:bCs w:val="false"/>
          <w:i w:val="false"/>
          <w:iCs w:val="false"/>
          <w:color w:val="000000"/>
          <w:sz w:val="18"/>
          <w:szCs w:val="18"/>
        </w:rPr>
        <w:t xml:space="preserve">The following ranges synthesize the Tier A primary data with the Tier B/C inference dataset. All ranges are labeled by confidence level.</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200"/>
        <w:gridCol w:w="1400"/>
        <w:gridCol w:w="12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Segment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Narrow Env. %
(Disclosed)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Narrow Env. %
(Incl. Embedded)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Monitoring-Only
Annual %</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Broad E&amp;S
(Incl. Social)</w:t>
            </w:r>
          </w:p>
        </w:tc>
        <w:tc>
          <w:tcPr>
            <w:tcW w:type="dxa" w:w="1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Evidence Grade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Large road project &gt;$100M (MDB sovereign)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0.01%–0.1%</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0.5%–2.0%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0.01%–0.2% p.a.</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1.0%–5.0%</w:t>
            </w:r>
          </w:p>
        </w:tc>
        <w:tc>
          <w:tcPr>
            <w:tcW w:type="dxa" w:w="1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A anchor: 0.012% and 0.55% from primary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Medium project $25M–$100M (MDB sovereign)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0.05%–0.5%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0.05%–0.5% 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2.0%–8.0%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B: inverse scale; ODI $13.5M avg applied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Small project &lt;$25M (MDB / regional DFI)</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0.1%–2.0%</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0.1%–1.0% p.a.</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3.0%–15.0%</w:t>
            </w:r>
          </w:p>
        </w:tc>
        <w:tc>
          <w:tcPr>
            <w:tcW w:type="dxa" w:w="1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B/C: high scale compression at small project sizes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IFC / EP private sector Cat. A (mining, port, 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0.2%–1.0% 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5%–15%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B: IESC market rates + ESRS structure review; IESC $300K–$2M/yr</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IFC / EP private sector Cat. B (solar, light industrial)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0.3%–2%</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0.05%–0.4% p.a.</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w:t>
            </w:r>
          </w:p>
        </w:tc>
        <w:tc>
          <w:tcPr>
            <w:tcW w:type="dxa" w:w="1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B: lighter E&amp;S burden than Cat. 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Environment-core grant (watershed, biodiversity, coastal)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60%–100% of grant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Same (grant IS environmental)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5%–20% of grant for monitoring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A (definitional): the entire grant is the environmental budget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TA / project prep grant &lt;$5M</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5%–30%</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10%–50%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10%–50%</w:t>
            </w:r>
          </w:p>
        </w:tc>
        <w:tc>
          <w:tcPr>
            <w:tcW w:type="dxa" w:w="1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C: TA grant structure; wide variance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Caribbean / SIDS projects (1.5×–3× sector multiplier)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Apply 1.5×–3× to above ranges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Same adjustment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Same adjustment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Same adjustment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B: coastal/marine sensitivity, small project sizes, CDB framework</w:t>
            </w:r>
          </w:p>
        </w:tc>
      </w:tr>
    </w:tbl>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6. SECTOR AND SCALE EFFECTS</w:t>
      </w:r>
    </w:p>
    <w:p>
      <w:pPr>
        <w:spacing w:before="80" w:after="60"/>
        <w:jc w:val="left"/>
      </w:pPr>
      <w:r>
        <w:rPr>
          <w:rFonts w:ascii="Arial" w:cs="Arial" w:eastAsia="Arial" w:hAnsi="Arial"/>
          <w:b/>
          <w:bCs/>
          <w:i w:val="false"/>
          <w:iCs w:val="false"/>
          <w:color w:val="1A6B3C"/>
          <w:sz w:val="18"/>
          <w:szCs w:val="18"/>
        </w:rPr>
        <w:t xml:space="preserve">INVERSE SCALE EFFECT (High confidence — supported by Tier A data)</w:t>
      </w:r>
    </w:p>
    <w:p>
      <w:pPr>
        <w:spacing w:before="40" w:after="60"/>
        <w:jc w:val="left"/>
      </w:pPr>
      <w:r>
        <w:rPr>
          <w:rFonts w:ascii="Arial" w:cs="Arial" w:eastAsia="Arial" w:hAnsi="Arial"/>
          <w:b w:val="false"/>
          <w:bCs w:val="false"/>
          <w:i w:val="false"/>
          <w:iCs w:val="false"/>
          <w:color w:val="000000"/>
          <w:sz w:val="18"/>
          <w:szCs w:val="18"/>
        </w:rPr>
        <w:t xml:space="preserve">Environmental compliance has significant fixed cost components. As project size falls, these fixed costs represent a higher percentage of total spend. The two Tier A cases (0.012% at $321M vs 0.55% at $128M) are consistent with this — the larger project has the lower ratio despite having more environmental risk.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30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Project Size (Total Capex)</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Narrow Env. % Range (Incl. Embedded)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Monitoring-Only Annual %</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Source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&lt;$5M (small subproject / TA grant)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5%–30%</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1%–10% p.a.</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C — scale model inference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$5M–$25M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0.5%–3% p.a.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B — scale model + ODI anchor</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$25M–$100M</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0.5%–4%</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0.1%–1.5% p.a.</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B — ODI anchor applied at this scale; ADB CTDP-4 embedded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$100M–$320M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0.01%–0.5% p.a.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A anchors: 0.012%–0.55% from Nigeria RAMP-2 and AIIB NR-13</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&gt;$500M</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0.05%–0.5%</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0.02%–0.2% p.a.</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Tier B — further scale compression at megaproject scale</w:t>
            </w:r>
          </w:p>
        </w:tc>
      </w:tr>
    </w:tbl>
    <w:p>
      <w:pPr>
        <w:spacing w:before="100" w:after="60"/>
        <w:jc w:val="left"/>
      </w:pPr>
      <w:r>
        <w:rPr>
          <w:rFonts w:ascii="Arial" w:cs="Arial" w:eastAsia="Arial" w:hAnsi="Arial"/>
          <w:b/>
          <w:bCs/>
          <w:i w:val="false"/>
          <w:iCs w:val="false"/>
          <w:color w:val="1A6B3C"/>
          <w:sz w:val="18"/>
          <w:szCs w:val="18"/>
        </w:rPr>
        <w:t xml:space="preserve">SECTOR MULTIPLIERS (Medium confidence — Tier B)</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30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Sector</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Multiplier vs. Road Base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Primary Environmental Cost Drivers</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Caribbean / SIDS Uplift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Roads / rural roads</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Base (1.0×)</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Dust, drainage, erosion, vegetation, OHS</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+0.5×–1.0× — endemic species, coastal alignment risk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Water / sanitation / solid waste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Water quality, leachate, groundwater, effluent compliance, landfill gas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+0.5×–1× — aquifer vulnerability in SIDS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Energy — hydro / dams</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2×–5×</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Hydrology, sedimentation, fisheries, downstream flow, reservoir ecology</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 — tropical watershed complexity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Ports / coastal infrastructure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Marine ecology, dredging impacts, coral surveys, mangrove mapping, turbidity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 — Caribbean coral reef sensitivity is extreme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Mining / extractives</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4×–8×</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Baseline surveys, water/soil monitoring, biodiversity offset, rehabilitation bond</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 — Caribbean marine environment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Solar / renewables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Vegetation clearance, groundwater, bird/bat, visual impact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+0.5× — coastal siting common in Caribbean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Tourism infrastructure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2×–5×</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Reef monitoring, noise, waste, heritage, coastal zone EIA</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+3×–5× — reef degradation is the dominant E&amp;S concern in Caribbean tourism</w:t>
            </w:r>
          </w:p>
        </w:tc>
      </w:tr>
    </w:tbl>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7. PRIVATE COMMERCIAL BANKS — CONFIRMED DATA GAP</w:t>
      </w:r>
    </w:p>
    <w:p>
      <w:pPr>
        <w:spacing w:before="60" w:after="40"/>
        <w:jc w:val="left"/>
      </w:pPr>
      <w:r>
        <w:rPr>
          <w:rFonts w:ascii="Arial" w:cs="Arial" w:eastAsia="Arial" w:hAnsi="Arial"/>
          <w:b w:val="false"/>
          <w:bCs w:val="false"/>
          <w:i w:val="false"/>
          <w:iCs w:val="false"/>
          <w:color w:val="000000"/>
          <w:sz w:val="18"/>
          <w:szCs w:val="18"/>
        </w:rPr>
        <w:t xml:space="preserve">Active review of EP4 (2020), EP Association Guidance Note on IESC Selection (2020), HSBC EP Implementation Report, and 2024 EP Activity Report confirms:</w:t>
      </w:r>
    </w:p>
    <w:p>
      <w:pPr>
        <w:pStyle w:val="ListParagraph"/>
        <w:numPr>
          <w:ilvl w:val="0"/>
          <w:numId w:val="2"/>
        </w:numPr>
        <w:spacing w:before="40" w:after="40"/>
      </w:pPr>
      <w:r>
        <w:rPr>
          <w:rFonts w:ascii="Arial" w:cs="Arial" w:eastAsia="Arial" w:hAnsi="Arial"/>
          <w:sz w:val="18"/>
          <w:szCs w:val="18"/>
        </w:rPr>
        <w:t xml:space="preserve">116 EPFIs active in 2024. 503 transactions reported in the 2024 EP Activity Report — broken down by category (A/B/C) and sector, but with zero transaction-level cost disclosure.</w:t>
      </w:r>
    </w:p>
    <w:p>
      <w:pPr>
        <w:pStyle w:val="ListParagraph"/>
        <w:numPr>
          <w:ilvl w:val="0"/>
          <w:numId w:val="2"/>
        </w:numPr>
        <w:spacing w:before="40" w:after="40"/>
      </w:pPr>
      <w:r>
        <w:rPr>
          <w:rFonts w:ascii="Arial" w:cs="Arial" w:eastAsia="Arial" w:hAnsi="Arial"/>
          <w:sz w:val="18"/>
          <w:szCs w:val="18"/>
        </w:rPr>
        <w:t xml:space="preserve">IESC requirement confirmed for Cat. A and selected Cat. B projects. Independent monitoring required both pre- and post-financial close. Monitoring extends over the full project life — typically 10–30 years for major infrastructure.</w:t>
      </w:r>
    </w:p>
    <w:p>
      <w:pPr>
        <w:pStyle w:val="ListParagraph"/>
        <w:numPr>
          <w:ilvl w:val="0"/>
          <w:numId w:val="2"/>
        </w:numPr>
        <w:spacing w:before="40" w:after="40"/>
      </w:pPr>
      <w:r>
        <w:rPr>
          <w:rFonts w:ascii="Arial" w:cs="Arial" w:eastAsia="Arial" w:hAnsi="Arial"/>
          <w:sz w:val="18"/>
          <w:szCs w:val="18"/>
        </w:rPr>
        <w:t xml:space="preserve">IESC market rate proxy from EP4 guidance note: $300K–$2M per year during construction for a large Cat. A project; $150K–$600K per year during operations. These are practitioner-range estimates, not disclosed transaction data.</w:t>
      </w:r>
    </w:p>
    <w:p>
      <w:pPr>
        <w:pStyle w:val="ListParagraph"/>
        <w:numPr>
          <w:ilvl w:val="0"/>
          <w:numId w:val="2"/>
        </w:numPr>
        <w:spacing w:before="40" w:after="40"/>
      </w:pPr>
      <w:r>
        <w:rPr>
          <w:rFonts w:ascii="Arial" w:cs="Arial" w:eastAsia="Arial" w:hAnsi="Arial"/>
          <w:sz w:val="18"/>
          <w:szCs w:val="18"/>
        </w:rPr>
        <w:t xml:space="preserve">No EPFI reviewed discloses project-level E&amp;S monitoring cost. This is commercially sensitive information and is explicitly excluded from EP annual implementation reporting requirements.</w:t>
      </w:r>
    </w:p>
    <w:p>
      <w:pPr>
        <w:spacing w:before="80" w:after="60"/>
        <w:jc w:val="left"/>
      </w:pPr>
      <w:r>
        <w:rPr>
          <w:rFonts w:ascii="Arial" w:cs="Arial" w:eastAsia="Arial" w:hAnsi="Arial"/>
          <w:b/>
          <w:bCs/>
          <w:i/>
          <w:iCs/>
          <w:color w:val="000000"/>
          <w:sz w:val="18"/>
          <w:szCs w:val="18"/>
        </w:rPr>
        <w:t xml:space="preserve">CONCLUSION: No private commercial bank environmental cost ratio is computable from public data. Price the platform against the IESC monitoring fee proxy — not against project capex.</w:t>
      </w:r>
    </w:p>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8. CARIBBEAN AND SIDS POSITIONING — ESL PLATFORM</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Caribbean Factor</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Effect on E&amp;S Cost Share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ESL Platform Relevance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Small project sizes (typical CDB loan $10M–$50M)</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Inverse scale pushes E&amp;S % sharply upward vs. global MDB average. A $15M project with $250K E&amp;S costs = 1.7%; same at $100M = 0.25%.</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ESL platform is more affordable relative to E&amp;S budget at smaller project sizes — key market is CDB-financed $10M–$50M projects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Coastal and marine ecosystem sensitivity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Coral reef baseline surveys, marine monitoring, mangrove mapping cost 2×–5× equivalent inland projects. Tourism and port projects require extensive ongoing reef monitoring.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ESL's 14-country geospatial coastal dataset directly addresses this cost — monitoring that IESCs currently charge for as bespoke site work</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CDB applies IFC Performance Standards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Same international-standard E&amp;S burden as IFC projects globally</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Same pricing logic as IFC Cat. B applies across the CDB portfolio; DFI institutional subscription covers the full book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Hurricane / climate risk overlays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Caribbean projects increasingly require climate risk monitoring as part of E&amp;S scope (storm surge, post-hurricane vulnerability, sea level rise)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ESL platform's climate risk data layer is not available from standard environmental consulting firms — core differentiator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Weak national monitoring capacity</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When national agencies cannot monitor independently, third-party monitoring contracts are mandatory — more expensive per project dollar</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ESL positions as regional third-party environmental intelligence provider, replacing expensive per-project international consultant mandates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Regulatory disclosure requirements growing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CARICOM and bilateral donor requirements for environmental monitoring reporting are increasing, especially for climate finance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ESL platform generates the monitoring reports and compliance data that projects need to satisfy DFI covenants — recurring value creation</w:t>
            </w:r>
          </w:p>
        </w:tc>
      </w:tr>
    </w:tbl>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9. PRICING IMPLICATIONS — REVISED WITH PRIMARY DATA</w:t>
      </w:r>
    </w:p>
    <w:p>
      <w:pPr>
        <w:spacing w:before="60" w:after="80"/>
        <w:jc w:val="left"/>
      </w:pPr>
      <w:r>
        <w:rPr>
          <w:rFonts w:ascii="Arial" w:cs="Arial" w:eastAsia="Arial" w:hAnsi="Arial"/>
          <w:b w:val="false"/>
          <w:bCs w:val="false"/>
          <w:i w:val="false"/>
          <w:iCs w:val="false"/>
          <w:color w:val="000000"/>
          <w:sz w:val="18"/>
          <w:szCs w:val="18"/>
        </w:rPr>
        <w:t xml:space="preserve">The primary data changes one critical element of the pricing logic: the platform cannot be justified as a percentage of the disclosed ESMP monitoring budget at any reasonable project size below $50M — because that budget is too small (as low as $39K across a $320M program). The platform must be sold on different grounds.</w:t>
      </w:r>
    </w:p>
    <w:p>
      <w:pPr>
        <w:spacing w:before="80" w:after="60"/>
        <w:jc w:val="left"/>
      </w:pPr>
      <w:r>
        <w:rPr>
          <w:rFonts w:ascii="Arial" w:cs="Arial" w:eastAsia="Arial" w:hAnsi="Arial"/>
          <w:b/>
          <w:bCs/>
          <w:i w:val="false"/>
          <w:iCs w:val="false"/>
          <w:color w:val="1F4E79"/>
          <w:sz w:val="18"/>
          <w:szCs w:val="18"/>
        </w:rPr>
        <w:t xml:space="preserve">THE CORRECT PRICING ARGUMENTS:</w:t>
      </w:r>
    </w:p>
    <w:p>
      <w:pPr>
        <w:pStyle w:val="ListParagraph"/>
        <w:numPr>
          <w:ilvl w:val="0"/>
          <w:numId w:val="2"/>
        </w:numPr>
        <w:spacing w:before="40" w:after="40"/>
      </w:pPr>
      <w:r>
        <w:rPr>
          <w:rFonts w:ascii="Arial" w:cs="Arial" w:eastAsia="Arial" w:hAnsi="Arial"/>
          <w:sz w:val="18"/>
          <w:szCs w:val="18"/>
        </w:rPr>
        <w:t xml:space="preserve">Replaces bespoke environmental baseline studies: A single ESIA environmental baseline in the Caribbean currently costs $50K–$200K. ESL's 14-country platform delivers that data as a subscription — $35K–$150K/yr covering all a DFI's Caribbean projects.</w:t>
      </w:r>
    </w:p>
    <w:p>
      <w:pPr>
        <w:pStyle w:val="ListParagraph"/>
        <w:numPr>
          <w:ilvl w:val="0"/>
          <w:numId w:val="2"/>
        </w:numPr>
        <w:spacing w:before="40" w:after="40"/>
      </w:pPr>
      <w:r>
        <w:rPr>
          <w:rFonts w:ascii="Arial" w:cs="Arial" w:eastAsia="Arial" w:hAnsi="Arial"/>
          <w:sz w:val="18"/>
          <w:szCs w:val="18"/>
        </w:rPr>
        <w:t xml:space="preserve">Fraction of IESC cost: At $150K/yr institutional subscription vs. $300K–$2M/yr for a Cat. A IESC, the platform costs 7%–50% of what a single project's IESC monitoring costs — clearly affordable.</w:t>
      </w:r>
    </w:p>
    <w:p>
      <w:pPr>
        <w:pStyle w:val="ListParagraph"/>
        <w:numPr>
          <w:ilvl w:val="0"/>
          <w:numId w:val="2"/>
        </w:numPr>
        <w:spacing w:before="40" w:after="40"/>
      </w:pPr>
      <w:r>
        <w:rPr>
          <w:rFonts w:ascii="Arial" w:cs="Arial" w:eastAsia="Arial" w:hAnsi="Arial"/>
          <w:sz w:val="18"/>
          <w:szCs w:val="18"/>
        </w:rPr>
        <w:t xml:space="preserve">Regional intelligence gap: No Caribbean-wide environmental monitoring dataset currently exists at institutional quality. ESL fills a market gap, not a line item.</w:t>
      </w:r>
    </w:p>
    <w:p>
      <w:pPr>
        <w:pStyle w:val="ListParagraph"/>
        <w:numPr>
          <w:ilvl w:val="0"/>
          <w:numId w:val="2"/>
        </w:numPr>
        <w:spacing w:before="40" w:after="40"/>
      </w:pPr>
      <w:r>
        <w:rPr>
          <w:rFonts w:ascii="Arial" w:cs="Arial" w:eastAsia="Arial" w:hAnsi="Arial"/>
          <w:sz w:val="18"/>
          <w:szCs w:val="18"/>
        </w:rPr>
        <w:t xml:space="preserve">DFI covenant compliance value: Many DFI loan covenants require environmental monitoring reports. ESL delivers the underlying data layer — value is in enabling covenant compliance, not in replacing the compliance function.</w:t>
      </w:r>
    </w:p>
    <w:p>
      <w:pPr>
        <w:spacing w:before="100" w:after="60"/>
        <w:jc w:val="left"/>
      </w:pPr>
      <w:r>
        <w:rPr>
          <w:rFonts w:ascii="Arial" w:cs="Arial" w:eastAsia="Arial" w:hAnsi="Arial"/>
          <w:b/>
          <w:bCs/>
          <w:i w:val="false"/>
          <w:iCs w:val="false"/>
          <w:color w:val="1F4E79"/>
          <w:sz w:val="18"/>
          <w:szCs w:val="18"/>
        </w:rPr>
        <w:t xml:space="preserve">PRICING TABLE: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000"/>
        <w:gridCol w:w="600"/>
        <w:gridCol w:w="600"/>
        <w:gridCol w:w="600"/>
        <w:gridCol w:w="25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Use Case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Target Client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Model</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Low</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Base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High</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Justified By</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14-country Caribbean environmental intelligence subscription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DFI / MDB appraisal teams (IDB, IFC, Proparco, CDB)</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Annual institutional</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$50K/yr</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$150K/yr</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$350K/yr</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Replaces 3–5 bespoke environmental baseline studies per year; covers full Caribbean portfolio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Project-level due diligence data access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Environmental consultant preparing ESIA / ESMP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Per-project access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$3K</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$8K</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One additional specialist day rate × 3; fraction of ESIA cost</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Portfolio environmental risk dashboard</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Commercial bank EP team (EPFI)</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Annual per-portfolio</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$10K/yr</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$30K/yr</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$80K/yr</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1%–10% of IESC monitoring fees; supplements IESC compliance 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Government / national environmental agency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NEPA Jamaica, NEMA, DEAP etc.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Annual license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$15K/yr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$35K/yr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$75K/yr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National monitoring mandate; climate finance reporting requirements</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CERF / regional foundation access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CERF board, bilateral aid agencies</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Multi-year grant-funded</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$100K/yr</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$250K/yr</w:t>
            </w:r>
          </w:p>
        </w:tc>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$500K/yr</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Regional environmental intelligence mandate; fundable as project preparation or TA grant</w:t>
            </w:r>
          </w:p>
        </w:tc>
      </w:tr>
    </w:tbl>
    <w:p>
      <w:pPr>
        <w:spacing w:before="100" w:after="60"/>
        <w:jc w:val="left"/>
      </w:pPr>
      <w:r>
        <w:rPr>
          <w:rFonts w:ascii="Arial" w:cs="Arial" w:eastAsia="Arial" w:hAnsi="Arial"/>
          <w:b/>
          <w:bCs/>
          <w:i w:val="false"/>
          <w:iCs w:val="false"/>
          <w:color w:val="1F4E79"/>
          <w:sz w:val="18"/>
          <w:szCs w:val="18"/>
        </w:rPr>
        <w:t xml:space="preserve">PRICING AS % OF KEY BENCHMARKS (Base price $150K/yr institutional):</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30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Benchmark</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Amount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$150K/yr Platform as % of Benchmark</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Verdict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Single Cat. A IESC annual fee (construction phase)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$300K–$2M/yr</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8%–50%</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AFFORDABLE — fraction of one project's monitoring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World Bank average broad E&amp;S safeguards per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$13.5M total lifecycle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1.1% of lifecycle cost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AFFORDABLE — trivial as a lifecycle share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Single Caribbean ESIA preparation cost</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$50K–$200K</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75%–300%</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MUST NOT be positioned as ESIA substitute; must be positioned as complementary data 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ADB CTDP-4 total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$88.5M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0.17%/yr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VERY AFFORDABLE as fraction of capex</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Nigeria RAMP-2 disclosed ESMP budget (Niger State)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$39,300</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382%</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NEVER USE THIS COMPARISON — will undermine credibility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10-project DFI Caribbean portfolio (shared subscription)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~$500M total capex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0.03%/yr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INVISIBLE as capex share — pricing conversation should not use this frame</w:t>
            </w:r>
          </w:p>
        </w:tc>
      </w:tr>
    </w:tbl>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10. VALIDATED CONCLUSIONS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Conclusion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Status</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Evidence Basis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No flat global environmental cost percentage exists</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CONFIRMED</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Two Tier A cases: 0.012% and 0.55% — 46× range from primary data alone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Disclosed ESMP monitoring costs are a small fraction of true environmental spend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CONFIRMED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Nigeria RAMP-2: $39K disclosed vs. estimated $1M–$10M embedded in civil works. ADB CTDP-4 RRP explicitly states safeguards are within capital cost lines.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Scale effect is real and large</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CONFIRMED</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Consistent with Tier A data: larger project has lower ratio. ODI $13.5M average implies higher % at smaller project sizes.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Embedding is the dominant disclosure pattern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CONFIRMED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 of 4 primary-source cases confirm costs are embedded — only Case 2 (AIIB NR-13) has a clearly ring-fenced monitoring sub-component.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Private bank environmental costs are not publicly computable</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CONFIRMED</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 EP Activity Report, EP4, HSBC EP report all reviewed — no transaction-level cost disclosure exists.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Caribbean / SIDS projects warrant 1.5×–3× environmental cost uplift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SUPPORTED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Coastal/marine complexity, small project sizes, climate risk overlays — all confirmed directionally. No Caribbean-specific primary-source ratio cases found.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Platform must be positioned as regional intelligence service, not project-level line item</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NEW FINDING</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$150K/yr, the platform exceeds the disclosed ESMP monitoring budget for any project under ~$100M. Institutional subscription framing is mandatory.</w:t>
            </w:r>
          </w:p>
        </w:tc>
      </w:tr>
    </w:tbl>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11. ANNOTATED PRIMARY-SOURCE CASE NOTES</w:t>
      </w:r>
    </w:p>
    <w:p>
      <w:pPr>
        <w:spacing w:before="80" w:after="40"/>
        <w:jc w:val="left"/>
      </w:pPr>
      <w:r>
        <w:rPr>
          <w:rFonts w:ascii="Arial" w:cs="Arial" w:eastAsia="Arial" w:hAnsi="Arial"/>
          <w:b/>
          <w:bCs/>
          <w:i w:val="false"/>
          <w:iCs w:val="false"/>
          <w:color w:val="1F4E79"/>
          <w:sz w:val="18"/>
          <w:szCs w:val="18"/>
        </w:rPr>
        <w:t xml:space="preserve">CASE 1 — Nigeria RAMP-2 Niger State ESMP</w:t>
      </w:r>
    </w:p>
    <w:p>
      <w:pPr>
        <w:pStyle w:val="ListParagraph"/>
        <w:numPr>
          <w:ilvl w:val="0"/>
          <w:numId w:val="2"/>
        </w:numPr>
        <w:spacing w:before="40" w:after="40"/>
      </w:pPr>
      <w:r>
        <w:rPr>
          <w:rFonts w:ascii="Arial" w:cs="Arial" w:eastAsia="Arial" w:hAnsi="Arial"/>
          <w:sz w:val="18"/>
          <w:szCs w:val="18"/>
        </w:rPr>
        <w:t xml:space="preserve">Institution: World Bank (IDA) | Project ID: P095003 | Year approved: 2013 | Sector: Rural roads | Country: Nigeria</w:t>
      </w:r>
    </w:p>
    <w:p>
      <w:pPr>
        <w:pStyle w:val="ListParagraph"/>
        <w:numPr>
          <w:ilvl w:val="0"/>
          <w:numId w:val="2"/>
        </w:numPr>
        <w:spacing w:before="40" w:after="40"/>
      </w:pPr>
      <w:r>
        <w:rPr>
          <w:rFonts w:ascii="Arial" w:cs="Arial" w:eastAsia="Arial" w:hAnsi="Arial"/>
          <w:sz w:val="18"/>
          <w:szCs w:val="18"/>
        </w:rPr>
        <w:t xml:space="preserve">Total project cost (denominator): USD 321.7 million. Source: ESMF Executive Summary (curated/en/582151468289219482): 'total project cost amount to US$321.7 million of which US$195.0 million (59.7 percent) would be financed by IDA.' — Tier A primary source.</w:t>
      </w:r>
    </w:p>
    <w:p>
      <w:pPr>
        <w:pStyle w:val="ListParagraph"/>
        <w:numPr>
          <w:ilvl w:val="0"/>
          <w:numId w:val="2"/>
        </w:numPr>
        <w:spacing w:before="40" w:after="40"/>
      </w:pPr>
      <w:r>
        <w:rPr>
          <w:rFonts w:ascii="Arial" w:cs="Arial" w:eastAsia="Arial" w:hAnsi="Arial"/>
          <w:sz w:val="18"/>
          <w:szCs w:val="18"/>
        </w:rPr>
        <w:t xml:space="preserve">Environmental numerator: USD 39,300. Source: Niger State ESMP (curated/en/556941574922016121): 'The total cost for Implementing the ESMP and Monitoring Plan for the Road Construction/Rehabilitation works is estimated at N11,986,500, equivalent of USD 39,300.' — Tier A primary source.</w:t>
      </w:r>
    </w:p>
    <w:p>
      <w:pPr>
        <w:pStyle w:val="ListParagraph"/>
        <w:numPr>
          <w:ilvl w:val="0"/>
          <w:numId w:val="2"/>
        </w:numPr>
        <w:spacing w:before="40" w:after="40"/>
      </w:pPr>
      <w:r>
        <w:rPr>
          <w:rFonts w:ascii="Arial" w:cs="Arial" w:eastAsia="Arial" w:hAnsi="Arial"/>
          <w:sz w:val="18"/>
          <w:szCs w:val="18"/>
        </w:rPr>
        <w:t xml:space="preserve">Scope of numerator: 403.54 km of rural roads across 14 feeder roads in Niger State. Covers only standalone ESMP monitoring and training. All contractor ESHS obligations are embedded in civil works BOQ.</w:t>
      </w:r>
    </w:p>
    <w:p>
      <w:pPr>
        <w:pStyle w:val="ListParagraph"/>
        <w:numPr>
          <w:ilvl w:val="0"/>
          <w:numId w:val="2"/>
        </w:numPr>
        <w:spacing w:before="40" w:after="40"/>
      </w:pPr>
      <w:r>
        <w:rPr>
          <w:rFonts w:ascii="Arial" w:cs="Arial" w:eastAsia="Arial" w:hAnsi="Arial"/>
          <w:sz w:val="18"/>
          <w:szCs w:val="18"/>
        </w:rPr>
        <w:t xml:space="preserve">Computed ratio: $39,300 / $321.7M = 0.012%. This is the smallest disclosed environmental monitoring ratio found in primary research.</w:t>
      </w:r>
    </w:p>
    <w:p>
      <w:pPr>
        <w:pStyle w:val="ListParagraph"/>
        <w:numPr>
          <w:ilvl w:val="0"/>
          <w:numId w:val="2"/>
        </w:numPr>
        <w:spacing w:before="40" w:after="40"/>
      </w:pPr>
      <w:r>
        <w:rPr>
          <w:rFonts w:ascii="Arial" w:cs="Arial" w:eastAsia="Arial" w:hAnsi="Arial"/>
          <w:sz w:val="18"/>
          <w:szCs w:val="18"/>
        </w:rPr>
        <w:t xml:space="preserve">Classification: Tier A. Confidence: High for stated ratio. Low as proxy for true environmental spend — confirmed severe undercounting.</w:t>
      </w:r>
    </w:p>
    <w:p>
      <w:pPr>
        <w:spacing w:before="80" w:after="40"/>
        <w:jc w:val="left"/>
      </w:pPr>
      <w:r>
        <w:rPr>
          <w:rFonts w:ascii="Arial" w:cs="Arial" w:eastAsia="Arial" w:hAnsi="Arial"/>
          <w:b/>
          <w:bCs/>
          <w:i w:val="false"/>
          <w:iCs w:val="false"/>
          <w:color w:val="1F4E79"/>
          <w:sz w:val="18"/>
          <w:szCs w:val="18"/>
        </w:rPr>
        <w:t xml:space="preserve">CASE 2 — AIIB NR-13 North Lao PDR (P000066)</w:t>
      </w:r>
    </w:p>
    <w:p>
      <w:pPr>
        <w:pStyle w:val="ListParagraph"/>
        <w:numPr>
          <w:ilvl w:val="0"/>
          <w:numId w:val="2"/>
        </w:numPr>
        <w:spacing w:before="40" w:after="40"/>
      </w:pPr>
      <w:r>
        <w:rPr>
          <w:rFonts w:ascii="Arial" w:cs="Arial" w:eastAsia="Arial" w:hAnsi="Arial"/>
          <w:sz w:val="18"/>
          <w:szCs w:val="18"/>
        </w:rPr>
        <w:t xml:space="preserve">Institution: AIIB (co-financed WB/NDF) | Year approved: 2019 | Sector: Roads | Country: Lao PDR</w:t>
      </w:r>
    </w:p>
    <w:p>
      <w:pPr>
        <w:pStyle w:val="ListParagraph"/>
        <w:numPr>
          <w:ilvl w:val="0"/>
          <w:numId w:val="2"/>
        </w:numPr>
        <w:spacing w:before="40" w:after="40"/>
      </w:pPr>
      <w:r>
        <w:rPr>
          <w:rFonts w:ascii="Arial" w:cs="Arial" w:eastAsia="Arial" w:hAnsi="Arial"/>
          <w:sz w:val="18"/>
          <w:szCs w:val="18"/>
        </w:rPr>
        <w:t xml:space="preserve">Total project cost (denominator): USD 128 million. Source: AIIB project document PD000066-LAO April 2019 — component table: Component 1 Road Improvement $120.5M + Component 2 TA $4.8M + Component 3 Project Management $2.7M = $128M. Tier A primary source.</w:t>
      </w:r>
    </w:p>
    <w:p>
      <w:pPr>
        <w:pStyle w:val="ListParagraph"/>
        <w:numPr>
          <w:ilvl w:val="0"/>
          <w:numId w:val="2"/>
        </w:numPr>
        <w:spacing w:before="40" w:after="40"/>
      </w:pPr>
      <w:r>
        <w:rPr>
          <w:rFonts w:ascii="Arial" w:cs="Arial" w:eastAsia="Arial" w:hAnsi="Arial"/>
          <w:sz w:val="18"/>
          <w:szCs w:val="18"/>
        </w:rPr>
        <w:t xml:space="preserve">Environmental numerator: USD 0.7 million. Source: Same document — 'Safeguards Monitoring (USD 0.7 million). This sub-component will support implementation of traffic safety campaigns and other traffic safety enhancement measures, overloading control and environmental and social monitoring.' Tier A primary source.</w:t>
      </w:r>
    </w:p>
    <w:p>
      <w:pPr>
        <w:pStyle w:val="ListParagraph"/>
        <w:numPr>
          <w:ilvl w:val="0"/>
          <w:numId w:val="2"/>
        </w:numPr>
        <w:spacing w:before="40" w:after="40"/>
      </w:pPr>
      <w:r>
        <w:rPr>
          <w:rFonts w:ascii="Arial" w:cs="Arial" w:eastAsia="Arial" w:hAnsi="Arial"/>
          <w:sz w:val="18"/>
          <w:szCs w:val="18"/>
        </w:rPr>
        <w:t xml:space="preserve">Scope of numerator: Covers both environmental and social monitoring, plus overloading control and traffic safety — not pure environmental. Narrow environmental component estimated at 40%–60% of the $0.7M sub-component = $280K–$420K.</w:t>
      </w:r>
    </w:p>
    <w:p>
      <w:pPr>
        <w:pStyle w:val="ListParagraph"/>
        <w:numPr>
          <w:ilvl w:val="0"/>
          <w:numId w:val="2"/>
        </w:numPr>
        <w:spacing w:before="40" w:after="40"/>
      </w:pPr>
      <w:r>
        <w:rPr>
          <w:rFonts w:ascii="Arial" w:cs="Arial" w:eastAsia="Arial" w:hAnsi="Arial"/>
          <w:sz w:val="18"/>
          <w:szCs w:val="18"/>
        </w:rPr>
        <w:t xml:space="preserve">Computed ratio: $0.7M / $128M = 0.55% (combined safeguards monitoring). Environmental-only estimated at 0.22%–0.33%.</w:t>
      </w:r>
    </w:p>
    <w:p>
      <w:pPr>
        <w:pStyle w:val="ListParagraph"/>
        <w:numPr>
          <w:ilvl w:val="0"/>
          <w:numId w:val="2"/>
        </w:numPr>
        <w:spacing w:before="40" w:after="40"/>
      </w:pPr>
      <w:r>
        <w:rPr>
          <w:rFonts w:ascii="Arial" w:cs="Arial" w:eastAsia="Arial" w:hAnsi="Arial"/>
          <w:sz w:val="18"/>
          <w:szCs w:val="18"/>
        </w:rPr>
        <w:t xml:space="preserve">Classification: Tier A. Confidence: High for combined safeguards monitoring ratio; Medium for narrow environmental decomposition.</w:t>
      </w:r>
    </w:p>
    <w:p>
      <w:pPr>
        <w:spacing w:before="80" w:after="40"/>
        <w:jc w:val="left"/>
      </w:pPr>
      <w:r>
        <w:rPr>
          <w:rFonts w:ascii="Arial" w:cs="Arial" w:eastAsia="Arial" w:hAnsi="Arial"/>
          <w:b/>
          <w:bCs/>
          <w:i w:val="false"/>
          <w:iCs w:val="false"/>
          <w:color w:val="1F4E79"/>
          <w:sz w:val="18"/>
          <w:szCs w:val="18"/>
        </w:rPr>
        <w:t xml:space="preserve">CASE 3 — ADB CTDP-4 Cambodia (50099-002)</w:t>
      </w:r>
    </w:p>
    <w:p>
      <w:pPr>
        <w:pStyle w:val="ListParagraph"/>
        <w:numPr>
          <w:ilvl w:val="0"/>
          <w:numId w:val="2"/>
        </w:numPr>
        <w:spacing w:before="40" w:after="40"/>
      </w:pPr>
      <w:r>
        <w:rPr>
          <w:rFonts w:ascii="Arial" w:cs="Arial" w:eastAsia="Arial" w:hAnsi="Arial"/>
          <w:sz w:val="18"/>
          <w:szCs w:val="18"/>
        </w:rPr>
        <w:t xml:space="preserve">Institution: ADB | Year approved: 2018 | Sector: Urban / water / sanitation / solid waste | Country: Cambodia</w:t>
      </w:r>
    </w:p>
    <w:p>
      <w:pPr>
        <w:pStyle w:val="ListParagraph"/>
        <w:numPr>
          <w:ilvl w:val="0"/>
          <w:numId w:val="2"/>
        </w:numPr>
        <w:spacing w:before="40" w:after="40"/>
      </w:pPr>
      <w:r>
        <w:rPr>
          <w:rFonts w:ascii="Arial" w:cs="Arial" w:eastAsia="Arial" w:hAnsi="Arial"/>
          <w:sz w:val="18"/>
          <w:szCs w:val="18"/>
        </w:rPr>
        <w:t xml:space="preserve">Total project cost (denominator): USD 88.5 million. Source: ADB RRP 50099-002 July 2018, Table 1: Total project = $76.54M base + $9.70M contingencies + $2.26M financial charges = $88.5M. ADB $80M + GoC $8M. Tier A primary source.</w:t>
      </w:r>
    </w:p>
    <w:p>
      <w:pPr>
        <w:pStyle w:val="ListParagraph"/>
        <w:numPr>
          <w:ilvl w:val="0"/>
          <w:numId w:val="2"/>
        </w:numPr>
        <w:spacing w:before="40" w:after="40"/>
      </w:pPr>
      <w:r>
        <w:rPr>
          <w:rFonts w:ascii="Arial" w:cs="Arial" w:eastAsia="Arial" w:hAnsi="Arial"/>
          <w:sz w:val="18"/>
          <w:szCs w:val="18"/>
        </w:rPr>
        <w:t xml:space="preserve">Environmental numerator: Not computable. Source: ADB RRP linked document 50099-002-ea.pdf: 'Economic costs include (i) capital cost, including safeguard mitigation and monitoring...' Safeguard costs are explicitly stated as included within capital cost. No separate dollar figure.</w:t>
      </w:r>
    </w:p>
    <w:p>
      <w:pPr>
        <w:pStyle w:val="ListParagraph"/>
        <w:numPr>
          <w:ilvl w:val="0"/>
          <w:numId w:val="2"/>
        </w:numPr>
        <w:spacing w:before="40" w:after="40"/>
      </w:pPr>
      <w:r>
        <w:rPr>
          <w:rFonts w:ascii="Arial" w:cs="Arial" w:eastAsia="Arial" w:hAnsi="Arial"/>
          <w:sz w:val="18"/>
          <w:szCs w:val="18"/>
        </w:rPr>
        <w:t xml:space="preserve">Classification: Tier B (denominator confirmed Tier A; numerator confirmed embedded — not a data gap but a structural disclosure design choice). Confidence: High for denominator; Zero for numerator — confirmed embedded.</w:t>
      </w:r>
    </w:p>
    <w:p>
      <w:pPr>
        <w:pStyle w:val="ListParagraph"/>
        <w:numPr>
          <w:ilvl w:val="0"/>
          <w:numId w:val="2"/>
        </w:numPr>
        <w:spacing w:before="40" w:after="40"/>
      </w:pPr>
      <w:r>
        <w:rPr>
          <w:rFonts w:ascii="Arial" w:cs="Arial" w:eastAsia="Arial" w:hAnsi="Arial"/>
          <w:sz w:val="18"/>
          <w:szCs w:val="18"/>
        </w:rPr>
        <w:t xml:space="preserve">Key finding: This is the most structurally important case. An ADB RRP for a $88.5M urban environment project explicitly states that safeguard mitigation and monitoring costs are within capital cost totals. This confirms that ADB does not routinely disclose environmental cost as a separate line in the RRP — the standard document used for project approval.</w:t>
      </w:r>
    </w:p>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12. LIMITATIONS — UPDATED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9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Limitation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Severity</w:t>
            </w:r>
          </w:p>
        </w:tc>
        <w:tc>
          <w:tcPr>
            <w:tcW w:type="dxa" w:w="5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Research Status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Only 2 Tier A computable ratio cases from 3 research sessions</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Critical</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Confirmed structural: ADB, World Bank, and IFC do not routinely disclose environmental cost as a standalone line in primary project documents. This is a disclosure design choice, not a data gap.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The $13.5M World Bank average cannot be decomposed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primary WB budget breakdown found. Confirmed secondary citation only.</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Private commercial bank data is absent by design</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 EP Activity Report and EP4 reviewed. No transaction-level cost data is reported or required to be reported by EPFIs.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Caribbean / SIDS primary project data: zero Tier A cases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CDB, CARIBANK, or OECS project with disclosed E&amp;S budget line found in any research session. Caribbean ranges remain Tier B/C.</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Embedding is structural and unquantifiable without access to civil works BOQ</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Critical</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Nigeria RAMP-2 case confirms that 0.012% disclosed vs. potentially 3%–5% real is a plausible embedding gap. But the gap cannot be quantified without access to actual BOQ line items.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Two-case Tier A dataset is too small for statistical conclusions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0.012%–0.55% range is directionally valid but not statistically defensible as a distribution. It establishes a floor and an upper bound, not a central tendency.</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No IFC / private-sector primary case found</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Medium</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IFC ESRS documents reviewed do not include dollar ESAP budget figures. Environmental cost in IFC private sector projects is not disclosed in ESRS.</w:t>
            </w:r>
          </w:p>
        </w:tc>
      </w:tr>
    </w:tbl>
    <w:p>
      <w:pPr>
        <w:pBdr>
          <w:bottom w:val="single" w:color="2E75B6" w:sz="4" w:space="1"/>
        </w:pBdr>
        <w:spacing w:before="140" w:after="140"/>
      </w:pPr>
    </w:p>
    <w:p>
      <w:pPr>
        <w:pStyle w:val="Heading1"/>
        <w:spacing w:before="420" w:after="200"/>
      </w:pPr>
      <w:r>
        <w:rPr>
          <w:rFonts w:ascii="Arial" w:cs="Arial" w:eastAsia="Arial" w:hAnsi="Arial"/>
          <w:b/>
          <w:bCs/>
          <w:color w:val="1F4E79"/>
          <w:sz w:val="36"/>
          <w:szCs w:val="36"/>
        </w:rPr>
        <w:t xml:space="preserve">13. NEXT STEPS FOR VALIDATION</w:t>
      </w:r>
    </w:p>
    <w:p>
      <w:pPr>
        <w:pStyle w:val="ListParagraph"/>
        <w:numPr>
          <w:ilvl w:val="0"/>
          <w:numId w:val="2"/>
        </w:numPr>
        <w:spacing w:before="40" w:after="40"/>
      </w:pPr>
      <w:r>
        <w:rPr>
          <w:rFonts w:ascii="Arial" w:cs="Arial" w:eastAsia="Arial" w:hAnsi="Arial"/>
          <w:sz w:val="18"/>
          <w:szCs w:val="18"/>
        </w:rPr>
        <w:t xml:space="preserve">Priority 1: Extract ADB EMP documents with explicit budget tables — specifically Table 'EMP Operating Period Budgets' and 'Construction Phase Environmental Quality Monitoring Cost Estimate' which appear in ADB solid waste and water sector EMPs (e.g. CTDP-4 Kampong Cham and Stung Treng subproject EMPs dated June 2021 and January 2024). These cannot be accessed via web fetch due to 403 errors — require direct download.</w:t>
      </w:r>
    </w:p>
    <w:p>
      <w:pPr>
        <w:pStyle w:val="ListParagraph"/>
        <w:numPr>
          <w:ilvl w:val="0"/>
          <w:numId w:val="2"/>
        </w:numPr>
        <w:spacing w:before="40" w:after="40"/>
      </w:pPr>
      <w:r>
        <w:rPr>
          <w:rFonts w:ascii="Arial" w:cs="Arial" w:eastAsia="Arial" w:hAnsi="Arial"/>
          <w:sz w:val="18"/>
          <w:szCs w:val="18"/>
        </w:rPr>
        <w:t xml:space="preserve">Priority 2: Review 3–5 GCF-funded Caribbean projects (via greenclimate.fund project pages) — GCF funding proposals are publicly available and may include E&amp;S cost breakdowns within the Results Management Framework and Environmental and Social Management System sections.</w:t>
      </w:r>
    </w:p>
    <w:p>
      <w:pPr>
        <w:pStyle w:val="ListParagraph"/>
        <w:numPr>
          <w:ilvl w:val="0"/>
          <w:numId w:val="2"/>
        </w:numPr>
        <w:spacing w:before="40" w:after="40"/>
      </w:pPr>
      <w:r>
        <w:rPr>
          <w:rFonts w:ascii="Arial" w:cs="Arial" w:eastAsia="Arial" w:hAnsi="Arial"/>
          <w:sz w:val="18"/>
          <w:szCs w:val="18"/>
        </w:rPr>
        <w:t xml:space="preserve">Priority 3: Contact Caribbean Development Bank (CDB) Environmental Specialist directly — CDB is a signatory to international E&amp;S standards and may share aggregate data on E&amp;S cost shares across their portfolio. This would be the fastest path to Caribbean-specific Tier B data.</w:t>
      </w:r>
    </w:p>
    <w:p>
      <w:pPr>
        <w:pStyle w:val="ListParagraph"/>
        <w:numPr>
          <w:ilvl w:val="0"/>
          <w:numId w:val="2"/>
        </w:numPr>
        <w:spacing w:before="40" w:after="40"/>
      </w:pPr>
      <w:r>
        <w:rPr>
          <w:rFonts w:ascii="Arial" w:cs="Arial" w:eastAsia="Arial" w:hAnsi="Arial"/>
          <w:sz w:val="18"/>
          <w:szCs w:val="18"/>
        </w:rPr>
        <w:t xml:space="preserve">Priority 4: Interview 3–5 IESC practitioners active in the Caribbean for market rate calibration — specifically ESIA preparation costs for CDB-financed $10M–$50M projects and ongoing environmental monitoring contract values.</w:t>
      </w:r>
    </w:p>
    <w:p>
      <w:pPr>
        <w:pStyle w:val="ListParagraph"/>
        <w:numPr>
          <w:ilvl w:val="0"/>
          <w:numId w:val="2"/>
        </w:numPr>
        <w:spacing w:before="40" w:after="40"/>
      </w:pPr>
      <w:r>
        <w:rPr>
          <w:rFonts w:ascii="Arial" w:cs="Arial" w:eastAsia="Arial" w:hAnsi="Arial"/>
          <w:sz w:val="18"/>
          <w:szCs w:val="18"/>
        </w:rPr>
        <w:t xml:space="preserve">Priority 5: Run the platform pricing model past one IDB Invest or CDB contact before finalizing the schedule. The institutional subscription model ($150K/yr) needs real-world willingness-to-pay validation.</w:t>
      </w:r>
    </w:p>
    <w:p>
      <w:pPr>
        <w:pBdr>
          <w:bottom w:val="single" w:color="2E75B6" w:sz="4" w:space="1"/>
        </w:pBdr>
        <w:spacing w:before="140" w:after="140"/>
      </w:pPr>
    </w:p>
    <w:p>
      <w:pPr>
        <w:spacing w:before="120" w:after="60"/>
        <w:jc w:val="center"/>
      </w:pPr>
      <w:r>
        <w:rPr>
          <w:rFonts w:ascii="Arial" w:cs="Arial" w:eastAsia="Arial" w:hAnsi="Arial"/>
          <w:b w:val="false"/>
          <w:bCs w:val="false"/>
          <w:i w:val="false"/>
          <w:iCs w:val="false"/>
          <w:color w:val="888888"/>
          <w:sz w:val="16"/>
          <w:szCs w:val="16"/>
        </w:rPr>
        <w:t xml:space="preserve">Environmental Solutions Limited (ESL)  |  Environmental Intelligence Platform  |  Version 3 — Extended Primary Research  |  March 2026</w:t>
      </w:r>
    </w:p>
    <w:p>
      <w:pPr>
        <w:spacing w:before="60" w:after="60"/>
        <w:jc w:val="center"/>
      </w:pPr>
      <w:r>
        <w:rPr>
          <w:rFonts w:ascii="Arial" w:cs="Arial" w:eastAsia="Arial" w:hAnsi="Arial"/>
          <w:b w:val="false"/>
          <w:bCs w:val="false"/>
          <w:i/>
          <w:iCs/>
          <w:color w:val="888888"/>
          <w:sz w:val="14"/>
          <w:szCs w:val="14"/>
        </w:rPr>
        <w:t xml:space="preserve">Research method: Live web search + primary PDF document extraction from MDB project portals. Tier A data directly cited from official primary sources. All limitations explicitly stated. For internal strategic use only.</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ESL Environmental Intelligence Platform  |  Primary Source Research v3  |  March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4" w:space="4"/>
      </w:pBdr>
      <w:spacing w:before="42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2026-03-29T18:17:00.273Z</dcterms:created>
  <dcterms:modified xsi:type="dcterms:W3CDTF">2026-03-29T18:17:00.274Z</dcterms:modified>
</cp:coreProperties>
</file>

<file path=docProps/custom.xml><?xml version="1.0" encoding="utf-8"?>
<Properties xmlns="http://schemas.openxmlformats.org/officeDocument/2006/custom-properties" xmlns:vt="http://schemas.openxmlformats.org/officeDocument/2006/docPropsVTypes"/>
</file>