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left"/>
      </w:pPr>
      <w:r>
        <w:rPr>
          <w:rFonts w:ascii="Arial" w:cs="Arial" w:eastAsia="Arial" w:hAnsi="Arial"/>
          <w:b/>
          <w:bCs/>
          <w:color w:val="555555"/>
          <w:sz w:val="20"/>
          <w:szCs w:val="20"/>
        </w:rPr>
        <w:t xml:space="preserve">Environmental Solutions Limited</w:t>
      </w:r>
    </w:p>
    <w:p>
      <w:pPr>
        <w:spacing w:after="160" w:before="0"/>
      </w:pPr>
      <w:r>
        <w:rPr>
          <w:rFonts w:ascii="Arial" w:cs="Arial" w:eastAsia="Arial" w:hAnsi="Arial"/>
          <w:b/>
          <w:bCs/>
          <w:color w:val="1B6B3A"/>
          <w:sz w:val="36"/>
          <w:szCs w:val="36"/>
        </w:rPr>
        <w:t xml:space="preserve">ESL Environmental Intelligence Platform</w:t>
      </w:r>
    </w:p>
    <w:p>
      <w:pPr>
        <w:spacing w:after="80" w:before="0"/>
      </w:pPr>
      <w:r>
        <w:rPr>
          <w:rFonts w:ascii="Arial" w:cs="Arial" w:eastAsia="Arial" w:hAnsi="Arial"/>
          <w:b/>
          <w:bCs/>
          <w:color w:val="1A1A1A"/>
          <w:sz w:val="52"/>
          <w:szCs w:val="52"/>
        </w:rPr>
        <w:t xml:space="preserve">Geospatial Data Acquisition</w:t>
      </w:r>
    </w:p>
    <w:p>
      <w:pPr>
        <w:spacing w:after="320" w:before="0"/>
      </w:pPr>
      <w:r>
        <w:rPr>
          <w:rFonts w:ascii="Arial" w:cs="Arial" w:eastAsia="Arial" w:hAnsi="Arial"/>
          <w:color w:val="1A7A6E"/>
          <w:sz w:val="28"/>
          <w:szCs w:val="28"/>
        </w:rPr>
        <w:t xml:space="preserve">Researcher Brief — 14 Caribbean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1"/>
              <w:left w:val="single" w:color="1B6B3A" w:sz="1"/>
              <w:bottom w:val="single" w:color="1B6B3A" w:sz="1"/>
              <w:right w:val="single" w:color="1B6B3A" w:sz="1"/>
            </w:tcBorders>
            <w:shd w:fill="D6EAD8" w:val="clear"/>
            <w:tcMar>
              <w:top w:type="dxa" w:w="120"/>
              <w:left w:type="dxa" w:w="180"/>
              <w:bottom w:type="dxa" w:w="120"/>
              <w:right w:type="dxa" w:w="180"/>
            </w:tcMar>
          </w:tcPr>
          <w:p>
            <w:pPr>
              <w:spacing w:after="30" w:before="30"/>
            </w:pPr>
            <w:r>
              <w:rPr>
                <w:rFonts w:ascii="Arial" w:cs="Arial" w:eastAsia="Arial" w:hAnsi="Arial"/>
                <w:color w:val="1A1A1A"/>
                <w:sz w:val="20"/>
                <w:szCs w:val="20"/>
              </w:rPr>
              <w:t xml:space="preserve">**Assignment Summary</w:t>
            </w:r>
          </w:p>
          <w:p>
            <w:pPr>
              <w:spacing w:after="30" w:before="30"/>
            </w:pPr>
            <w:r>
              <w:rPr>
                <w:rFonts w:ascii="Arial" w:cs="Arial" w:eastAsia="Arial" w:hAnsi="Arial"/>
                <w:color w:val="1A1A1A"/>
                <w:sz w:val="20"/>
                <w:szCs w:val="20"/>
              </w:rPr>
              <w:t xml:space="preserve">Find, document, and download all datasets listed in this brief for each of the 14 Caribbean countries, or document credible proxies where national data do not exist.</w:t>
            </w:r>
          </w:p>
          <w:p>
            <w:pPr>
              <w:spacing w:after="30" w:before="30"/>
            </w:pPr>
            <w:r>
              <w:rPr>
                <w:rFonts w:ascii="Arial" w:cs="Arial" w:eastAsia="Arial" w:hAnsi="Arial"/>
                <w:color w:val="1A1A1A"/>
                <w:sz w:val="20"/>
                <w:szCs w:val="20"/>
              </w:rPr>
              <w:t xml:space="preserve"/>
            </w:r>
          </w:p>
          <w:p>
            <w:pPr>
              <w:spacing w:after="30" w:before="30"/>
            </w:pPr>
            <w:r>
              <w:rPr>
                <w:rFonts w:ascii="Arial" w:cs="Arial" w:eastAsia="Arial" w:hAnsi="Arial"/>
                <w:color w:val="1A1A1A"/>
                <w:sz w:val="20"/>
                <w:szCs w:val="20"/>
              </w:rPr>
              <w:t xml:space="preserve">Deliverable: A populated data inventory spreadsheet, raw data files, a coverage gap report, source contact list, and licence notes per country.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8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Geospatial Data Research Brief</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2026</w:t>
            </w:r>
          </w:p>
        </w:tc>
      </w:tr>
    </w:tbl>
    <w:p>
      <w:pPr>
        <w:spacing w:after="0" w:before="80"/>
      </w:pPr>
      <w:r>
        <w:t xml:space="preserve"/>
      </w:r>
    </w:p>
    <w:p>
      <w:pPr>
        <w:spacing w:after="40" w:before="0"/>
      </w:pPr>
      <w:r>
        <w:rPr>
          <w:rFonts w:ascii="Arial" w:cs="Arial" w:eastAsia="Arial" w:hAnsi="Arial"/>
          <w:color w:val="555555"/>
          <w:sz w:val="20"/>
          <w:szCs w:val="20"/>
        </w:rPr>
        <w:t xml:space="preserve">Prepared by: Stephen Jones, Managing Director, ESL</w:t>
      </w:r>
    </w:p>
    <w:p>
      <w:pPr>
        <w:spacing w:after="40" w:before="0"/>
      </w:pPr>
      <w:r>
        <w:rPr>
          <w:rFonts w:ascii="Arial" w:cs="Arial" w:eastAsia="Arial" w:hAnsi="Arial"/>
          <w:color w:val="555555"/>
          <w:sz w:val="20"/>
          <w:szCs w:val="20"/>
        </w:rPr>
        <w:t xml:space="preserve">Classification: Confidential — Internal Use Only</w:t>
      </w:r>
    </w:p>
    <w:p>
      <w:r>
        <w:br w:type="page"/>
      </w:r>
    </w:p>
    <w:p>
      <w:pPr>
        <w:pStyle w:val="Heading1"/>
        <w:pBdr>
          <w:bottom w:val="single" w:color="2A7A4A" w:sz="8" w:space="4"/>
        </w:pBdr>
        <w:spacing w:after="120" w:before="320"/>
      </w:pPr>
      <w:r>
        <w:rPr>
          <w:rFonts w:ascii="Arial" w:cs="Arial" w:eastAsia="Arial" w:hAnsi="Arial"/>
          <w:b/>
          <w:bCs/>
          <w:color w:val="1B6B3A"/>
          <w:sz w:val="32"/>
          <w:szCs w:val="32"/>
        </w:rPr>
        <w:t xml:space="preserve">1. Objective</w:t>
      </w:r>
    </w:p>
    <w:p>
      <w:pPr>
        <w:spacing w:after="80" w:before="60"/>
      </w:pPr>
      <w:r>
        <w:rPr>
          <w:rFonts w:ascii="Arial" w:cs="Arial" w:eastAsia="Arial" w:hAnsi="Arial"/>
          <w:color w:val="1A1A1A"/>
          <w:sz w:val="22"/>
          <w:szCs w:val="22"/>
        </w:rPr>
        <w:t xml:space="preserve">The ESL platform currently uses manual risk inputs (0–10 sliders) to generate environmental risk scores for development projects. This research assignment is the first step in fully automating those scores using real geospatial data.</w:t>
      </w:r>
    </w:p>
    <w:p>
      <w:pPr>
        <w:spacing w:after="0" w:before="60"/>
      </w:pPr>
      <w:r>
        <w:t xml:space="preserve"/>
      </w:r>
    </w:p>
    <w:p>
      <w:pPr>
        <w:spacing w:after="80" w:before="60"/>
      </w:pPr>
      <w:r>
        <w:rPr>
          <w:rFonts w:ascii="Arial" w:cs="Arial" w:eastAsia="Arial" w:hAnsi="Arial"/>
          <w:color w:val="1A1A1A"/>
          <w:sz w:val="22"/>
          <w:szCs w:val="22"/>
        </w:rPr>
        <w:t xml:space="preserve">The end state: a user enters a project address or drops a pin on a map, and the system automatically computes all four risk subscores from verified data layers — no manual input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6E" w:sz="1"/>
              <w:left w:val="single" w:color="1A7A6E" w:sz="1"/>
              <w:bottom w:val="single" w:color="1A7A6E" w:sz="1"/>
              <w:right w:val="single" w:color="1A7A6E" w:sz="1"/>
            </w:tcBorders>
            <w:shd w:fill="F2F8F3" w:val="clear"/>
            <w:tcMar>
              <w:top w:type="dxa" w:w="120"/>
              <w:left w:type="dxa" w:w="180"/>
              <w:bottom w:type="dxa" w:w="120"/>
              <w:right w:type="dxa" w:w="180"/>
            </w:tcMar>
          </w:tcPr>
          <w:p>
            <w:pPr>
              <w:spacing w:after="30" w:before="30"/>
            </w:pPr>
            <w:r>
              <w:rPr>
                <w:rFonts w:ascii="Arial" w:cs="Arial" w:eastAsia="Arial" w:hAnsi="Arial"/>
                <w:color w:val="1A1A1A"/>
                <w:sz w:val="20"/>
                <w:szCs w:val="20"/>
              </w:rPr>
              <w:t xml:space="preserve">**Your job</w:t>
            </w:r>
          </w:p>
          <w:p>
            <w:pPr>
              <w:spacing w:after="30" w:before="30"/>
            </w:pPr>
            <w:r>
              <w:rPr>
                <w:rFonts w:ascii="Arial" w:cs="Arial" w:eastAsia="Arial" w:hAnsi="Arial"/>
                <w:color w:val="1A1A1A"/>
                <w:sz w:val="20"/>
                <w:szCs w:val="20"/>
              </w:rPr>
              <w:t xml:space="preserve">For every data layer listed in Section 4, and for each of the 14 countries in Section 2: find the best available source, download it, assess its quality, and document the result in the standard inventory spreadsheet.</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2. Target Countries</w:t>
      </w:r>
    </w:p>
    <w:p>
      <w:pPr>
        <w:spacing w:after="80" w:before="60"/>
      </w:pPr>
      <w:r>
        <w:rPr>
          <w:rFonts w:ascii="Arial" w:cs="Arial" w:eastAsia="Arial" w:hAnsi="Arial"/>
          <w:color w:val="1A1A1A"/>
          <w:sz w:val="22"/>
          <w:szCs w:val="22"/>
        </w:rPr>
        <w:t xml:space="preserve">Work is organized into three tiers reflecting expected data availability. Always attempt every layer for every country — tiers guide effort allocation, not exclusion.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Countries</w:t>
            </w:r>
          </w:p>
        </w:tc>
        <w:tc>
          <w:tcPr>
            <w:tcW w:type="dxa" w:w="38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Expected Data Quality</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1 — Good</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Jamaica, Trinidad &amp; Tobago, Barbados, Bahamas</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GIS layers, environmental registries, and zoning data likely available</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Tier 2 — Partial</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Dominican Republic, Guyana, Belize, Antigua &amp; Barbuda, St. Lucia</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Some GIS layers available; gaps likely in contamination and permitting records</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3 — Limited</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Haiti, Suriname, Grenada, St. Vincent &amp; the Grenadines, Dominica</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Significant gaps — rely on satellite-derived proxies and regional models</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3. Research Workflow</w:t>
      </w:r>
    </w:p>
    <w:p>
      <w:pPr>
        <w:spacing w:after="80" w:before="60"/>
      </w:pPr>
      <w:r>
        <w:rPr>
          <w:rFonts w:ascii="Arial" w:cs="Arial" w:eastAsia="Arial" w:hAnsi="Arial"/>
          <w:color w:val="1A1A1A"/>
          <w:sz w:val="22"/>
          <w:szCs w:val="22"/>
        </w:rPr>
        <w:t xml:space="preserve">Follow this three-pass sequence for every country and every data layer. Do not skip directly to national portals — open data sources must be exhausted first.</w:t>
      </w:r>
    </w:p>
    <w:p>
      <w:pPr>
        <w:spacing w:after="0" w:before="80"/>
      </w:pPr>
      <w:r>
        <w:t xml:space="preserve"/>
      </w:r>
    </w:p>
    <w:p>
      <w:pPr>
        <w:pStyle w:val="Heading2"/>
        <w:spacing w:after="80" w:before="240"/>
      </w:pPr>
      <w:r>
        <w:rPr>
          <w:rFonts w:ascii="Arial" w:cs="Arial" w:eastAsia="Arial" w:hAnsi="Arial"/>
          <w:b/>
          <w:bCs/>
          <w:color w:val="1A7A6E"/>
          <w:sz w:val="26"/>
          <w:szCs w:val="26"/>
        </w:rPr>
        <w:t xml:space="preserve">Step 1 — Free / Open Data Sources (start here, every country)</w:t>
      </w:r>
    </w:p>
    <w:p>
      <w:pPr>
        <w:spacing w:after="80" w:before="60"/>
      </w:pPr>
      <w:r>
        <w:rPr>
          <w:rFonts w:ascii="Arial" w:cs="Arial" w:eastAsia="Arial" w:hAnsi="Arial"/>
          <w:color w:val="1A1A1A"/>
          <w:sz w:val="22"/>
          <w:szCs w:val="22"/>
        </w:rPr>
        <w:t xml:space="preserve">The table in Section 5 lists ten global open sources. These must be checked first for every layer and every country before moving to regional or national sources. Most layers for Tier 1 and Tier 2 countries will be substantially covered here.</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Download all available layers from each open source.</w:t>
      </w:r>
    </w:p>
    <w:p>
      <w:pPr>
        <w:pStyle w:val="ListParagraph"/>
        <w:numPr>
          <w:ilvl w:val="0"/>
          <w:numId w:val="2"/>
        </w:numPr>
        <w:spacing w:after="40" w:before="40"/>
      </w:pPr>
      <w:r>
        <w:rPr>
          <w:rFonts w:ascii="Arial" w:cs="Arial" w:eastAsia="Arial" w:hAnsi="Arial"/>
          <w:color w:val="1A1A1A"/>
          <w:sz w:val="22"/>
          <w:szCs w:val="22"/>
        </w:rPr>
        <w:t xml:space="preserve">Log the result (found / not found / partial) in the country inventory spreadsheet.</w:t>
      </w:r>
    </w:p>
    <w:p>
      <w:pPr>
        <w:pStyle w:val="ListParagraph"/>
        <w:numPr>
          <w:ilvl w:val="0"/>
          <w:numId w:val="2"/>
        </w:numPr>
        <w:spacing w:after="40" w:before="40"/>
      </w:pPr>
      <w:r>
        <w:rPr>
          <w:rFonts w:ascii="Arial" w:cs="Arial" w:eastAsia="Arial" w:hAnsi="Arial"/>
          <w:color w:val="1A1A1A"/>
          <w:sz w:val="22"/>
          <w:szCs w:val="22"/>
        </w:rPr>
        <w:t xml:space="preserve">Record resolution, format, coverage area, and licence.</w:t>
      </w:r>
    </w:p>
    <w:p>
      <w:pPr>
        <w:spacing w:after="0" w:before="120"/>
      </w:pPr>
      <w:r>
        <w:t xml:space="preserve"/>
      </w:r>
    </w:p>
    <w:p>
      <w:pPr>
        <w:pStyle w:val="Heading2"/>
        <w:spacing w:after="80" w:before="240"/>
      </w:pPr>
      <w:r>
        <w:rPr>
          <w:rFonts w:ascii="Arial" w:cs="Arial" w:eastAsia="Arial" w:hAnsi="Arial"/>
          <w:b/>
          <w:bCs/>
          <w:color w:val="1A7A6E"/>
          <w:sz w:val="26"/>
          <w:szCs w:val="26"/>
        </w:rPr>
        <w:t xml:space="preserve">Step 2 — Regional Portals</w:t>
      </w:r>
    </w:p>
    <w:p>
      <w:pPr>
        <w:spacing w:after="80" w:before="60"/>
      </w:pPr>
      <w:r>
        <w:rPr>
          <w:rFonts w:ascii="Arial" w:cs="Arial" w:eastAsia="Arial" w:hAnsi="Arial"/>
          <w:color w:val="1A1A1A"/>
          <w:sz w:val="22"/>
          <w:szCs w:val="22"/>
        </w:rPr>
        <w:t xml:space="preserve">After exhausting open sources, search the following Caribbean regional portals for country-specific or higher-resolution layers:</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Caribbean GeoPortal (Caribbean Community / CARICOM spatial data repository)</w:t>
      </w:r>
    </w:p>
    <w:p>
      <w:pPr>
        <w:pStyle w:val="ListParagraph"/>
        <w:numPr>
          <w:ilvl w:val="0"/>
          <w:numId w:val="2"/>
        </w:numPr>
        <w:spacing w:after="40" w:before="40"/>
      </w:pPr>
      <w:r>
        <w:rPr>
          <w:rFonts w:ascii="Arial" w:cs="Arial" w:eastAsia="Arial" w:hAnsi="Arial"/>
          <w:color w:val="1A1A1A"/>
          <w:sz w:val="22"/>
          <w:szCs w:val="22"/>
        </w:rPr>
        <w:t xml:space="preserve">OECS GIS Hub (Organisation of Eastern Caribbean States)</w:t>
      </w:r>
    </w:p>
    <w:p>
      <w:pPr>
        <w:pStyle w:val="ListParagraph"/>
        <w:numPr>
          <w:ilvl w:val="0"/>
          <w:numId w:val="2"/>
        </w:numPr>
        <w:spacing w:after="40" w:before="40"/>
      </w:pPr>
      <w:r>
        <w:rPr>
          <w:rFonts w:ascii="Arial" w:cs="Arial" w:eastAsia="Arial" w:hAnsi="Arial"/>
          <w:color w:val="1A1A1A"/>
          <w:sz w:val="22"/>
          <w:szCs w:val="22"/>
        </w:rPr>
        <w:t xml:space="preserve">CDEMA GeoCRIS (Caribbean Disaster Emergency Management Agency GIS platform)</w:t>
      </w:r>
    </w:p>
    <w:p>
      <w:pPr>
        <w:pStyle w:val="ListParagraph"/>
        <w:numPr>
          <w:ilvl w:val="0"/>
          <w:numId w:val="2"/>
        </w:numPr>
        <w:spacing w:after="40" w:before="40"/>
      </w:pPr>
      <w:r>
        <w:rPr>
          <w:rFonts w:ascii="Arial" w:cs="Arial" w:eastAsia="Arial" w:hAnsi="Arial"/>
          <w:color w:val="1A1A1A"/>
          <w:sz w:val="22"/>
          <w:szCs w:val="22"/>
        </w:rPr>
        <w:t xml:space="preserve">Caribbean Community Climate Change Centre (5Cs) data portal</w:t>
      </w:r>
    </w:p>
    <w:p>
      <w:pPr>
        <w:pStyle w:val="ListParagraph"/>
        <w:numPr>
          <w:ilvl w:val="0"/>
          <w:numId w:val="2"/>
        </w:numPr>
        <w:spacing w:after="40" w:before="40"/>
      </w:pPr>
      <w:r>
        <w:rPr>
          <w:rFonts w:ascii="Arial" w:cs="Arial" w:eastAsia="Arial" w:hAnsi="Arial"/>
          <w:color w:val="1A1A1A"/>
          <w:sz w:val="22"/>
          <w:szCs w:val="22"/>
        </w:rPr>
        <w:t xml:space="preserve">CCRIF SPC parametric insurance data and risk modelling outputs</w:t>
      </w:r>
    </w:p>
    <w:p>
      <w:pPr>
        <w:spacing w:after="0" w:before="120"/>
      </w:pPr>
      <w:r>
        <w:t xml:space="preserve"/>
      </w:r>
    </w:p>
    <w:p>
      <w:pPr>
        <w:pStyle w:val="Heading2"/>
        <w:spacing w:after="80" w:before="240"/>
      </w:pPr>
      <w:r>
        <w:rPr>
          <w:rFonts w:ascii="Arial" w:cs="Arial" w:eastAsia="Arial" w:hAnsi="Arial"/>
          <w:b/>
          <w:bCs/>
          <w:color w:val="1A7A6E"/>
          <w:sz w:val="26"/>
          <w:szCs w:val="26"/>
        </w:rPr>
        <w:t xml:space="preserve">Step 3 — National Portals and Ministries</w:t>
      </w:r>
    </w:p>
    <w:p>
      <w:pPr>
        <w:spacing w:after="80" w:before="60"/>
      </w:pPr>
      <w:r>
        <w:rPr>
          <w:rFonts w:ascii="Arial" w:cs="Arial" w:eastAsia="Arial" w:hAnsi="Arial"/>
          <w:color w:val="1A1A1A"/>
          <w:sz w:val="22"/>
          <w:szCs w:val="22"/>
        </w:rPr>
        <w:t xml:space="preserve">For layers still missing or at insufficient resolution after Steps 1 and 2, go directly to the relevant national agency. The data layer tables in Section 4 list the specific national sources to target for each layer. Key national contacts include:</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Jamaica: NEPA (contamination, EIA), National Land Agency (parcels, zoning), Mines &amp; Geology Division (soils), NWC (water), JPS (power)</w:t>
      </w:r>
    </w:p>
    <w:p>
      <w:pPr>
        <w:pStyle w:val="ListParagraph"/>
        <w:numPr>
          <w:ilvl w:val="0"/>
          <w:numId w:val="2"/>
        </w:numPr>
        <w:spacing w:after="40" w:before="40"/>
      </w:pPr>
      <w:r>
        <w:rPr>
          <w:rFonts w:ascii="Arial" w:cs="Arial" w:eastAsia="Arial" w:hAnsi="Arial"/>
          <w:color w:val="1A1A1A"/>
          <w:sz w:val="22"/>
          <w:szCs w:val="22"/>
        </w:rPr>
        <w:t xml:space="preserve">Trinidad &amp; Tobago: EMA (environmental permitting), WASA (water), T&amp;TEC (power), Town &amp; Country Planning Division (zoning)</w:t>
      </w:r>
    </w:p>
    <w:p>
      <w:pPr>
        <w:pStyle w:val="ListParagraph"/>
        <w:numPr>
          <w:ilvl w:val="0"/>
          <w:numId w:val="2"/>
        </w:numPr>
        <w:spacing w:after="40" w:before="40"/>
      </w:pPr>
      <w:r>
        <w:rPr>
          <w:rFonts w:ascii="Arial" w:cs="Arial" w:eastAsia="Arial" w:hAnsi="Arial"/>
          <w:color w:val="1A1A1A"/>
          <w:sz w:val="22"/>
          <w:szCs w:val="22"/>
        </w:rPr>
        <w:t xml:space="preserve">Barbados: Barbados Environmental Protection Department, Town &amp; Country Development Planning Office</w:t>
      </w:r>
    </w:p>
    <w:p>
      <w:pPr>
        <w:pStyle w:val="ListParagraph"/>
        <w:numPr>
          <w:ilvl w:val="0"/>
          <w:numId w:val="2"/>
        </w:numPr>
        <w:spacing w:after="40" w:before="40"/>
      </w:pPr>
      <w:r>
        <w:rPr>
          <w:rFonts w:ascii="Arial" w:cs="Arial" w:eastAsia="Arial" w:hAnsi="Arial"/>
          <w:color w:val="1A1A1A"/>
          <w:sz w:val="22"/>
          <w:szCs w:val="22"/>
        </w:rPr>
        <w:t xml:space="preserve">Bahamas: Department of Physical Planning, Bahamas Environment, Science &amp; Technology Commission</w:t>
      </w:r>
    </w:p>
    <w:p>
      <w:pPr>
        <w:pStyle w:val="ListParagraph"/>
        <w:numPr>
          <w:ilvl w:val="0"/>
          <w:numId w:val="2"/>
        </w:numPr>
        <w:spacing w:after="40" w:before="40"/>
      </w:pPr>
      <w:r>
        <w:rPr>
          <w:rFonts w:ascii="Arial" w:cs="Arial" w:eastAsia="Arial" w:hAnsi="Arial"/>
          <w:color w:val="1A1A1A"/>
          <w:sz w:val="22"/>
          <w:szCs w:val="22"/>
        </w:rPr>
        <w:t xml:space="preserve">For Tier 2 and 3 countries: equivalent environment and lands ministries — use Section 4 source lists as entry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120"/>
              <w:left w:type="dxa" w:w="180"/>
              <w:bottom w:type="dxa" w:w="120"/>
              <w:right w:type="dxa" w:w="180"/>
            </w:tcMar>
          </w:tcPr>
          <w:p>
            <w:pPr>
              <w:spacing w:after="30" w:before="30"/>
            </w:pPr>
            <w:r>
              <w:rPr>
                <w:rFonts w:ascii="Arial" w:cs="Arial" w:eastAsia="Arial" w:hAnsi="Arial"/>
                <w:color w:val="1A1A1A"/>
                <w:sz w:val="20"/>
                <w:szCs w:val="20"/>
              </w:rPr>
              <w:t xml:space="preserve">If a layer requires a formal written data request, document the agency name, contact email, and request process in the Source Contact List deliverable — do not delay the overall inventory waiting for a response.</w:t>
            </w:r>
          </w:p>
        </w:tc>
      </w:tr>
    </w:tbl>
    <w:p>
      <w:pPr>
        <w:spacing w:after="0" w:before="120"/>
      </w:pPr>
      <w:r>
        <w:t xml:space="preserve"/>
      </w:r>
    </w:p>
    <w:p>
      <w:r>
        <w:br w:type="page"/>
      </w:r>
    </w:p>
    <w:p>
      <w:pPr>
        <w:pStyle w:val="Heading1"/>
        <w:pBdr>
          <w:bottom w:val="single" w:color="2A7A4A" w:sz="8" w:space="4"/>
        </w:pBdr>
        <w:spacing w:after="120" w:before="320"/>
      </w:pPr>
      <w:r>
        <w:rPr>
          <w:rFonts w:ascii="Arial" w:cs="Arial" w:eastAsia="Arial" w:hAnsi="Arial"/>
          <w:b/>
          <w:bCs/>
          <w:color w:val="1B6B3A"/>
          <w:sz w:val="32"/>
          <w:szCs w:val="32"/>
        </w:rPr>
        <w:t xml:space="preserve">4. Data Layers Required</w:t>
      </w:r>
    </w:p>
    <w:p>
      <w:pPr>
        <w:spacing w:after="80" w:before="60"/>
      </w:pPr>
      <w:r>
        <w:rPr>
          <w:rFonts w:ascii="Arial" w:cs="Arial" w:eastAsia="Arial" w:hAnsi="Arial"/>
          <w:color w:val="1A1A1A"/>
          <w:sz w:val="22"/>
          <w:szCs w:val="22"/>
        </w:rPr>
        <w:t xml:space="preserve">All 20 layers below must be acquired (or a proxy documented) for each of the 14 countries. Layers are grouped by the risk subscore they feed.</w:t>
      </w:r>
    </w:p>
    <w:p>
      <w:pPr>
        <w:spacing w:after="0" w:before="120"/>
      </w:pPr>
      <w:r>
        <w:t xml:space="preserve"/>
      </w:r>
    </w:p>
    <w:p>
      <w:pPr>
        <w:pStyle w:val="Heading2"/>
        <w:spacing w:after="80" w:before="240"/>
      </w:pPr>
      <w:r>
        <w:rPr>
          <w:rFonts w:ascii="Arial" w:cs="Arial" w:eastAsia="Arial" w:hAnsi="Arial"/>
          <w:b/>
          <w:bCs/>
          <w:color w:val="1A7A6E"/>
          <w:sz w:val="26"/>
          <w:szCs w:val="26"/>
        </w:rPr>
        <w:t xml:space="preserve">4.1  Environmental Risk Layers</w:t>
      </w:r>
    </w:p>
    <w:p>
      <w:pPr>
        <w:pStyle w:val="Heading3"/>
        <w:spacing w:after="60" w:before="200"/>
      </w:pPr>
      <w:r>
        <w:rPr>
          <w:rFonts w:ascii="Arial" w:cs="Arial" w:eastAsia="Arial" w:hAnsi="Arial"/>
          <w:b/>
          <w:bCs/>
          <w:color w:val="555555"/>
          <w:sz w:val="22"/>
          <w:szCs w:val="22"/>
        </w:rPr>
        <w:t xml:space="preserve">Layer 1.1 — Flood Hazard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Flood zone classifications at 25-, 50-, and 100-year return periods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shapefiles (polygons) or GeoTIFF raster</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met offices, CCRIF SPC, World Bank Open Data, CDEMA, UNDP Caribbean risk profiles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Resolution</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Parcel-level — 1:10,000 or better preferred</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Flood zone classification (Zone A/V/X equivalent) + expected flood depth in metres at the project parcel</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1.2 — Coastal Inundation &amp; Storm Surge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Storm surge height projections for Category 1–5 hurricane scenarios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GeoTIFF raster or vector contour polygons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NOAA SLOSH outputs, CDEMA, 5Cs, national disaster offices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Resolution</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30m DEM-based or better — all coastal zones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Expected surge height in metres at the project GPS coordinate for each hurricane category</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1.3 — Sea Level Rise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Projected SLR under RCP 4.5 and RCP 8.5 at 2030, 2050, and 2100 horizons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Raster inundation layers or tabular data by coastal segment</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IPCC AR6 downscaled projections, Climate Central, 5Cs, NASA Sea Level Portal</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Resolution</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Coastal grid cells &lt;1km</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Whether the project parcel will be below projected sea level within a 10–30 year loan/grant term</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1.4 — Soil &amp; Groundwater Contamination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Registered contaminated sites, brownfield registries, industrial discharge records, landfill locations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Point data (lat/long) with contamination type and severity, or polygon boundaries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environment agencies (NEPA-Jamaica, EMA-Trinidad), EPA equivalents, PAHO environmental health reports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Priority</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Tier 1 and Tier 2 countries first</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Number and type of contamination sources within 500m, 1km, and 5km of the project parcel</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1.5 — Hurricane Track &amp; Wind Speed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Historical hurricane/tropical storm tracks with maximum sustained wind speeds, 1950–present</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Vector lines with attributes (category, wind speed, date) or gridded wind speed fields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NOAA IBTrACS, CCRIF parametric event data, HURDAT2</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Full Caribbean basin</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Count of Category 3+ storms within 100km of project site over last 30 years; maximum recorded wind speed</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1.6 — Watershed &amp; Drainage Basin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Watershed boundaries, river networks, drainage basin delineations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polygons (watersheds) + polylines (rivers/streams)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water authorities, FAO AQUASTAT, HydroSHEDS, HydroBASINS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Which watershed the project sits in, upstream land use, runoff/contamination exposure pathway</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60"/>
      </w:pPr>
      <w:r>
        <w:t xml:space="preserve"/>
      </w:r>
    </w:p>
    <w:p>
      <w:pPr>
        <w:pStyle w:val="Heading2"/>
        <w:spacing w:after="80" w:before="240"/>
      </w:pPr>
      <w:r>
        <w:rPr>
          <w:rFonts w:ascii="Arial" w:cs="Arial" w:eastAsia="Arial" w:hAnsi="Arial"/>
          <w:b/>
          <w:bCs/>
          <w:color w:val="1A7A6E"/>
          <w:sz w:val="26"/>
          <w:szCs w:val="26"/>
        </w:rPr>
        <w:t xml:space="preserve">4.2  Infrastructure Risk Layers</w:t>
      </w:r>
    </w:p>
    <w:p>
      <w:pPr>
        <w:pStyle w:val="Heading3"/>
        <w:spacing w:after="60" w:before="200"/>
      </w:pPr>
      <w:r>
        <w:rPr>
          <w:rFonts w:ascii="Arial" w:cs="Arial" w:eastAsia="Arial" w:hAnsi="Arial"/>
          <w:b/>
          <w:bCs/>
          <w:color w:val="555555"/>
          <w:sz w:val="22"/>
          <w:szCs w:val="22"/>
        </w:rPr>
        <w:t xml:space="preserve">Layer 2.1 — Water Stress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Water stress, depletion, and seasonal variability scores by watershed or administrative area</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Tabular or GIS polygons with scores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WRI Aqueduct Water Risk Atlas, national water commissions, FAO AQUASTAT</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Water stress score (0–5 scale) for the watershed containing the project parcel</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2.2 — Utility Infrastructure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Water supply, power grid, and sewerage/wastewater network coverage areas and line routes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polygons (service areas) or polylines (networks)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NWC Jamaica, WASA Trinidad, JPS, T&amp;TEC, municipal sewer authorities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Priority</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Tier 1 first; Tier 2–3 as available</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Distance to nearest water main, power line, sewer connection; whether parcel is within serviced area</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2.3 — Road Network &amp; Access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Road network with classification (highway, primary, secondary, unpaved) and known flood-prone segments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polylines with attributes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OpenStreetMap, national works/transport agencies, post-disaster road damage reports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Road access quality to the project site; count of flood-vulnerable segments on primary access route</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2.4 — Geotechnical / Soil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Soil type, bearing capacity, liquefaction susceptibility, landslide hazard zones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polygons or raster</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geological surveys, Mines &amp; Geology Division (Jamaica), SoilGrids (global 250m)</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Priority</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Tier 1 countries; proxy (SoilGrids) for Tiers 2–3</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Soil classification and geotechnical risk category at the project parcel</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2.5 — Power Grid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Average outage frequency (SAIFI) and duration (SAIDI) by service district</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Tabular data by grid district or parish</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power utilities, CARILEC, utility annual reports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Expected annual outage hours at the project location's grid district</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60"/>
      </w:pPr>
      <w:r>
        <w:t xml:space="preserve"/>
      </w:r>
    </w:p>
    <w:p>
      <w:r>
        <w:br w:type="page"/>
      </w:r>
    </w:p>
    <w:p>
      <w:pPr>
        <w:pStyle w:val="Heading2"/>
        <w:spacing w:after="80" w:before="240"/>
      </w:pPr>
      <w:r>
        <w:rPr>
          <w:rFonts w:ascii="Arial" w:cs="Arial" w:eastAsia="Arial" w:hAnsi="Arial"/>
          <w:b/>
          <w:bCs/>
          <w:color w:val="1A7A6E"/>
          <w:sz w:val="26"/>
          <w:szCs w:val="26"/>
        </w:rPr>
        <w:t xml:space="preserve">4.3  Human Exposure Risk Layers</w:t>
      </w:r>
    </w:p>
    <w:p>
      <w:pPr>
        <w:pStyle w:val="Heading3"/>
        <w:spacing w:after="60" w:before="200"/>
      </w:pPr>
      <w:r>
        <w:rPr>
          <w:rFonts w:ascii="Arial" w:cs="Arial" w:eastAsia="Arial" w:hAnsi="Arial"/>
          <w:b/>
          <w:bCs/>
          <w:color w:val="555555"/>
          <w:sz w:val="22"/>
          <w:szCs w:val="22"/>
        </w:rPr>
        <w:t xml:space="preserve">Layer 3.1 — Population Density Grids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Gridded population estimates at fine resolution</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GeoTIFF raster at 100m or 1km</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WorldPop (100m, free), STATIN Jamaica, CSO Trinidad, Meta High Resolution Population Density Maps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Population count within 500m, 1km, and 5km of the project parcel</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3.2 — Sensitive Receptor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Schools, hospitals, clinics, markets, churches, daycare, elderly care facilities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Point data (lat/long) with type classification</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OpenStreetMap, Google Places API, national education/health ministry registries, Healthsites.io</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Count and type of sensitive receptors within 500m and 1km of the project parcel</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3.3 — Health Burden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Rates of waterborne disease (cholera, typhoid, leptospirosis, dengue), respiratory illness, environmental health indicators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Tabular data by parish/district/country</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PAHO Health Information Platform, national Ministries of Health, WHO GHO, CARPHA</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Baseline health vulnerability index for the project district</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3.4 — Informal Settlement / Housing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Locations and boundaries of informal settlements; housing quality assessments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polygons or classified satellite imagery</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UN-Habitat, national housing agencies, World Bank urban assessments, Google Open Buildings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Priority</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Haiti, Jamaica, Trinidad, Dominican Republic, Guyana</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Proximity of informal/vulnerable housing to the project site; displacement risk flag</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3.5 — Employment &amp; Livelihood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Employment by sector (agriculture, fishing, tourism); livelihood dependency maps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Tabular data by parish/district</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census/labour force surveys, FAO, World Bank development indicators, CDB country assessments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Economic disruption potential — livelihoods potentially affected by the project or by environmental events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60"/>
      </w:pPr>
      <w:r>
        <w:t xml:space="preserve"/>
      </w:r>
    </w:p>
    <w:p>
      <w:pPr>
        <w:pStyle w:val="Heading2"/>
        <w:spacing w:after="80" w:before="240"/>
      </w:pPr>
      <w:r>
        <w:rPr>
          <w:rFonts w:ascii="Arial" w:cs="Arial" w:eastAsia="Arial" w:hAnsi="Arial"/>
          <w:b/>
          <w:bCs/>
          <w:color w:val="1A7A6E"/>
          <w:sz w:val="26"/>
          <w:szCs w:val="26"/>
        </w:rPr>
        <w:t xml:space="preserve">4.4  Regulatory Risk Layers</w:t>
      </w:r>
    </w:p>
    <w:p>
      <w:pPr>
        <w:pStyle w:val="Heading3"/>
        <w:spacing w:after="60" w:before="200"/>
      </w:pPr>
      <w:r>
        <w:rPr>
          <w:rFonts w:ascii="Arial" w:cs="Arial" w:eastAsia="Arial" w:hAnsi="Arial"/>
          <w:b/>
          <w:bCs/>
          <w:color w:val="555555"/>
          <w:sz w:val="22"/>
          <w:szCs w:val="22"/>
        </w:rPr>
        <w:t xml:space="preserve">Layer 4.1 — Protected Area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parks, forest reserves, marine protected areas, wetlands, Ramsar sites, UNESCO WHC buffer zones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polygons with protection category</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WDPA (protectedplanet.net), national forestry/environment agencies, Ramsar Sites Information Service, UNESCO WHC</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Whether project parcel is within, adjacent to (&lt;1km), or near (&lt;5km) a protected area; protection category</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4.2 — Zoning &amp; Land Use Designations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Official land use zoning maps (residential, commercial, industrial, agricultural, conservation)</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GIS polygons with zoning classification</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Land Agency (Jamaica), Town &amp; Country Planning authorities, parish/municipal councils, development order maps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Priority</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Tier 1 first; Tier 2–3 as available</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Current zoning designation at the project parcel; whether the project type is a permitted use</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4.3 — EIA Requirement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Which project types and sizes require full EIA, screening, or exemption by location</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Tabular/structured: project type x size x location → EIA requirement level</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environmental protection laws, NEPA prescribed activities list (Jamaica), EMA rules (Trinidad), equivalent legislation per country</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Whether a given project at a given location triggers full EIA, limited screening, or is exempt</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4.4 — Permit Processing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Historical permit approval timelines by project type and parish/district</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Tabular: average / median / 90th-percentile processing days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Planning authority annual reports, developer surveys, World Bank Doing Business (construction permits), transparency portals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Priority</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Tier 1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Expected permitting delay in months for the project type at the project location</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00"/>
      </w:pPr>
      <w:r>
        <w:t xml:space="preserve"/>
      </w:r>
    </w:p>
    <w:p>
      <w:pPr>
        <w:pStyle w:val="Heading3"/>
        <w:spacing w:after="60" w:before="200"/>
      </w:pPr>
      <w:r>
        <w:rPr>
          <w:rFonts w:ascii="Arial" w:cs="Arial" w:eastAsia="Arial" w:hAnsi="Arial"/>
          <w:b/>
          <w:bCs/>
          <w:color w:val="555555"/>
          <w:sz w:val="22"/>
          <w:szCs w:val="22"/>
        </w:rPr>
        <w:t xml:space="preserve">Layer 4.5 — Cultural Heritage &amp; Indigenous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Attribute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0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236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Primary Sources</w:t>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What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Cultural heritage sites, archaeological sites, indigenous territories</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Point data or GIS polygons</w:t>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heritage trusts, Jamaica National Heritage Trust, UNESCO World Heritage List, national museums/archaeology departments</w:t>
            </w:r>
          </w:p>
        </w:tc>
      </w:tr>
      <w:tr>
        <w:tc>
          <w:tcPr>
            <w:tcW w:type="dxa" w:w="22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Coverage</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All 14 countries</w:t>
            </w:r>
          </w:p>
        </w:tc>
        <w:tc>
          <w:tcPr>
            <w:tcW w:type="dxa" w:w="20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
            </w:r>
          </w:p>
        </w:tc>
      </w:tr>
      <w:tr>
        <w:tc>
          <w:tcPr>
            <w:tcW w:type="dxa" w:w="22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 extract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Proximity of project parcel to heritage/cultural sites; additional assessment requirements triggered</w:t>
            </w:r>
          </w:p>
        </w:tc>
        <w:tc>
          <w:tcPr>
            <w:tcW w:type="dxa" w:w="20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c>
          <w:tcPr>
            <w:tcW w:type="dxa" w:w="236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
            </w:r>
          </w:p>
        </w:tc>
      </w:tr>
    </w:tbl>
    <w:p>
      <w:pPr>
        <w:spacing w:after="0" w:before="120"/>
      </w:pPr>
      <w:r>
        <w:t xml:space="preserve"/>
      </w:r>
    </w:p>
    <w:p>
      <w:r>
        <w:br w:type="page"/>
      </w:r>
    </w:p>
    <w:p>
      <w:pPr>
        <w:pStyle w:val="Heading1"/>
        <w:pBdr>
          <w:bottom w:val="single" w:color="2A7A4A" w:sz="8" w:space="4"/>
        </w:pBdr>
        <w:spacing w:after="120" w:before="320"/>
      </w:pPr>
      <w:r>
        <w:rPr>
          <w:rFonts w:ascii="Arial" w:cs="Arial" w:eastAsia="Arial" w:hAnsi="Arial"/>
          <w:b/>
          <w:bCs/>
          <w:color w:val="1B6B3A"/>
          <w:sz w:val="32"/>
          <w:szCs w:val="32"/>
        </w:rPr>
        <w:t xml:space="preserve">5. Free / Open Data Sources (Start Here)</w:t>
      </w:r>
    </w:p>
    <w:p>
      <w:pPr>
        <w:spacing w:after="80" w:before="60"/>
      </w:pPr>
      <w:r>
        <w:rPr>
          <w:rFonts w:ascii="Arial" w:cs="Arial" w:eastAsia="Arial" w:hAnsi="Arial"/>
          <w:color w:val="1A1A1A"/>
          <w:sz w:val="22"/>
          <w:szCs w:val="22"/>
        </w:rPr>
        <w:t xml:space="preserve">These ten sources are available immediately at no cost and should be exhausted before approaching regional or national portals. Collectively they cover the majority of environmental, population, watershed, and protected area layers for all 14 countries.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Layers Covered</w:t>
            </w:r>
          </w:p>
        </w:tc>
        <w:tc>
          <w:tcPr>
            <w:tcW w:type="dxa" w:w="38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 Aqueduct</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 stress index</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aqueduct.wri.org</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WDPA</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Protected area boundaries</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protectedplanet.net</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WorldPop</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Population density grids (100m)</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worldpop.org</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OpenStreetMap</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Roads, buildings, sensitive receptors</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openstreetmap.org</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NOAA IBTrACS</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Hurricane tracks &amp; wind speeds</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ncdc.noaa.gov/ibtracs</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HydroSHEDS / HydroBASINS</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Watershed &amp; drainage basin boundaries</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hydrosheds.org</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SoilGrids</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Soil classification (250m global)</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soilgrids.org</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SRTM</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Digital elevation model (30m)</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earthdata.nasa.gov</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Climate Central</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Coastal flood &amp; sea level rise screening</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coastal.climatecentral.org</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Google Open Buildings</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Building footprints &amp; informal settlements</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sites.research.google/open-buildings</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6. File Organisation</w:t>
      </w:r>
    </w:p>
    <w:p>
      <w:pPr>
        <w:spacing w:after="80" w:before="60"/>
      </w:pPr>
      <w:r>
        <w:rPr>
          <w:rFonts w:ascii="Arial" w:cs="Arial" w:eastAsia="Arial" w:hAnsi="Arial"/>
          <w:color w:val="1A1A1A"/>
          <w:sz w:val="22"/>
          <w:szCs w:val="22"/>
        </w:rPr>
        <w:t xml:space="preserve">Apply this folder structure for every country without exception. Consistent organisation is required for the automated data ingestion pipeline that will consume these deliverables.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1"/>
              <w:left w:val="single" w:color="1B6B3A" w:sz="1"/>
              <w:bottom w:val="single" w:color="1B6B3A" w:sz="1"/>
              <w:right w:val="single" w:color="1B6B3A" w:sz="1"/>
            </w:tcBorders>
            <w:shd w:fill="D6EAD8" w:val="clear"/>
            <w:tcMar>
              <w:top w:type="dxa" w:w="120"/>
              <w:left w:type="dxa" w:w="180"/>
              <w:bottom w:type="dxa" w:w="120"/>
              <w:right w:type="dxa" w:w="180"/>
            </w:tcMar>
          </w:tcPr>
          <w:p>
            <w:pPr>
              <w:spacing w:after="30" w:before="30"/>
            </w:pPr>
            <w:r>
              <w:rPr>
                <w:rFonts w:ascii="Arial" w:cs="Arial" w:eastAsia="Arial" w:hAnsi="Arial"/>
                <w:color w:val="1A1A1A"/>
                <w:sz w:val="20"/>
                <w:szCs w:val="20"/>
              </w:rPr>
              <w:t xml:space="preserve">**Rule</w:t>
            </w:r>
          </w:p>
          <w:p>
            <w:pPr>
              <w:spacing w:after="30" w:before="30"/>
            </w:pPr>
            <w:r>
              <w:rPr>
                <w:rFonts w:ascii="Arial" w:cs="Arial" w:eastAsia="Arial" w:hAnsi="Arial"/>
                <w:color w:val="1A1A1A"/>
                <w:sz w:val="20"/>
                <w:szCs w:val="20"/>
              </w:rPr>
              <w:t xml:space="preserve">For each country, create a folder named with the ISO 3166-1 alpha-2 country code (e.g. JM for Jamaica). Inside, create three sub-folders: /raw_data (all downloaded files exactly as received), /derived_metadata (clipped layers, reprojected files, quality notes), and a country-level inventory spreadsheet named [CODE]_data_inventory.xlsx.</w:t>
            </w:r>
          </w:p>
        </w:tc>
      </w:tr>
    </w:tbl>
    <w:p>
      <w:pPr>
        <w:spacing w:after="0" w:before="80"/>
      </w:pPr>
      <w:r>
        <w:t xml:space="preserve"/>
      </w:r>
    </w:p>
    <w:p>
      <w:pPr>
        <w:pStyle w:val="Heading2"/>
        <w:spacing w:after="80" w:before="240"/>
      </w:pPr>
      <w:r>
        <w:rPr>
          <w:rFonts w:ascii="Arial" w:cs="Arial" w:eastAsia="Arial" w:hAnsi="Arial"/>
          <w:b/>
          <w:bCs/>
          <w:color w:val="1A7A6E"/>
          <w:sz w:val="26"/>
          <w:szCs w:val="26"/>
        </w:rPr>
        <w:t xml:space="preserve">Top-Level Structure</w:t>
      </w:r>
    </w:p>
    <w:p>
      <w:pPr>
        <w:spacing w:after="80" w:before="60"/>
      </w:pPr>
      <w:r>
        <w:rPr>
          <w:rFonts w:ascii="Arial" w:cs="Arial" w:eastAsia="Arial" w:hAnsi="Arial"/>
          <w:color w:val="1A1A1A"/>
          <w:sz w:val="22"/>
          <w:szCs w:val="22"/>
        </w:rPr>
        <w:t xml:space="preserve">caribbean_geodata/</w:t>
      </w:r>
    </w:p>
    <w:p>
      <w:pPr>
        <w:pStyle w:val="ListParagraph"/>
        <w:numPr>
          <w:ilvl w:val="0"/>
          <w:numId w:val="2"/>
        </w:numPr>
        <w:spacing w:after="40" w:before="40"/>
      </w:pPr>
      <w:r>
        <w:rPr>
          <w:rFonts w:ascii="Arial" w:cs="Arial" w:eastAsia="Arial" w:hAnsi="Arial"/>
          <w:color w:val="1A1A1A"/>
          <w:sz w:val="22"/>
          <w:szCs w:val="22"/>
        </w:rPr>
        <w:t xml:space="preserve">JM/</w:t>
      </w:r>
    </w:p>
    <w:p>
      <w:pPr>
        <w:pStyle w:val="ListParagraph"/>
        <w:numPr>
          <w:ilvl w:val="1"/>
          <w:numId w:val="2"/>
        </w:numPr>
        <w:spacing w:after="40" w:before="40"/>
      </w:pPr>
      <w:r>
        <w:rPr>
          <w:rFonts w:ascii="Arial" w:cs="Arial" w:eastAsia="Arial" w:hAnsi="Arial"/>
          <w:color w:val="1A1A1A"/>
          <w:sz w:val="22"/>
          <w:szCs w:val="22"/>
        </w:rPr>
        <w:t xml:space="preserve">raw_data/          ← All downloaded files, untouched, as received</w:t>
      </w:r>
    </w:p>
    <w:p>
      <w:pPr>
        <w:pStyle w:val="ListParagraph"/>
        <w:numPr>
          <w:ilvl w:val="1"/>
          <w:numId w:val="2"/>
        </w:numPr>
        <w:spacing w:after="40" w:before="40"/>
      </w:pPr>
      <w:r>
        <w:rPr>
          <w:rFonts w:ascii="Arial" w:cs="Arial" w:eastAsia="Arial" w:hAnsi="Arial"/>
          <w:color w:val="1A1A1A"/>
          <w:sz w:val="22"/>
          <w:szCs w:val="22"/>
        </w:rPr>
        <w:t xml:space="preserve">derived_metadata/  ← Clipped layers, CRS-reprojected files, quality notes</w:t>
      </w:r>
    </w:p>
    <w:p>
      <w:pPr>
        <w:pStyle w:val="ListParagraph"/>
        <w:numPr>
          <w:ilvl w:val="1"/>
          <w:numId w:val="2"/>
        </w:numPr>
        <w:spacing w:after="40" w:before="40"/>
      </w:pPr>
      <w:r>
        <w:rPr>
          <w:rFonts w:ascii="Arial" w:cs="Arial" w:eastAsia="Arial" w:hAnsi="Arial"/>
          <w:color w:val="1A1A1A"/>
          <w:sz w:val="22"/>
          <w:szCs w:val="22"/>
        </w:rPr>
        <w:t xml:space="preserve">JM_data_inventory.xlsx</w:t>
      </w:r>
    </w:p>
    <w:p>
      <w:pPr>
        <w:pStyle w:val="ListParagraph"/>
        <w:numPr>
          <w:ilvl w:val="0"/>
          <w:numId w:val="2"/>
        </w:numPr>
        <w:spacing w:after="40" w:before="40"/>
      </w:pPr>
      <w:r>
        <w:rPr>
          <w:rFonts w:ascii="Arial" w:cs="Arial" w:eastAsia="Arial" w:hAnsi="Arial"/>
          <w:color w:val="1A1A1A"/>
          <w:sz w:val="22"/>
          <w:szCs w:val="22"/>
        </w:rPr>
        <w:t xml:space="preserve">TT/</w:t>
      </w:r>
    </w:p>
    <w:p>
      <w:pPr>
        <w:pStyle w:val="ListParagraph"/>
        <w:numPr>
          <w:ilvl w:val="1"/>
          <w:numId w:val="2"/>
        </w:numPr>
        <w:spacing w:after="40" w:before="40"/>
      </w:pPr>
      <w:r>
        <w:rPr>
          <w:rFonts w:ascii="Arial" w:cs="Arial" w:eastAsia="Arial" w:hAnsi="Arial"/>
          <w:color w:val="1A1A1A"/>
          <w:sz w:val="22"/>
          <w:szCs w:val="22"/>
        </w:rPr>
        <w:t xml:space="preserve">raw_data/</w:t>
      </w:r>
    </w:p>
    <w:p>
      <w:pPr>
        <w:pStyle w:val="ListParagraph"/>
        <w:numPr>
          <w:ilvl w:val="1"/>
          <w:numId w:val="2"/>
        </w:numPr>
        <w:spacing w:after="40" w:before="40"/>
      </w:pPr>
      <w:r>
        <w:rPr>
          <w:rFonts w:ascii="Arial" w:cs="Arial" w:eastAsia="Arial" w:hAnsi="Arial"/>
          <w:color w:val="1A1A1A"/>
          <w:sz w:val="22"/>
          <w:szCs w:val="22"/>
        </w:rPr>
        <w:t xml:space="preserve">derived_metadata/</w:t>
      </w:r>
    </w:p>
    <w:p>
      <w:pPr>
        <w:pStyle w:val="ListParagraph"/>
        <w:numPr>
          <w:ilvl w:val="1"/>
          <w:numId w:val="2"/>
        </w:numPr>
        <w:spacing w:after="40" w:before="40"/>
      </w:pPr>
      <w:r>
        <w:rPr>
          <w:rFonts w:ascii="Arial" w:cs="Arial" w:eastAsia="Arial" w:hAnsi="Arial"/>
          <w:color w:val="1A1A1A"/>
          <w:sz w:val="22"/>
          <w:szCs w:val="22"/>
        </w:rPr>
        <w:t xml:space="preserve">TT_data_inventory.xlsx</w:t>
      </w:r>
    </w:p>
    <w:p>
      <w:pPr>
        <w:pStyle w:val="ListParagraph"/>
        <w:numPr>
          <w:ilvl w:val="0"/>
          <w:numId w:val="2"/>
        </w:numPr>
        <w:spacing w:after="40" w:before="40"/>
      </w:pPr>
      <w:r>
        <w:rPr>
          <w:rFonts w:ascii="Arial" w:cs="Arial" w:eastAsia="Arial" w:hAnsi="Arial"/>
          <w:color w:val="1A1A1A"/>
          <w:sz w:val="22"/>
          <w:szCs w:val="22"/>
        </w:rPr>
        <w:t xml:space="preserve">[and so on for all 14 country codes]</w:t>
      </w:r>
    </w:p>
    <w:p>
      <w:pPr>
        <w:pStyle w:val="ListParagraph"/>
        <w:numPr>
          <w:ilvl w:val="0"/>
          <w:numId w:val="2"/>
        </w:numPr>
        <w:spacing w:after="40" w:before="40"/>
      </w:pPr>
      <w:r>
        <w:rPr>
          <w:rFonts w:ascii="Arial" w:cs="Arial" w:eastAsia="Arial" w:hAnsi="Arial"/>
          <w:color w:val="1A1A1A"/>
          <w:sz w:val="22"/>
          <w:szCs w:val="22"/>
        </w:rPr>
        <w:t xml:space="preserve">00_REGIONAL/       ← Basin-wide or multi-country datasets stored once here</w:t>
      </w:r>
    </w:p>
    <w:p>
      <w:pPr>
        <w:pStyle w:val="ListParagraph"/>
        <w:numPr>
          <w:ilvl w:val="1"/>
          <w:numId w:val="2"/>
        </w:numPr>
        <w:spacing w:after="40" w:before="40"/>
      </w:pPr>
      <w:r>
        <w:rPr>
          <w:rFonts w:ascii="Arial" w:cs="Arial" w:eastAsia="Arial" w:hAnsi="Arial"/>
          <w:color w:val="1A1A1A"/>
          <w:sz w:val="22"/>
          <w:szCs w:val="22"/>
        </w:rPr>
        <w:t xml:space="preserve">00_REGIONAL/raw_data/</w:t>
      </w:r>
    </w:p>
    <w:p>
      <w:pPr>
        <w:pStyle w:val="ListParagraph"/>
        <w:numPr>
          <w:ilvl w:val="1"/>
          <w:numId w:val="2"/>
        </w:numPr>
        <w:spacing w:after="40" w:before="40"/>
      </w:pPr>
      <w:r>
        <w:rPr>
          <w:rFonts w:ascii="Arial" w:cs="Arial" w:eastAsia="Arial" w:hAnsi="Arial"/>
          <w:color w:val="1A1A1A"/>
          <w:sz w:val="22"/>
          <w:szCs w:val="22"/>
        </w:rPr>
        <w:t xml:space="preserve">00_REGIONAL/derived_metadata/</w:t>
      </w:r>
    </w:p>
    <w:p>
      <w:pPr>
        <w:spacing w:after="0" w:before="80"/>
      </w:pPr>
      <w:r>
        <w:t xml:space="preserve"/>
      </w:r>
    </w:p>
    <w:p>
      <w:pPr>
        <w:pStyle w:val="Heading2"/>
        <w:spacing w:after="80" w:before="240"/>
      </w:pPr>
      <w:r>
        <w:rPr>
          <w:rFonts w:ascii="Arial" w:cs="Arial" w:eastAsia="Arial" w:hAnsi="Arial"/>
          <w:b/>
          <w:bCs/>
          <w:color w:val="1A7A6E"/>
          <w:sz w:val="26"/>
          <w:szCs w:val="26"/>
        </w:rPr>
        <w:t xml:space="preserve">Country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2800"/>
        <w:gridCol w:w="1880"/>
      </w:tblGrid>
      <w:tr>
        <w:trPr>
          <w:tblHeader/>
        </w:trPr>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Country</w:t>
            </w:r>
          </w:p>
        </w:tc>
        <w:tc>
          <w:tcPr>
            <w:tcW w:type="dxa" w:w="188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2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Country</w:t>
            </w:r>
          </w:p>
        </w:tc>
        <w:tc>
          <w:tcPr>
            <w:tcW w:type="dxa" w:w="188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Code</w:t>
            </w:r>
          </w:p>
        </w:tc>
      </w:tr>
      <w:tr>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Jamaica</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JM</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Dominican Republic</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DO</w:t>
            </w:r>
          </w:p>
        </w:tc>
      </w:tr>
      <w:tr>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Trinidad &amp; Tobago</w:t>
            </w:r>
          </w:p>
        </w:tc>
        <w:tc>
          <w:tcPr>
            <w:tcW w:type="dxa" w:w="1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TT</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Guyana</w:t>
            </w:r>
          </w:p>
        </w:tc>
        <w:tc>
          <w:tcPr>
            <w:tcW w:type="dxa" w:w="1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GY</w:t>
            </w:r>
          </w:p>
        </w:tc>
      </w:tr>
      <w:tr>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Barbados</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BB</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Belize</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BZ</w:t>
            </w:r>
          </w:p>
        </w:tc>
      </w:tr>
      <w:tr>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Bahamas</w:t>
            </w:r>
          </w:p>
        </w:tc>
        <w:tc>
          <w:tcPr>
            <w:tcW w:type="dxa" w:w="1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BS</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Antigua &amp; Barbuda</w:t>
            </w:r>
          </w:p>
        </w:tc>
        <w:tc>
          <w:tcPr>
            <w:tcW w:type="dxa" w:w="1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AG</w:t>
            </w:r>
          </w:p>
        </w:tc>
      </w:tr>
      <w:tr>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Haiti</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HT</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 Lucia</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LC</w:t>
            </w:r>
          </w:p>
        </w:tc>
      </w:tr>
      <w:tr>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Suriname</w:t>
            </w:r>
          </w:p>
        </w:tc>
        <w:tc>
          <w:tcPr>
            <w:tcW w:type="dxa" w:w="1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SR</w:t>
            </w:r>
          </w:p>
        </w:tc>
        <w:tc>
          <w:tcPr>
            <w:tcW w:type="dxa" w:w="2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Grenada</w:t>
            </w:r>
          </w:p>
        </w:tc>
        <w:tc>
          <w:tcPr>
            <w:tcW w:type="dxa" w:w="1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GD</w:t>
            </w:r>
          </w:p>
        </w:tc>
      </w:tr>
      <w:tr>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 Vincent &amp; the Grenadines</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VC</w:t>
            </w:r>
          </w:p>
        </w:tc>
        <w:tc>
          <w:tcPr>
            <w:tcW w:type="dxa" w:w="2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Dominica</w:t>
            </w:r>
          </w:p>
        </w:tc>
        <w:tc>
          <w:tcPr>
            <w:tcW w:type="dxa" w:w="1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DM</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7. Inventory Spreadsheet Specification</w:t>
      </w:r>
    </w:p>
    <w:p>
      <w:pPr>
        <w:spacing w:after="80" w:before="60"/>
      </w:pPr>
      <w:r>
        <w:rPr>
          <w:rFonts w:ascii="Arial" w:cs="Arial" w:eastAsia="Arial" w:hAnsi="Arial"/>
          <w:color w:val="1A1A1A"/>
          <w:sz w:val="22"/>
          <w:szCs w:val="22"/>
        </w:rPr>
        <w:t xml:space="preserve">One spreadsheet per country, saved as [CODE]_data_inventory.xlsx. Each row = one data layer. Required columns: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rPr>
          <w:tblHeader/>
        </w:trPr>
        <w:tc>
          <w:tcPr>
            <w:tcW w:type="dxa" w:w="1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8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180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80"/>
            <w:tcBorders>
              <w:top w:val="single" w:color="1B6B3A" w:sz="1"/>
              <w:left w:val="single" w:color="1B6B3A" w:sz="1"/>
              <w:bottom w:val="single" w:color="1B6B3A" w:sz="1"/>
              <w:right w:val="single" w:color="1B6B3A" w:sz="1"/>
            </w:tcBorders>
            <w:shd w:fill="1B6B3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Layer ID</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e.g. 1.1, 2.3, 4.5</w:t>
            </w:r>
          </w:p>
        </w:tc>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Format</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Shapefile / GeoTIFF / CSV / API</w:t>
            </w:r>
          </w:p>
        </w:tc>
      </w:tr>
      <w:tr>
        <w:tc>
          <w:tcPr>
            <w:tcW w:type="dxa" w:w="1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Layer Name</w:t>
            </w:r>
          </w:p>
        </w:tc>
        <w:tc>
          <w:tcPr>
            <w:tcW w:type="dxa" w:w="2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Full descriptive name</w:t>
            </w:r>
          </w:p>
        </w:tc>
        <w:tc>
          <w:tcPr>
            <w:tcW w:type="dxa" w:w="1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Resolution / Scale</w:t>
            </w:r>
          </w:p>
        </w:tc>
        <w:tc>
          <w:tcPr>
            <w:tcW w:type="dxa" w:w="2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e.g. 30m, 1:25,000</w:t>
            </w:r>
          </w:p>
        </w:tc>
      </w:tr>
      <w:tr>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Country</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ISO code</w:t>
            </w:r>
          </w:p>
        </w:tc>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Coverage Area</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National / Coastal / Parish</w:t>
            </w:r>
          </w:p>
        </w:tc>
      </w:tr>
      <w:tr>
        <w:tc>
          <w:tcPr>
            <w:tcW w:type="dxa" w:w="1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Source Name</w:t>
            </w:r>
          </w:p>
        </w:tc>
        <w:tc>
          <w:tcPr>
            <w:tcW w:type="dxa" w:w="2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Organisation name</w:t>
            </w:r>
          </w:p>
        </w:tc>
        <w:tc>
          <w:tcPr>
            <w:tcW w:type="dxa" w:w="1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Access Method</w:t>
            </w:r>
          </w:p>
        </w:tc>
        <w:tc>
          <w:tcPr>
            <w:tcW w:type="dxa" w:w="2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Public download / Request / Purchase</w:t>
            </w:r>
          </w:p>
        </w:tc>
      </w:tr>
      <w:tr>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Source URL</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Direct link or portal</w:t>
            </w:r>
          </w:p>
        </w:tc>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Cost</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Free / USD estimate</w:t>
            </w:r>
          </w:p>
        </w:tc>
      </w:tr>
      <w:tr>
        <w:tc>
          <w:tcPr>
            <w:tcW w:type="dxa" w:w="1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Date Downloaded</w:t>
            </w:r>
          </w:p>
        </w:tc>
        <w:tc>
          <w:tcPr>
            <w:tcW w:type="dxa" w:w="2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YYYY-MM-DD</w:t>
            </w:r>
          </w:p>
        </w:tc>
        <w:tc>
          <w:tcPr>
            <w:tcW w:type="dxa" w:w="180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Quality Assessment</w:t>
            </w:r>
          </w:p>
        </w:tc>
        <w:tc>
          <w:tcPr>
            <w:tcW w:type="dxa" w:w="2880"/>
            <w:tcBorders>
              <w:top w:val="single" w:color="AACFB0" w:sz="1"/>
              <w:left w:val="single" w:color="AACFB0" w:sz="1"/>
              <w:bottom w:val="single" w:color="AACFB0" w:sz="1"/>
              <w:right w:val="single" w:color="AACFB0" w:sz="1"/>
            </w:tcBorders>
            <w:shd w:fill="F2F8F3" w:val="clear"/>
            <w:tcMar>
              <w:top w:type="dxa" w:w="80"/>
              <w:left w:type="dxa" w:w="100"/>
              <w:bottom w:type="dxa" w:w="80"/>
              <w:right w:type="dxa" w:w="100"/>
            </w:tcMar>
          </w:tcPr>
          <w:p>
            <w:r>
              <w:rPr>
                <w:rFonts w:ascii="Arial" w:cs="Arial" w:eastAsia="Arial" w:hAnsi="Arial"/>
                <w:color w:val="1A1A1A"/>
                <w:sz w:val="19"/>
                <w:szCs w:val="19"/>
              </w:rPr>
              <w:t xml:space="preserve">Good / Partial / Proxy / Missing</w:t>
            </w:r>
          </w:p>
        </w:tc>
      </w:tr>
      <w:tr>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File Path</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Relative path in folder</w:t>
            </w:r>
          </w:p>
        </w:tc>
        <w:tc>
          <w:tcPr>
            <w:tcW w:type="dxa" w:w="180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Notes</w:t>
            </w:r>
          </w:p>
        </w:tc>
        <w:tc>
          <w:tcPr>
            <w:tcW w:type="dxa" w:w="2880"/>
            <w:tcBorders>
              <w:top w:val="single" w:color="AACFB0" w:sz="1"/>
              <w:left w:val="single" w:color="AACFB0" w:sz="1"/>
              <w:bottom w:val="single" w:color="AACFB0" w:sz="1"/>
              <w:right w:val="single" w:color="AACFB0"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Any caveats, gaps, or licence restrictions</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8. Deliverables</w:t>
      </w:r>
    </w:p>
    <w:p>
      <w:pPr>
        <w:spacing w:after="80" w:before="60"/>
      </w:pPr>
      <w:r>
        <w:rPr>
          <w:rFonts w:ascii="Arial" w:cs="Arial" w:eastAsia="Arial" w:hAnsi="Arial"/>
          <w:color w:val="1A1A1A"/>
          <w:sz w:val="22"/>
          <w:szCs w:val="22"/>
        </w:rPr>
        <w:t xml:space="preserve">The following five deliverables are required at completion of the assignment: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Data Inventory Spreadsheets (14)</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per country in the standard format specified in Section 7. Every layer must have an entry — either a completed record or a documented gap.</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2. Raw Data Files</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All downloaded shapefiles, rasters, CSVs, and any API access credentials. Stored in /raw_data folders exactly as received.</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Coverage Gap Report</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consolidated document listing every layer that could not be sourced for each country, with the recommended proxy alternative and rationale.</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4. Source Contact List</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Agency name, contact person, email address, and data request process for every layer that requires a formal request rather than public download.</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Licence / Usage Notes</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restrictions on data use, redistribution, or commercial application. Flag any layers that may not be usable in a commercial platform without a licence.</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9. Priority Order</w:t>
      </w:r>
    </w:p>
    <w:p>
      <w:pPr>
        <w:spacing w:after="80" w:before="60"/>
      </w:pPr>
      <w:r>
        <w:rPr>
          <w:rFonts w:ascii="Arial" w:cs="Arial" w:eastAsia="Arial" w:hAnsi="Arial"/>
          <w:color w:val="1A1A1A"/>
          <w:sz w:val="22"/>
          <w:szCs w:val="22"/>
        </w:rPr>
        <w:t xml:space="preserve">Complete countries in the following order. Jamaica should be fully completed first to prove the data pipeline before expanding to remaining countries.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Country / Group</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Immediate</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Jamaica (JM) — most projects, best data availability, prove the automated pipeline end-to-end</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Trinidad &amp; Tobago (TT) — second-largest Caribbean economy, strong environmental agency infrastructure</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Barbados (BB) and Bahamas (BS) — complete the Tier 1 set</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Dominican Republic (DO) and Guyana (GY) — large development pipelines, significant DFI activity</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Belize (BZ), Antigua &amp; Barbuda (AG), St. Lucia (LC) — active climate fund and OECS project pipeline</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6 — Final</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Haiti (HT), Suriname (SR), Grenada (GD), St. Vincent &amp; the Grenadines (VC), Dominica (DM) — Tier 3; satellite proxies and regional models fill data gaps</w:t>
            </w:r>
          </w:p>
        </w:tc>
      </w:tr>
    </w:tbl>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10. Quality Standards &amp; Proxy Rules</w:t>
      </w:r>
    </w:p>
    <w:p>
      <w:pPr>
        <w:spacing w:after="80" w:before="60"/>
      </w:pPr>
      <w:r>
        <w:rPr>
          <w:rFonts w:ascii="Arial" w:cs="Arial" w:eastAsia="Arial" w:hAnsi="Arial"/>
          <w:color w:val="1A1A1A"/>
          <w:sz w:val="22"/>
          <w:szCs w:val="22"/>
        </w:rPr>
        <w:t xml:space="preserve">Use the following quality ratings consistently in all inventory spreadsheets: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or high-resolution regional data sourced directly. Resolution meets or exceeds requirement. Licence permits commercial use.</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Data found but with limitations: spatial gaps, outdated vintage (&gt;5 years), or resolution below requirement. Document the limitation.</w:t>
            </w:r>
          </w:p>
        </w:tc>
      </w:tr>
      <w:tr>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Proxy</w:t>
            </w:r>
          </w:p>
        </w:tc>
        <w:tc>
          <w:tcPr>
            <w:tcW w:type="dxa" w:w="468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country-specific data found. A credible global or regional substitute is used. Proxy source, vintage, and resolution must be documented.</w:t>
            </w:r>
          </w:p>
        </w:tc>
      </w:tr>
      <w:tr>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Missing</w:t>
            </w:r>
          </w:p>
        </w:tc>
        <w:tc>
          <w:tcPr>
            <w:tcW w:type="dxa" w:w="468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No data and no credible proxy identified. Escalate to ESL project lead. Do not leave blank.</w:t>
            </w:r>
          </w:p>
        </w:tc>
      </w:tr>
    </w:tbl>
    <w:p>
      <w:pPr>
        <w:spacing w:after="0" w:before="80"/>
      </w:pPr>
      <w:r>
        <w:t xml:space="preserve"/>
      </w:r>
    </w:p>
    <w:p>
      <w:pPr>
        <w:spacing w:after="80" w:before="60"/>
      </w:pPr>
      <w:r>
        <w:rPr>
          <w:rFonts w:ascii="Arial" w:cs="Arial" w:eastAsia="Arial" w:hAnsi="Arial"/>
          <w:color w:val="1A1A1A"/>
          <w:sz w:val="22"/>
          <w:szCs w:val="22"/>
        </w:rPr>
        <w:t xml:space="preserve">Accepted proxy sources for Tier 3 countries:</w:t>
      </w:r>
    </w:p>
    <w:p>
      <w:pPr>
        <w:pStyle w:val="ListParagraph"/>
        <w:numPr>
          <w:ilvl w:val="0"/>
          <w:numId w:val="2"/>
        </w:numPr>
        <w:spacing w:after="40" w:before="40"/>
      </w:pPr>
      <w:r>
        <w:rPr>
          <w:rFonts w:ascii="Arial" w:cs="Arial" w:eastAsia="Arial" w:hAnsi="Arial"/>
          <w:color w:val="1A1A1A"/>
          <w:sz w:val="22"/>
          <w:szCs w:val="22"/>
        </w:rPr>
        <w:t xml:space="preserve">Flood hazard: FATHOM Global Flood Model or JRC Global Flood Map</w:t>
      </w:r>
    </w:p>
    <w:p>
      <w:pPr>
        <w:pStyle w:val="ListParagraph"/>
        <w:numPr>
          <w:ilvl w:val="0"/>
          <w:numId w:val="2"/>
        </w:numPr>
        <w:spacing w:after="40" w:before="40"/>
      </w:pPr>
      <w:r>
        <w:rPr>
          <w:rFonts w:ascii="Arial" w:cs="Arial" w:eastAsia="Arial" w:hAnsi="Arial"/>
          <w:color w:val="1A1A1A"/>
          <w:sz w:val="22"/>
          <w:szCs w:val="22"/>
        </w:rPr>
        <w:t xml:space="preserve">Contamination: PAHO/WHO regional reports + satellite-detected industrial activity (Google Earth Engine)</w:t>
      </w:r>
    </w:p>
    <w:p>
      <w:pPr>
        <w:pStyle w:val="ListParagraph"/>
        <w:numPr>
          <w:ilvl w:val="0"/>
          <w:numId w:val="2"/>
        </w:numPr>
        <w:spacing w:after="40" w:before="40"/>
      </w:pPr>
      <w:r>
        <w:rPr>
          <w:rFonts w:ascii="Arial" w:cs="Arial" w:eastAsia="Arial" w:hAnsi="Arial"/>
          <w:color w:val="1A1A1A"/>
          <w:sz w:val="22"/>
          <w:szCs w:val="22"/>
        </w:rPr>
        <w:t xml:space="preserve">Soil: SoilGrids 250m (mandatory fallback if national data unavailable)</w:t>
      </w:r>
    </w:p>
    <w:p>
      <w:pPr>
        <w:pStyle w:val="ListParagraph"/>
        <w:numPr>
          <w:ilvl w:val="0"/>
          <w:numId w:val="2"/>
        </w:numPr>
        <w:spacing w:after="40" w:before="40"/>
      </w:pPr>
      <w:r>
        <w:rPr>
          <w:rFonts w:ascii="Arial" w:cs="Arial" w:eastAsia="Arial" w:hAnsi="Arial"/>
          <w:color w:val="1A1A1A"/>
          <w:sz w:val="22"/>
          <w:szCs w:val="22"/>
        </w:rPr>
        <w:t xml:space="preserve">Zoning: Sentinel-2 land cover classification (ESA WorldCover 10m) as a proxy for land use</w:t>
      </w:r>
    </w:p>
    <w:p>
      <w:pPr>
        <w:pStyle w:val="ListParagraph"/>
        <w:numPr>
          <w:ilvl w:val="0"/>
          <w:numId w:val="2"/>
        </w:numPr>
        <w:spacing w:after="40" w:before="40"/>
      </w:pPr>
      <w:r>
        <w:rPr>
          <w:rFonts w:ascii="Arial" w:cs="Arial" w:eastAsia="Arial" w:hAnsi="Arial"/>
          <w:color w:val="1A1A1A"/>
          <w:sz w:val="22"/>
          <w:szCs w:val="22"/>
        </w:rPr>
        <w:t xml:space="preserve">Permits/timelines: World Bank Doing Business sub-indicators (construction permit processing days)</w:t>
      </w:r>
    </w:p>
    <w:p>
      <w:pPr>
        <w:spacing w:after="0" w:before="120"/>
      </w:pPr>
      <w:r>
        <w:t xml:space="preserve"/>
      </w:r>
    </w:p>
    <w:p>
      <w:pPr>
        <w:pStyle w:val="Heading1"/>
        <w:pBdr>
          <w:bottom w:val="single" w:color="2A7A4A" w:sz="8" w:space="4"/>
        </w:pBdr>
        <w:spacing w:after="120" w:before="320"/>
      </w:pPr>
      <w:r>
        <w:rPr>
          <w:rFonts w:ascii="Arial" w:cs="Arial" w:eastAsia="Arial" w:hAnsi="Arial"/>
          <w:b/>
          <w:bCs/>
          <w:color w:val="1B6B3A"/>
          <w:sz w:val="32"/>
          <w:szCs w:val="32"/>
        </w:rPr>
        <w:t xml:space="preserve">Appendix — Project Parcel Layer</w:t>
      </w:r>
    </w:p>
    <w:p>
      <w:pPr>
        <w:spacing w:after="80" w:before="60"/>
      </w:pPr>
      <w:r>
        <w:rPr>
          <w:rFonts w:ascii="Arial" w:cs="Arial" w:eastAsia="Arial" w:hAnsi="Arial"/>
          <w:color w:val="1A1A1A"/>
          <w:sz w:val="22"/>
          <w:szCs w:val="22"/>
        </w:rPr>
        <w:t xml:space="preserve">In addition to the 20 thematic layers, the platform requires the following project-site geometry components for each assessment. These are not part of this research assignment (they are generated per project at query time), but are documented here for completeness.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Source / Method</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coordinates</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Latitude/longitude of the project site</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input — address geocoding or map pin drop</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Parcel boundary</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Polygon shapefile of the actual project footprint</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National land agencies, title registries, surveyor data</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Buffer zones</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500m, 1km, 5km concentric rings around parcel centroid</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 from parcel centroid at query time</w:t>
            </w:r>
          </w:p>
        </w:tc>
      </w:tr>
      <w:tr>
        <w:tc>
          <w:tcPr>
            <w:tcW w:type="dxa" w:w="25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Elevation</w:t>
            </w:r>
          </w:p>
        </w:tc>
        <w:tc>
          <w:tcPr>
            <w:tcW w:type="dxa" w:w="300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Ground elevation at the site in metres</w:t>
            </w:r>
          </w:p>
        </w:tc>
        <w:tc>
          <w:tcPr>
            <w:tcW w:type="dxa" w:w="3860"/>
            <w:tcBorders>
              <w:top w:val="single" w:color="AACFB0" w:sz="1"/>
              <w:left w:val="single" w:color="AACFB0" w:sz="1"/>
              <w:bottom w:val="single" w:color="AACFB0" w:sz="1"/>
              <w:right w:val="single" w:color="AACFB0" w:sz="1"/>
            </w:tcBorders>
            <w:shd w:fill="F2F8F3" w:val="clear"/>
            <w:tcMar>
              <w:top w:type="dxa" w:w="80"/>
              <w:left w:type="dxa" w:w="120"/>
              <w:bottom w:type="dxa" w:w="80"/>
              <w:right w:type="dxa" w:w="120"/>
            </w:tcMar>
          </w:tcPr>
          <w:p>
            <w:r>
              <w:rPr>
                <w:rFonts w:ascii="Arial" w:cs="Arial" w:eastAsia="Arial" w:hAnsi="Arial"/>
                <w:color w:val="1A1A1A"/>
                <w:sz w:val="20"/>
                <w:szCs w:val="20"/>
              </w:rPr>
              <w:t xml:space="preserve">SRTM 30m DEM (free); national LiDAR where available</w:t>
            </w:r>
          </w:p>
        </w:tc>
      </w:tr>
      <w:tr>
        <w:tc>
          <w:tcPr>
            <w:tcW w:type="dxa" w:w="25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Slope &amp; aspect</w:t>
            </w:r>
          </w:p>
        </w:tc>
        <w:tc>
          <w:tcPr>
            <w:tcW w:type="dxa" w:w="300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Terrain slope (degrees) and facing direction</w:t>
            </w:r>
          </w:p>
        </w:tc>
        <w:tc>
          <w:tcPr>
            <w:tcW w:type="dxa" w:w="3860"/>
            <w:tcBorders>
              <w:top w:val="single" w:color="AACFB0" w:sz="1"/>
              <w:left w:val="single" w:color="AACFB0" w:sz="1"/>
              <w:bottom w:val="single" w:color="AACFB0" w:sz="1"/>
              <w:right w:val="single" w:color="AACFB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Derived from DEM at query time</w:t>
            </w:r>
          </w:p>
        </w:tc>
      </w:tr>
    </w:tbl>
    <w:p>
      <w:pPr>
        <w:spacing w:after="0" w:before="80"/>
      </w:pPr>
      <w:r>
        <w:t xml:space="preserve"/>
      </w:r>
    </w:p>
    <w:p>
      <w:pPr>
        <w:pStyle w:val="Heading2"/>
        <w:spacing w:after="80" w:before="240"/>
      </w:pPr>
      <w:r>
        <w:rPr>
          <w:rFonts w:ascii="Arial" w:cs="Arial" w:eastAsia="Arial" w:hAnsi="Arial"/>
          <w:b/>
          <w:bCs/>
          <w:color w:val="1A7A6E"/>
          <w:sz w:val="26"/>
          <w:szCs w:val="26"/>
        </w:rPr>
        <w:t xml:space="preserve">Geocoding Services for Caribbean Addresses</w:t>
      </w:r>
    </w:p>
    <w:p>
      <w:pPr>
        <w:spacing w:after="80" w:before="60"/>
      </w:pPr>
      <w:r>
        <w:rPr>
          <w:rFonts w:ascii="Arial" w:cs="Arial" w:eastAsia="Arial" w:hAnsi="Arial"/>
          <w:color w:val="1A1A1A"/>
          <w:sz w:val="22"/>
          <w:szCs w:val="22"/>
        </w:rPr>
        <w:t xml:space="preserve">Caribbean addresses are often informal (no standard postal codes in many countries). The platform will use the following fallback hierarchy:</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Google Maps Geocoding API — best coverage for Jamaica, Trinidad, Barbados, Bahamas</w:t>
      </w:r>
    </w:p>
    <w:p>
      <w:pPr>
        <w:pStyle w:val="ListParagraph"/>
        <w:numPr>
          <w:ilvl w:val="0"/>
          <w:numId w:val="3"/>
        </w:numPr>
        <w:spacing w:after="40" w:before="40"/>
      </w:pPr>
      <w:r>
        <w:rPr>
          <w:rFonts w:ascii="Arial" w:cs="Arial" w:eastAsia="Arial" w:hAnsi="Arial"/>
          <w:color w:val="1A1A1A"/>
          <w:sz w:val="22"/>
          <w:szCs w:val="22"/>
        </w:rPr>
        <w:t xml:space="preserve">OpenStreetMap Nominatim — free, reasonable coverage for Tier 1 countries</w:t>
      </w:r>
    </w:p>
    <w:p>
      <w:pPr>
        <w:pStyle w:val="ListParagraph"/>
        <w:numPr>
          <w:ilvl w:val="0"/>
          <w:numId w:val="3"/>
        </w:numPr>
        <w:spacing w:after="40" w:before="40"/>
      </w:pPr>
      <w:r>
        <w:rPr>
          <w:rFonts w:ascii="Arial" w:cs="Arial" w:eastAsia="Arial" w:hAnsi="Arial"/>
          <w:color w:val="1A1A1A"/>
          <w:sz w:val="22"/>
          <w:szCs w:val="22"/>
        </w:rPr>
        <w:t xml:space="preserve">What3Words — for locations without formal addresses</w:t>
      </w:r>
    </w:p>
    <w:p>
      <w:pPr>
        <w:pStyle w:val="ListParagraph"/>
        <w:numPr>
          <w:ilvl w:val="0"/>
          <w:numId w:val="3"/>
        </w:numPr>
        <w:spacing w:after="40" w:before="40"/>
      </w:pPr>
      <w:r>
        <w:rPr>
          <w:rFonts w:ascii="Arial" w:cs="Arial" w:eastAsia="Arial" w:hAnsi="Arial"/>
          <w:color w:val="1A1A1A"/>
          <w:sz w:val="22"/>
          <w:szCs w:val="22"/>
        </w:rPr>
        <w:t xml:space="preserve">Manual pin drop — fallback for rural or informal areas</w:t>
      </w:r>
    </w:p>
    <w:p>
      <w:pPr>
        <w:spacing w:after="0" w:before="200"/>
      </w:pPr>
      <w:r>
        <w:t xml:space="preserve"/>
      </w:r>
    </w:p>
    <w:p>
      <w:pPr>
        <w:pBdr>
          <w:top w:val="single" w:color="AACFB0" w:sz="4" w:space="8"/>
        </w:pBdr>
        <w:spacing w:after="40" w:before="80"/>
        <w:jc w:val="center"/>
      </w:pPr>
      <w:r>
        <w:rPr>
          <w:rFonts w:ascii="Arial" w:cs="Arial" w:eastAsia="Arial" w:hAnsi="Arial"/>
          <w:color w:val="888888"/>
          <w:sz w:val="18"/>
          <w:szCs w:val="18"/>
        </w:rPr>
        <w:t xml:space="preserve">End of Research Brief — Version 1.0 — March 2026</w:t>
      </w:r>
    </w:p>
    <w:p>
      <w:pPr>
        <w:jc w:val="center"/>
      </w:pPr>
      <w:r>
        <w:rPr>
          <w:rFonts w:ascii="Arial" w:cs="Arial" w:eastAsia="Arial" w:hAnsi="Arial"/>
          <w:color w:val="888888"/>
          <w:sz w:val="18"/>
          <w:szCs w:val="18"/>
        </w:rPr>
        <w:t xml:space="preserve">Environmental Solutions Limited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A4A" w:sz="4" w:space="4"/>
      </w:pBdr>
      <w:tabs>
        <w:tab w:val="right" w:pos="9026"/>
      </w:tabs>
      <w:spacing w:before="80"/>
    </w:pPr>
    <w:r>
      <w:rPr>
        <w:rFonts w:ascii="Arial" w:cs="Arial" w:eastAsia="Arial" w:hAnsi="Arial"/>
        <w:color w:val="888888"/>
        <w:sz w:val="17"/>
        <w:szCs w:val="17"/>
      </w:rPr>
      <w:t xml:space="preserve">CONFIDENTIAL — ESL Internal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4A" w:sz="6" w:space="4"/>
      </w:pBdr>
      <w:tabs>
        <w:tab w:val="right" w:pos="9026"/>
      </w:tabs>
      <w:spacing w:after="80"/>
    </w:pPr>
    <w:r>
      <w:rPr>
        <w:rFonts w:ascii="Arial" w:cs="Arial" w:eastAsia="Arial" w:hAnsi="Arial"/>
        <w:b/>
        <w:bCs/>
        <w:color w:val="1B6B3A"/>
        <w:sz w:val="18"/>
        <w:szCs w:val="18"/>
      </w:rPr>
      <w:t xml:space="preserve">ESL Environmental Intelligence Platform</w:t>
    </w:r>
    <w:r>
      <w:rPr>
        <w:rFonts w:ascii="Arial" w:cs="Arial" w:eastAsia="Arial" w:hAnsi="Arial"/>
        <w:color w:val="555555"/>
        <w:sz w:val="18"/>
        <w:szCs w:val="18"/>
      </w:rPr>
      <w:t xml:space="preserve">	Geospatial Data Research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B3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A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2026-03-26T22:31:49.941Z</dcterms:created>
  <dcterms:modified xsi:type="dcterms:W3CDTF">2026-03-26T22:31:49.942Z</dcterms:modified>
</cp:coreProperties>
</file>

<file path=docProps/custom.xml><?xml version="1.0" encoding="utf-8"?>
<Properties xmlns="http://schemas.openxmlformats.org/officeDocument/2006/custom-properties" xmlns:vt="http://schemas.openxmlformats.org/officeDocument/2006/docPropsVTypes"/>
</file>