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Microsoft YaHei"/>
          <w:b/>
          <w:color w:val="2E74B5"/>
          <w:sz w:val="19"/>
        </w:rPr>
        <w:t>INTERNAL ALIGNMENT MEMO</w:t>
      </w:r>
    </w:p>
    <w:p>
      <w:pPr>
        <w:spacing w:after="80"/>
      </w:pPr>
      <w:r>
        <w:rPr>
          <w:rFonts w:ascii="Arial" w:hAnsi="Arial" w:eastAsia="Microsoft YaHei"/>
          <w:b/>
          <w:color w:val="0B2545"/>
          <w:sz w:val="46"/>
        </w:rPr>
        <w:t>瓶子星球 × 梅见 AI 市场决策系统</w:t>
      </w:r>
    </w:p>
    <w:p>
      <w:pPr>
        <w:spacing w:after="240"/>
        <w:pBdr>
          <w:bottom w:val="single" w:sz="14" w:space="5" w:color="2E74B5"/>
        </w:pBdr>
      </w:pPr>
      <w:r>
        <w:rPr>
          <w:rFonts w:ascii="Arial" w:hAnsi="Arial" w:eastAsia="Microsoft YaHei"/>
          <w:b/>
          <w:color w:val="2E74B5"/>
          <w:sz w:val="30"/>
        </w:rPr>
        <w:t>决赛升级会议对齐稿</w:t>
      </w:r>
    </w:p>
    <w:p>
      <w:pPr>
        <w:spacing w:before="0" w:after="40"/>
      </w:pPr>
      <w:r>
        <w:rPr>
          <w:rFonts w:ascii="Arial" w:hAnsi="Arial" w:eastAsia="Microsoft YaHei"/>
          <w:b/>
          <w:color w:val="0B2545"/>
          <w:sz w:val="20"/>
        </w:rPr>
        <w:t>会议目的：</w:t>
      </w:r>
      <w:r>
        <w:rPr>
          <w:rFonts w:ascii="Arial" w:hAnsi="Arial" w:eastAsia="Microsoft YaHei"/>
          <w:color w:val="111111"/>
          <w:sz w:val="20"/>
        </w:rPr>
        <w:t>统一项目定义、企业痛点、系统边界、梅见验证路径、交付物与责任分工</w:t>
      </w:r>
    </w:p>
    <w:p>
      <w:pPr>
        <w:spacing w:before="0" w:after="40"/>
      </w:pPr>
      <w:r>
        <w:rPr>
          <w:rFonts w:ascii="Arial" w:hAnsi="Arial" w:eastAsia="Microsoft YaHei"/>
          <w:b/>
          <w:color w:val="0B2545"/>
          <w:sz w:val="20"/>
        </w:rPr>
        <w:t>适用场景：</w:t>
      </w:r>
      <w:r>
        <w:rPr>
          <w:rFonts w:ascii="Arial" w:hAnsi="Arial" w:eastAsia="Microsoft YaHei"/>
          <w:color w:val="111111"/>
          <w:sz w:val="20"/>
        </w:rPr>
        <w:t>决赛升级内部对齐会</w:t>
      </w:r>
    </w:p>
    <w:p>
      <w:pPr>
        <w:spacing w:before="0" w:after="40"/>
      </w:pPr>
      <w:r>
        <w:rPr>
          <w:rFonts w:ascii="Arial" w:hAnsi="Arial" w:eastAsia="Microsoft YaHei"/>
          <w:b/>
          <w:color w:val="0B2545"/>
          <w:sz w:val="20"/>
        </w:rPr>
        <w:t>提交截止：</w:t>
      </w:r>
      <w:r>
        <w:rPr>
          <w:rFonts w:ascii="Arial" w:hAnsi="Arial" w:eastAsia="Microsoft YaHei"/>
          <w:color w:val="111111"/>
          <w:sz w:val="20"/>
        </w:rPr>
        <w:t>2026 年 8 月 16 日</w:t>
      </w:r>
    </w:p>
    <w:p>
      <w:pPr>
        <w:spacing w:before="0" w:after="40"/>
      </w:pPr>
      <w:r>
        <w:rPr>
          <w:rFonts w:ascii="Arial" w:hAnsi="Arial" w:eastAsia="Microsoft YaHei"/>
          <w:b/>
          <w:color w:val="0B2545"/>
          <w:sz w:val="20"/>
        </w:rPr>
        <w:t>文档版本：</w:t>
      </w:r>
      <w:r>
        <w:rPr>
          <w:rFonts w:ascii="Arial" w:hAnsi="Arial" w:eastAsia="Microsoft YaHei"/>
          <w:color w:val="111111"/>
          <w:sz w:val="20"/>
        </w:rPr>
        <w:t>V1.0  |  2026 年 8 月 4 日</w:t>
      </w:r>
    </w:p>
    <w:p>
      <w:pPr>
        <w:spacing w:before="0" w:after="40"/>
      </w:pPr>
      <w:r>
        <w:rPr>
          <w:rFonts w:ascii="Arial" w:hAnsi="Arial" w:eastAsia="Microsoft YaHei"/>
          <w:b/>
          <w:color w:val="0B2545"/>
          <w:sz w:val="20"/>
        </w:rPr>
        <w:t>使用原则：</w:t>
      </w:r>
      <w:r>
        <w:rPr>
          <w:rFonts w:ascii="Arial" w:hAnsi="Arial" w:eastAsia="Microsoft YaHei"/>
          <w:color w:val="111111"/>
          <w:sz w:val="20"/>
        </w:rPr>
        <w:t>会上先拍板方向与边界；品牌主张由数据和压力测试后收敛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建议开场直接说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今晚不是继续讨论一句新口号，也不是给 Demo 加更多功能。我们先统一一个问题：瓶子星球进入规模化阶段后，如何把分散的市场声音变成可追溯、可挑战、可验证的业务决策；梅见是这套方法的第一个完整验证案例。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一、今晚会议要得到什么结果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确认项目定位：AI 辅助市场决策系统，梅见为首个完整验证案例。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确认企业痛点：不是缺增长或缺场景，而是从细分领先走向主流规模化时，缺少可持续的决策与品牌壁垒。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确认本轮范围：品牌方向模块做深做实；市场分析、新品方向和客服转化作为可扩展模块说明。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确认数据方案：从约 40 条提升到 200 条以上真实、分层、可回溯语料。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确认验证机制：五道压力测试加真实用户验证，系统不预设“刚好一杯”等答案。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确认交付物：飞书完整方案、可运行 Demo、演示视频、数据证据库、梅见品牌全案、第二迁移案例。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确认责任人与里程碑：每项工作在会上认领，不留“大家一起做”的模糊责任。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二、建议会议流程（55 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00"/>
        <w:gridCol w:w="2100"/>
        <w:gridCol w:w="60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议题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会议产出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5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统一目标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确认今晚只讨论方向、边界、交付与责任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10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事实与诊断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瓶子星球阶段、梅见现有资产、真正业务卡点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15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系统方案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底层逻辑、AI 边界、五道压力测试与闭环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10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梅见验证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数据分层、候选方向、用户验证、品牌全案关系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10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交付与时间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截止 8 月 16 日的文档、Demo、视频和第二案例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5 分钟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决策记录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逐项确认责任人、完成标准和下一次检查时间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三、评委真正看什么：从评分规则与企业评价反推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74B5"/>
                <w:sz w:val="21"/>
              </w:rPr>
              <w:t>核心判断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评委不会因为我们交了很多材料就选择我们。他们会看：问题是否判断准确、AI 是否进入关键决策链路、方案能否被验证、结果能否追溯、方法能否复制。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1000"/>
        <w:gridCol w:w="6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评分项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占比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我们必须证明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AI 应用创新性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30%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不是普通生成器；原创工作流、Agent、压力测试和人机边界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业务价值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30%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直指规模化阶段的决策问题；价值有指标、有试点、有验证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AI 应用深度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20%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AI 进入证据提取、聚类、反例、候选筛选和反馈迭代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完整度与推广性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20%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问题—方案—执行—验证—反馈闭环；梅见案例加第二迁移案例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企业偏好转化为我们的设计要求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企业真正看什么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我们的高分表现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准入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准确命中真实问题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不讲通用 AI；明确瓶子星球卡在规模化决策与品牌壁垒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核心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真实数据与可追溯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200+ 真实语料；每个结论绑定来源、编号、时间和反例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核心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小场景能够跑通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先跑通梅见品牌方向模块，不把所有模块都做成半成品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核心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可信、可控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人工确认、置信度、失败边界、回退、证据回溯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核心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业务闭环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洞察进入候选方向、压力测试、用户验证和下一轮迭代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加分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真实交付物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Demo、样例数据、测试结果、导出报告、演示视频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加分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经营价值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测算时间、证据覆盖、误判减少和决策质量，不空喊销量增长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加分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可复制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同一底层逻辑在第二品牌或第二任务上输出不同答案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加分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独立判断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指出梅见不是没场景，也不是经营下滑；重新定义题目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需要避免的低分信号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技术堆砌：为了展示 RAG、向量库或 Agent 而增加功能，却没有改善品牌决策。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答案预设：先定“低压”“刚好一杯”，再让 AI 从评论里找支持证据。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数据虚胖：评论数量增加，但来源单一、重复、无链接、没有反例与分层。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通用平台过度承诺：声称能解决全部市场问题，却只展示梅见一套固定 Prompt。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只有建议没有闭环：AI 输出方向后，没有人工判断、用户验证、执行反馈与更新。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四、公开事实：瓶子星球不是缺增长，而是进入规模化下半场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F3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数据口径说明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目前未检索到瓶子星球对外发布的审计年报。下列数字来自企业经营披露、管理层讲话和媒体报道，正式提交时应写“公开经营披露”，不能写成“根据瓶子星球年报”。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50"/>
        <w:gridCol w:w="3100"/>
        <w:gridCol w:w="4010"/>
        <w:gridCol w:w="100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事实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公开信息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对项目的含义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来源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2024 经营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集团未经审计营收增长 16% 以上；梅见与果立方低度新酒饮业务增长 30%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说明低度新酒饮战略正在增长，不是待拯救业务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[1]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2025 经营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收入增长 12%；息税前利润增长 31%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增长仍在继续，但战略关注点转向持续性和利润质量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[2]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战略阶段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2025—2029 年被定义为品质化、场景化、主流化、规模化阶段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企业正在从细分创新走向全国主流市场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[3]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梅见场景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“吃香喝辣冰梅见”已进入餐饮场景；成都单城过亿元，四川超过 2 亿元，核心城市增长 34%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梅见不是没有场景，而是需要把局部模型转为可复制资产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[3]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产业能力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覆盖种植、酿造、研发、品牌运营与全球贸易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供应链不是本项目的首要问题；项目应进入市场决策和品牌资产环节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[4]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真正的企业痛点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00"/>
        <w:gridCol w:w="3500"/>
        <w:gridCol w:w="46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真正卡点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集团层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从多品牌、细分品类增长，转向全国规模化和主流化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如何持续发现机会，并把成功模型复制到不同品牌、城市和渠道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梅见层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已有青梅酒认知、品质和餐饮场景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如何从“知道梅见”进入“在这个场景非选梅见”，并形成难复制的品牌意义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竞争层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传统酒企、零售渠道和跨界饮品进入低度酒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竞争从口味和品类创新升级为品牌、渠道、供应链和场景的综合竞争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决策层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消费者反馈散落在社媒、电商、客服、渠道和销售端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如何把分散信息变成可追溯、可挑战、可验证的业务判断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我们需要改掉的旧表述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不要再把梅见写成“场景失焦、需要从零建立场景”的品牌。更准确的说法是：梅见已跑通餐饮佐餐与加冰喝法，但需要验证其能否沉淀为跨城市、跨渠道、跨场景都成立的必选理由。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五、这个痛点为什么是行业痛点，而且可以推广</w:t>
      </w: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111111"/>
          <w:sz w:val="21"/>
        </w:rPr>
        <w:t>行业共性来自三组变化：传统饮酒社交场景减少，理性饮酒成为共识，年轻群体尚未完全承接原有饮酒人口；消费者需求变化加快，新品生命周期缩短；低度酒竞争从产品创新升级为品牌、供应链、渠道和场景竞争。[5][6]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3700"/>
        <w:gridCol w:w="41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行业问题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典型表现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系统对应能力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数据分散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评论、搜索、客服、销售、渠道各自成岛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统一证据结构和来源治理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判断主观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品牌方向依赖个人经验，难以复盘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候选方向、证据、反例和置信度绑定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表达同质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年轻化、微醺、情绪价值等公共模板易复制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竞品替换、品牌专属资产和反模板检查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产品脱节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传播承诺可能无法被口感、包装或渠道兑现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产品交付压力与场景试点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迭代断裂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输出报告后没有验证和反馈回流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执行结果进入下一轮证据与规则更新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可推广的不是“梅见答案”，而是固定底层逻辑</w:t>
      </w: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111111"/>
          <w:sz w:val="21"/>
        </w:rPr>
        <w:t>底层不变的是证据治理与决策流程；变化的是行业知识、字段、业务目标、评价标准和输出模块。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系统层级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固定底层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数据治理、证据抽取、冲突聚类、候选生成、压力测试、人工决策、验证反馈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可配置层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行业词典、品牌资产、竞品集合、业务目标、评分权重、风险规则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应用模块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市场分析、品牌方向、新品机会、场景机会、客服知识与转化支持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当前比赛范围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品牌方向模块完整跑通；第二案例证明迁移；其他模块展示接口和未来路径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74B5"/>
                <w:sz w:val="21"/>
              </w:rPr>
              <w:t>范围边界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十余天内不应把所有应用模块都做完。高分策略是：用梅见把品牌方向模块做到 5/5，再用一个轻量第二案例证明迁移；避免做成一个功能很多但每项都无法验证的通用平台。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六、统一后的项目定义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统一表述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企业层问题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瓶子星球进入规模化阶段后，需要一套持续发现用户变化、验证增长机会并降低品牌决策失误的方法。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系统层问题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建立从市场语料到业务决策的 AI 辅助系统，把分散证据转化为可追溯、可挑战、可验证的市场分析、新品机会、品牌方向和服务策略。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梅见验证问题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验证系统能否帮助一个已有品类心智和成熟场景的品牌，找到比“国风、微醺、好喝”更独特、且能由产品和渠道兑现的必选理由。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一句话摘要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一套把真实市场声音转化为可验证业务决策的 AI 工作流，以梅见品牌方向为首个完整案例，并通过证据回溯、五道压力测试和用户反馈降低决策风险。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我们是什么、又不是什么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边界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我们是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AI 辅助市场决策系统；证据驱动的候选生成与校准流程；品牌团队的判断增强器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我们不是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营销文案生成器；自动替代品牌负责人作决定；只适用于梅见的固定 Prompt；为了技术展示而存在的 RAG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系统整体运行逻辑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7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i/>
          <w:color w:val="666666"/>
          <w:sz w:val="17"/>
        </w:rPr>
        <w:t>图 1  系统从数据到决策再到反馈的完整闭环</w:t>
      </w: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AI 的职责：提取、聚类、比较、提出候选、寻找反例、检查表达和组织证据。人的职责：定义业务问题、确认数据边界、选择或否决方向、决定产品与渠道行动、承担最终决策。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七、梅见如何验证这套系统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F3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验证原则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不能一开始把“自主饮酒”“低压共饮”或“刚好一杯”写成结论。它们只能作为候选假设，与其他方向一起接受证据、反例、竞品、产品和用户测试。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1. 数据目标：200 条以上真实、分层、可回溯语料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1000"/>
        <w:gridCol w:w="5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样本层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建议量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重点字段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梅见购买与饮用反馈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60+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购买理由、口感、加冰、佐餐、偏甜、上头、调配、复购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直接竞品反馈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50+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CHOYA、RIO、十七光年等选择与拒绝理由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低度酒与轻饮场景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40+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独处、朋友小聚、餐饮、家宴、礼赠、露营等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跨界替代选择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30+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茶饮、酒咖、便利店调酒、无酒精和其他氛围饮品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梅见现有重点场景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20+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吃香喝辣、冰饮、家宴、渠道和终端反馈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666666"/>
          <w:sz w:val="19"/>
        </w:rPr>
        <w:t>每条至少保留：原文、平台、链接、时间、互动量、用户阶段、场景、品牌或竞品、正负反馈、证据编号、是否重复。200 条只是最低证据规模，不等于市场统计结论。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2. 从语料到候选方向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结构化单条证据：用户想要什么、拒绝什么、真实情绪、身份需求、产品顾虑和场景。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聚类并保留反例：形成冲突簇，区分高频共性、细分需求、异常信号和无效评论。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生成 3—5 个候选机会：每个方向绑定支持证据、反例、目标人群、场景和梅见资产。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五道压力测试：不通过的方向被修订、降级或淘汰。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品牌团队人工收敛：选择进入真实用户验证的候选，而不是让 AI 自动定战略。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用户验证与反馈回流：比较理解度、独特性、梅见相关性、尝试意愿和场景联想。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3. 五道压力测试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测试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判定规则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证据充分性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有多少独立证据支持？来源是否多样？是否只是高声量少数？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证据不足则降级为候选，不进入正式方向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反例压力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哪些评论与方向冲突？目标人群中谁会拒绝？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保留反例并修订边界，禁止只展示支持证据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品牌专属性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把梅见替换成 RIO、CHOYA 或十七光年是否仍成立？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必须绑定青梅、品质、加冰、佐餐等可归属资产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产品交付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口感、包装、喝法、渠道和现有场景能否兑现？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无法兑现则转为产品建议或淘汰，不强行传播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增量稳定性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新增数据后方向是否大幅漂移？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记录版本变化、支持度与置信度，避免单条评论改战略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4. 品牌全案负责最终收敛</w:t>
      </w: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111111"/>
          <w:sz w:val="21"/>
        </w:rPr>
        <w:t>系统输出候选方向与证据；品牌全案完成品牌世界观、核心人群、核心冲突、品牌角色、品牌主张、场景意义、产品与渠道含义、内容母题和不做清单。</w:t>
      </w:r>
    </w:p>
    <w:p>
      <w:pPr>
        <w:spacing w:before="0" w:after="120" w:line="264" w:lineRule="auto"/>
      </w:pPr>
      <w:r>
        <w:rPr>
          <w:rFonts w:ascii="Arial" w:hAnsi="Arial" w:eastAsia="Microsoft YaHei"/>
          <w:b/>
          <w:color w:val="111111"/>
          <w:sz w:val="21"/>
        </w:rPr>
        <w:t>《梅见候选品牌叙事与护城河比较矩阵》</w:t>
      </w:r>
      <w:r>
        <w:rPr>
          <w:rFonts w:ascii="Arial" w:hAnsi="Arial" w:eastAsia="Microsoft YaHei"/>
          <w:i w:val="0"/>
          <w:color w:val="111111"/>
          <w:sz w:val="21"/>
        </w:rPr>
        <w:t>放在品牌全案中，用于比较候选方向的证据强度、独特性、产品兑现、场景扩展和竞品防御；不在系统升级计划中提前给出答案。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八、现状严格评估：现在有什么，还缺什么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350"/>
        <w:gridCol w:w="2700"/>
        <w:gridCol w:w="1100"/>
        <w:gridCol w:w="42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能力层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当前资产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当前评分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达到 5/5 必须补齐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数据层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约 40 条混合语料，已有飞书/Excel 洞察库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1.5/5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200+ 真实分层语料；来源治理、去重、反例和样本结构说明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分析层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能做单条分析、情绪需求和冲突提取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3/5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建立标注规范；抽样人工复核；测试一致性、漏判与误判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汇总层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能从多条语料汇总核心洞察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2.5/5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先生成候选再筛选；显示支持数、反例、来源分布与稳定性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叙事层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可输出品牌人群、冲突、主张和母题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2.5/5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去除预设答案；绑定产品、渠道、场景和不做清单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压力测试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已有反模板与五道测试设计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2.5/5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把测试真正跑在 3—5 个候选方向上，并保存淘汰记录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证据回溯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已有编号和 Replay 思路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3/5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每条结论回到原文、链接、时间、人工标注和反例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业务闭环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目前主要停在洞察和报告输出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1.5/5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增加真实用户验证、执行建议、反馈更新和验收指标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飞书深度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多维表格可作数据底座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2/5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明确 Aily/自动化/消息卡或表单在数据、审核、反馈中的作用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迁移能力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仅声明可迁移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1/5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增加第二案例，证明同一流程能输出不同问题和方向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当前项目已经解决与尚未解决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已经解决一部分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把评论从素材变成结构化证据；形成单条和全量分析；建立候选方向、反模板和证据回溯意识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尚未解决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真实样本不足；候选可能受预设结论影响；压力测试尚未形成结果；没有用户验证；没有第二迁移案例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不能宣称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系统已经证明能提升销量；200 条评论代表整个市场；“刚好一杯”已经是最终答案；平台已适用于所有行业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差异化真正来自哪里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不是多一个 RAG，也不是多交几份文件，而是：真实证据治理 + 可追溯候选生成 + 五道压力测试 + 人工决策边界 + 用户验证 + 第二案例迁移。多数相似方案会停在“分析评论并生成策略”，我们必须把后半段做出来。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九、最终交付物：每一项都必须服务评分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3100"/>
        <w:gridCol w:w="2800"/>
        <w:gridCol w:w="15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验收标准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对应评分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飞书完整参赛方案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企业痛点、系统方案、AI 深度、业务价值、落地与推广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主评审材料；公开链接可阅读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完整度 / 业务价值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梅见品牌全案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数据推导、候选比较、最终主张、场景、产品渠道含义、内容系统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题目业务答案；不是 Demo 附件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业务价值 / 创新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可运行 Demo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数据导入、证据分析、全量汇总、压力测试、回溯和导出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在线入口加离线 Replay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AI 深度 / 创新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200+ 证据库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真实来源、字段规范、去重、标注、反例与样本说明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飞书多维表格或可导出数据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可信度 / 可落地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3—5 分钟演示视频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从问题、数据、压力测试到结果与回溯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展示成功完整链路，不做功能漫游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完整度 / 体验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第二迁移案例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同一底层逻辑换品牌或换任务后输出不同判断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轻量案例即可，但必须真实跑通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可推广性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技术与方法附录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架构、Prompt、RAG、数据治理、评测、边界和测试结果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放自由展示区或附录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6"/>
              </w:rPr>
              <w:t>AI 深度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Before / After 应该怎么表达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工作方式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Before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评论分散、人工看样本、凭经验下判断；结论难追溯；出现空话后靠人工感觉修改；一次性报告难复用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After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数据结构统一；AI 生成候选并绑定证据与反例；五道压力测试后由人收敛；用户验证与反馈持续更新；可迁移到第二案例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建议量化指标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价值类型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建议指标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效率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同规模语料从整理到候选洞察的时间；人工复核用时；报告生成时间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质量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证据绑定率、反例覆盖率、人工一致率、重复与无效样本识别率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决策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候选淘汰率、压力测试通过率、增量数据后方向稳定度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用户验证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理解度、梅见相关性、独特性、场景联想、尝试意愿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迁移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第二案例字段复用率、需要改动的配置项、输出差异度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Arial" w:hAnsi="Arial" w:eastAsia="Microsoft YaHei"/>
          <w:i w:val="0"/>
          <w:color w:val="9B1C1C"/>
          <w:sz w:val="19"/>
        </w:rPr>
        <w:t>注意：没有基线和实测前，不承诺具体销量、收入或 ROI。业务价值先证明决策效率、证据质量和方向验证能力。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十、实施路径：从今晚到 8 月 16 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00"/>
        <w:gridCol w:w="1700"/>
        <w:gridCol w:w="4140"/>
        <w:gridCol w:w="232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阶段产出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4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方向对齐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确认项目定义、数据范围、系统边界、交付物、责任人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会议纪要与任务清单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5—6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数据协议与采集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字段标准、来源比例、去重规则；收集 200+ 真实语料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证据库 V1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7—8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清洗、标注与基线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人工标注样本；单条分析评测；修订 Prompt 和字段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评测表与证据库 V2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9—10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系统与压力测试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RAG/检索、候选生成、五道压力测试、回溯和导出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Demo V2 与测试记录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11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候选方向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形成 3—5 个梅见候选；准备品牌专属与产品交付证据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候选决策卡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12—13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用户验证与品牌全案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目标用户对照测试；收敛最终方向；完善全案和第二案例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验证报告与品牌全案 V2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14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参赛文档与视频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飞书主文档、Demo 说明、3—5 分钟演示视频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可提交版本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15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总核查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链接权限、数据口径、证据引用、评分映射、演示稳定性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最终检查表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5"/>
              </w:rPr>
              <w:t>8 月 16 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正式提交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提交完整方案链接与体验入口</w:t>
            </w:r>
          </w:p>
        </w:tc>
        <w:tc>
          <w:tcPr>
            <w:tcW w:type="dxa" w:w="2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5"/>
              </w:rPr>
              <w:t>提交完成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责任角色（会上认领）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100"/>
        <w:gridCol w:w="5460"/>
        <w:gridCol w:w="180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负责人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项目与策略负责人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最终问题定义、范围、品牌方向收敛、方案总逻辑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数据研究负责人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200+ 语料采集、来源治理、去重、标注和样本说明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技术负责人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RAG、分析工作流、压力测试、证据回溯、Demo 稳定性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品牌全案负责人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竞争分析、候选矩阵、世界观、场景、产品渠道含义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验证负责人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用户招募、测试问题、结果统计、反例和结论回流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提交与演示负责人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飞书文档、链接权限、Demo 视频、最终材料检查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最低可交付标准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数据：不少于 200 条真实语料，来源可回溯，结构与局限写清楚。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系统：至少完整跑通数据导入—候选生成—五道测试—证据回溯—报告导出。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判断：至少 3 个候选方向，有支持、反例、淘汰理由和人工决策记录。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验证：至少完成一次目标用户对照测试，哪怕样本较小也要方法透明。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迁移：至少一个第二案例，证明不是更换品牌名的模板复用。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呈现：主文档、Demo、视频和全案口径一致，评委三分钟内能说出我们的不同。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十一、今晚必须拍板的事项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是否同意把项目定义为“AI 辅助市场决策系统”，而非“梅见叙事生成器”？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是否同意把梅见问题改为“从品类与场景领先转向可复制、难替代的主流品牌资产”？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本轮主模块是否确定为“品牌方向”，其他模块只做架构和迁移说明？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第二迁移案例选择哪个品牌或业务任务？数据是否能够在规定时间内获得？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200+ 语料的来源比例、采集责任人和完成时间是什么？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五道压力测试的通过标准由谁确认？哪些结果必须人工复核？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真实用户验证找哪些人、多少人、采用什么对照方式？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最终主文档、品牌全案、Demo 和视频分别由谁负责？</w:t>
      </w:r>
    </w:p>
    <w:p>
      <w:pPr>
        <w:spacing w:before="0" w:after="140" w:line="264" w:lineRule="auto"/>
      </w:pPr>
      <w:r>
        <w:rPr>
          <w:rFonts w:ascii="Arial" w:hAnsi="Arial" w:eastAsia="Microsoft YaHei"/>
          <w:i w:val="0"/>
          <w:color w:val="111111"/>
          <w:sz w:val="20"/>
        </w:rPr>
        <w:t>□ 下一次检查时间是什么？届时必须看到哪些可运行或可阅读成果？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建议会议结论记录格式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决策项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会议结论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责任人 / 截止时间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项目定位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企业核心痛点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本轮系统范围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第二案例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数据与验证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交付物与负责人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下次检查时间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十二、主要风险与应对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表现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应对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数据数量上去但质量没上去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来源集中、重复、无链接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先定采样框架和字段；每批抽样复核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系统暗中预设结论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所有结果都指向“刚好一杯”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盲化候选命名；保留反例；先聚类后命名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技术抢走品牌判断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汇报大量讲 RAG 和模型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主文档先讲企业问题和业务闭环；技术放 Demo 与附录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推广性变成空话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只有梅见一个结果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补第二案例；明确固定底层与可配置层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验证只问喜不喜欢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结果无法指导决策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比较理解、专属、场景、尝试意愿和产品兑现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不同材料口径冲突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全案、Demo、视频各说一套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建立统一一句话摘要、术语表和最终检查表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会议结束标准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color w:val="111111"/>
                <w:sz w:val="20"/>
              </w:rPr>
              <w:t>不是“大家觉得方向不错”，而是每个关键决策有明确结论，每个交付物有唯一负责人，每个里程碑有可检查成果。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附录：公开依据与使用口径</w:t>
      </w:r>
    </w:p>
    <w:p>
      <w:pPr>
        <w:spacing w:after="120" w:line="252" w:lineRule="auto"/>
      </w:pPr>
      <w:hyperlink r:id="rId12">
        <w:r>
          <w:rPr>
            <w:rFonts w:ascii="Arial" w:hAnsi="Arial" w:eastAsia="Microsoft YaHei"/>
            <w:color w:val="2E74B5"/>
            <w:u w:val="single"/>
            <w:sz w:val="19"/>
          </w:rPr>
          <w:t>[1] 新华网，2025-01-22，《瓶子星球集团 2024 年营收增长 16%》</w:t>
        </w:r>
      </w:hyperlink>
    </w:p>
    <w:p>
      <w:pPr>
        <w:spacing w:after="120" w:line="252" w:lineRule="auto"/>
      </w:pPr>
      <w:hyperlink r:id="rId13">
        <w:r>
          <w:rPr>
            <w:rFonts w:ascii="Arial" w:hAnsi="Arial" w:eastAsia="Microsoft YaHei"/>
            <w:color w:val="2E74B5"/>
            <w:u w:val="single"/>
            <w:sz w:val="19"/>
          </w:rPr>
          <w:t>[2] 每日经济新闻，2026-01-07，《瓶子星球董事长陶石泉：2025 年集团收入增长 12%》</w:t>
        </w:r>
      </w:hyperlink>
    </w:p>
    <w:p>
      <w:pPr>
        <w:spacing w:after="120" w:line="252" w:lineRule="auto"/>
      </w:pPr>
      <w:hyperlink r:id="rId14">
        <w:r>
          <w:rPr>
            <w:rFonts w:ascii="Arial" w:hAnsi="Arial" w:eastAsia="Microsoft YaHei"/>
            <w:color w:val="2E74B5"/>
            <w:u w:val="single"/>
            <w:sz w:val="19"/>
          </w:rPr>
          <w:t>[3] 新经销整理，2025-01-17，《瓶子星球的新年第一讲》</w:t>
        </w:r>
      </w:hyperlink>
    </w:p>
    <w:p>
      <w:pPr>
        <w:spacing w:after="120" w:line="252" w:lineRule="auto"/>
      </w:pPr>
      <w:hyperlink r:id="rId15">
        <w:r>
          <w:rPr>
            <w:rFonts w:ascii="Arial" w:hAnsi="Arial" w:eastAsia="Microsoft YaHei"/>
            <w:color w:val="2E74B5"/>
            <w:u w:val="single"/>
            <w:sz w:val="19"/>
          </w:rPr>
          <w:t>[4] 黑蚁资本成员企业页，瓶子星球集团业务与全产业链介绍</w:t>
        </w:r>
      </w:hyperlink>
    </w:p>
    <w:p>
      <w:pPr>
        <w:spacing w:after="120" w:line="252" w:lineRule="auto"/>
      </w:pPr>
      <w:hyperlink r:id="rId16">
        <w:r>
          <w:rPr>
            <w:rFonts w:ascii="Arial" w:hAnsi="Arial" w:eastAsia="Microsoft YaHei"/>
            <w:color w:val="2E74B5"/>
            <w:u w:val="single"/>
            <w:sz w:val="19"/>
          </w:rPr>
          <w:t>[5] 中国酒业协会，2026-05-14，《中国酒业协会第七届葡萄酒 T7 圆桌会议》</w:t>
        </w:r>
      </w:hyperlink>
    </w:p>
    <w:p>
      <w:pPr>
        <w:spacing w:after="120" w:line="252" w:lineRule="auto"/>
      </w:pPr>
      <w:hyperlink r:id="rId17">
        <w:r>
          <w:rPr>
            <w:rFonts w:ascii="Arial" w:hAnsi="Arial" w:eastAsia="Microsoft YaHei"/>
            <w:color w:val="2E74B5"/>
            <w:u w:val="single"/>
            <w:sz w:val="19"/>
          </w:rPr>
          <w:t>[6] 时代财经，2026-01-08，《瓶子星球靠新酒饮增长，巨头进入低度酒赛道》</w:t>
        </w:r>
      </w:hyperlink>
    </w:p>
    <w:p>
      <w:pPr>
        <w:spacing w:after="120" w:line="252" w:lineRule="auto"/>
      </w:pPr>
      <w:hyperlink r:id="rId18">
        <w:r>
          <w:rPr>
            <w:rFonts w:ascii="Arial" w:hAnsi="Arial" w:eastAsia="Microsoft YaHei"/>
            <w:color w:val="2E74B5"/>
            <w:u w:val="single"/>
            <w:sz w:val="19"/>
          </w:rPr>
          <w:t>[7] 红星新闻 / 新浪财经，2024-12-29，《集团更名瓶子星球，押注低度新酒饮战略》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证据使用规则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管理层披露和媒体报道不等同于审计财务数据；正文必须标注来源和时间。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“瓶子星球真正卡点”属于基于公开经营阶段、竞品环境和命题说明形成的战略推断，不应冒充企业内部结论。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用户评论用于发现冲突与形成假设，不用于直接推断市场份额或全部用户比例。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Arial" w:hAnsi="Arial" w:eastAsia="Microsoft YaHei"/>
          <w:color w:val="111111"/>
          <w:sz w:val="20"/>
        </w:rPr>
        <w:t>最终品牌方向必须同时经过语料证据、反例、品牌专属、产品交付、稳定性和用户验证。</w:t>
      </w:r>
    </w:p>
    <w:p>
      <w:pPr>
        <w:spacing w:before="0" w:after="0" w:line="264" w:lineRule="auto"/>
        <w:jc w:val="center"/>
      </w:pPr>
      <w:r>
        <w:rPr>
          <w:rFonts w:ascii="Arial" w:hAnsi="Arial" w:eastAsia="Microsoft YaHei"/>
          <w:i w:val="0"/>
          <w:color w:val="666666"/>
          <w:sz w:val="18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6666"/>
        <w:sz w:val="18"/>
      </w:rPr>
      <w:t xml:space="preserve">第 </w:t>
    </w:r>
    <w:fldSimple w:instr="PAGE"/>
    <w:r>
      <w:rPr>
        <w:rFonts w:ascii="Arial" w:hAnsi="Arial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666666"/>
        <w:sz w:val="17"/>
      </w:rPr>
      <w:t>梅见 AI 市场决策系统  |  决赛升级会议对齐稿</w:t>
    </w:r>
    <w:r>
      <w:rPr>
        <w:rFonts w:ascii="Arial" w:hAnsi="Arial" w:eastAsia="Microsoft YaHei"/>
        <w:color w:val="666666"/>
        <w:sz w:val="17"/>
      </w:rPr>
      <w:t xml:space="preserve">    内部工作文件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69" w:lineRule="auto"/>
      <w:contextualSpacing/>
    </w:pPr>
    <w:rPr>
      <w:rFonts w:ascii="Arial" w:hAnsi="Arial" w:eastAsia="Microsoft YaHei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xinhuanet.com/food/20250122/78ae393727ce4f7c8952aab8785f84b4/c.html" TargetMode="External"/><Relationship Id="rId13" Type="http://schemas.openxmlformats.org/officeDocument/2006/relationships/hyperlink" Target="https://www.nbd.com.cn/rss/sohu/articles/4210402.html" TargetMode="External"/><Relationship Id="rId14" Type="http://schemas.openxmlformats.org/officeDocument/2006/relationships/hyperlink" Target="https://www.sohu.com/a/849932213_99890220" TargetMode="External"/><Relationship Id="rId15" Type="http://schemas.openxmlformats.org/officeDocument/2006/relationships/hyperlink" Target="https://www.ba-capital.com.cn/portfolio/jxb" TargetMode="External"/><Relationship Id="rId16" Type="http://schemas.openxmlformats.org/officeDocument/2006/relationships/hyperlink" Target="https://www.cada.cc/Item/1540.aspx" TargetMode="External"/><Relationship Id="rId17" Type="http://schemas.openxmlformats.org/officeDocument/2006/relationships/hyperlink" Target="https://www.tfcaijing.com/touch/article/page/377047725243566d646869463448384c6c704c4737513d3d" TargetMode="External"/><Relationship Id="rId18" Type="http://schemas.openxmlformats.org/officeDocument/2006/relationships/hyperlink" Target="https://finance.sina.com.cn/chanjing/jync/zxxx/2024-12-29/doc-ineccfvv554288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