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Qingfeng Zhang</w:t>
      </w:r>
      <w:r>
        <w:br/>
      </w:r>
      <w:r>
        <w:t xml:space="preserve"> </w:t>
      </w:r>
      <w:hyperlink r:id="rId9">
        <w:r>
          <w:rPr>
            <w:rStyle w:val="Hyperlink"/>
          </w:rPr>
          <w:t xml:space="preserve">qingfengzhang@whu.edu.cn</w:t>
        </w:r>
      </w:hyperlink>
    </w:p>
    <w:bookmarkStart w:id="10" w:name="education-background"/>
    <w:p>
      <w:pPr>
        <w:pStyle w:val="Heading1"/>
      </w:pPr>
      <w:r>
        <w:t xml:space="preserve">Education Background</w:t>
      </w:r>
    </w:p>
    <w:p>
      <w:pPr>
        <w:pStyle w:val="FirstParagraph"/>
      </w:pPr>
      <w:r>
        <w:rPr>
          <w:b/>
          <w:bCs/>
        </w:rPr>
        <w:t xml:space="preserve">PhD in Water Resources and Hydropower Engineering</w:t>
      </w:r>
      <w:r>
        <w:t xml:space="preserve"> </w:t>
      </w:r>
      <w:r>
        <w:t xml:space="preserve">2024–Now</w:t>
      </w:r>
      <w:r>
        <w:br/>
      </w:r>
      <w:r>
        <w:t xml:space="preserve">Wuhan University, School of Water Resources and Hydropower Engineering</w:t>
      </w:r>
      <w:r>
        <w:br/>
      </w:r>
      <w:r>
        <w:t xml:space="preserve">Supervisor: Prof. Jiyun Song</w:t>
      </w:r>
    </w:p>
    <w:p>
      <w:pPr>
        <w:pStyle w:val="BodyText"/>
      </w:pPr>
      <w:r>
        <w:rPr>
          <w:b/>
          <w:bCs/>
        </w:rPr>
        <w:t xml:space="preserve">B.Eng. in Hydrology and Water Resources Engineering</w:t>
      </w:r>
      <w:r>
        <w:t xml:space="preserve"> </w:t>
      </w:r>
      <w:r>
        <w:t xml:space="preserve">2020–2024</w:t>
      </w:r>
      <w:r>
        <w:br/>
      </w:r>
      <w:r>
        <w:t xml:space="preserve">Northwest A&amp;F University</w:t>
      </w:r>
      <w:r>
        <w:br/>
      </w:r>
      <w:r>
        <w:t xml:space="preserve">Supervisor: Prof. Yi Li</w:t>
      </w:r>
    </w:p>
    <w:p>
      <w:pPr>
        <w:numPr>
          <w:ilvl w:val="0"/>
          <w:numId w:val="1001"/>
        </w:numPr>
      </w:pPr>
      <w:r>
        <w:t xml:space="preserve">Ranked 1</w:t>
      </w:r>
      <w:r>
        <w:rPr>
          <w:vertAlign w:val="superscript"/>
        </w:rPr>
        <w:t xml:space="preserve">st</w:t>
      </w:r>
      <w:r>
        <w:t xml:space="preserve"> </w:t>
      </w:r>
      <w:r>
        <w:t xml:space="preserve">in the postgraduate exemption examination; exempted to Wuhan University for PhD.</w:t>
      </w:r>
    </w:p>
    <w:p>
      <w:pPr>
        <w:numPr>
          <w:ilvl w:val="0"/>
          <w:numId w:val="1001"/>
        </w:numPr>
      </w:pPr>
      <w:r>
        <w:t xml:space="preserve">Bachelor’s thesis selected as one of the university’s Top 100 Distinguished Papers.</w:t>
      </w:r>
    </w:p>
    <w:bookmarkEnd w:id="10"/>
    <w:bookmarkStart w:id="11" w:name="research-interests"/>
    <w:p>
      <w:pPr>
        <w:pStyle w:val="Heading1"/>
      </w:pPr>
      <w:r>
        <w:t xml:space="preserve">Research Interests</w:t>
      </w:r>
    </w:p>
    <w:p>
      <w:pPr>
        <w:numPr>
          <w:ilvl w:val="0"/>
          <w:numId w:val="1002"/>
        </w:numPr>
      </w:pPr>
      <w:r>
        <w:t xml:space="preserve">Urban climate dynamics, heat extremes, and land–atmosphere interactions</w:t>
      </w:r>
    </w:p>
    <w:p>
      <w:pPr>
        <w:numPr>
          <w:ilvl w:val="0"/>
          <w:numId w:val="1002"/>
        </w:numPr>
      </w:pPr>
      <w:r>
        <w:t xml:space="preserve">Physics-informed spatiotemporal deep learning for high-resolution urban weather modeling and nowcasting</w:t>
      </w:r>
    </w:p>
    <w:p>
      <w:pPr>
        <w:numPr>
          <w:ilvl w:val="0"/>
          <w:numId w:val="1002"/>
        </w:numPr>
      </w:pPr>
      <w:r>
        <w:t xml:space="preserve">Climate-just urban informatics and multi-objective optimization for heat-resilient cities</w:t>
      </w:r>
    </w:p>
    <w:bookmarkEnd w:id="11"/>
    <w:bookmarkStart w:id="14" w:name="journal-publications"/>
    <w:p>
      <w:pPr>
        <w:pStyle w:val="Heading1"/>
      </w:pPr>
      <w:r>
        <w:t xml:space="preserve">Journal Publications</w:t>
      </w:r>
    </w:p>
    <w:p>
      <w:pPr>
        <w:pStyle w:val="FirstParagraph"/>
      </w:pPr>
      <w:r>
        <w:t xml:space="preserve">(*: Corresponding author)</w:t>
      </w:r>
    </w:p>
    <w:p>
      <w:pPr>
        <w:pStyle w:val="BodyText"/>
      </w:pPr>
      <w:r>
        <w:rPr>
          <w:b/>
          <w:bCs/>
        </w:rPr>
        <w:t xml:space="preserve">Published Journal Papers:</w:t>
      </w:r>
    </w:p>
    <w:p>
      <w:pPr>
        <w:numPr>
          <w:ilvl w:val="0"/>
          <w:numId w:val="1003"/>
        </w:numPr>
      </w:pPr>
      <w:r>
        <w:t xml:space="preserve">Zhong Q, Song J*, Wang X, Zhang J,</w:t>
      </w:r>
      <w:r>
        <w:t xml:space="preserve"> </w:t>
      </w:r>
      <w:r>
        <w:rPr>
          <w:b/>
          <w:bCs/>
        </w:rPr>
        <w:t xml:space="preserve">Zhang Q</w:t>
      </w:r>
      <w:r>
        <w:t xml:space="preserve">, Li Y. 2026. Modelling of lake–land breeze circulation in a diurnal cycle.</w:t>
      </w:r>
      <w:r>
        <w:t xml:space="preserve"> </w:t>
      </w:r>
      <w:r>
        <w:rPr>
          <w:i/>
          <w:iCs/>
        </w:rPr>
        <w:t xml:space="preserve">Building and Environment</w:t>
      </w:r>
      <w:r>
        <w:t xml:space="preserve">, 293: 114319.</w:t>
      </w:r>
      <w:r>
        <w:t xml:space="preserve"> </w:t>
      </w:r>
      <w:hyperlink r:id="rId12">
        <w:r>
          <w:rPr>
            <w:rStyle w:val="Hyperlink"/>
          </w:rPr>
          <w:t xml:space="preserve">doi:10.1016/j.buildenv.2026.114319</w:t>
        </w:r>
      </w:hyperlink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Zhang Q</w:t>
      </w:r>
      <w:r>
        <w:t xml:space="preserve">, Li Y*, Hu Q, Yao N, Song X, Liu F, Pulatov B, Meng Q, Feng P. 2022. Impacts of Different Socioeconomic Development Levels on Extremely Wet/Dry Events in Mainland China.</w:t>
      </w:r>
      <w:r>
        <w:t xml:space="preserve"> </w:t>
      </w:r>
      <w:r>
        <w:rPr>
          <w:i/>
          <w:iCs/>
        </w:rPr>
        <w:t xml:space="preserve">Water</w:t>
      </w:r>
      <w:r>
        <w:t xml:space="preserve">, 14(23): 3950.</w:t>
      </w:r>
      <w:r>
        <w:t xml:space="preserve"> </w:t>
      </w:r>
      <w:hyperlink r:id="rId13">
        <w:r>
          <w:rPr>
            <w:rStyle w:val="Hyperlink"/>
          </w:rPr>
          <w:t xml:space="preserve">doi:10.3390/w14233950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Manuscripts Submitted / Under Review: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Zhang Q</w:t>
      </w:r>
      <w:r>
        <w:t xml:space="preserve">, Song J*, Liu H. Physics-informed spatio-temporal graph neural networks for fine-resolution multi-variable urban weather nowcasting from sparse station observations. Submitted to</w:t>
      </w:r>
      <w:r>
        <w:t xml:space="preserve"> </w:t>
      </w:r>
      <w:r>
        <w:rPr>
          <w:i/>
          <w:iCs/>
        </w:rPr>
        <w:t xml:space="preserve">Atmospheric Chemistry and Physics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Zhang Q</w:t>
      </w:r>
      <w:r>
        <w:t xml:space="preserve">, Song J*, Zhou Y, Zhang J, Zhou Z. Physics-guided deep learning resolves five-metre urban thermal stress for climate-just delivery routing. Submitted to</w:t>
      </w:r>
      <w:r>
        <w:t xml:space="preserve"> </w:t>
      </w:r>
      <w:r>
        <w:rPr>
          <w:i/>
          <w:iCs/>
        </w:rPr>
        <w:t xml:space="preserve">npj Urban Sustainability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Zhang Q</w:t>
      </w:r>
      <w:r>
        <w:t xml:space="preserve">, Song J*, Li Y, Zhou Y. Heatwave risk reshaped by urban expansion-clustering nexus. Under review at</w:t>
      </w:r>
      <w:r>
        <w:t xml:space="preserve"> </w:t>
      </w:r>
      <w:r>
        <w:rPr>
          <w:i/>
          <w:iCs/>
        </w:rPr>
        <w:t xml:space="preserve">Science Advances</w:t>
      </w:r>
      <w:r>
        <w:t xml:space="preserve">.</w:t>
      </w:r>
    </w:p>
    <w:bookmarkEnd w:id="14"/>
    <w:bookmarkStart w:id="19" w:name="conference-presentations"/>
    <w:p>
      <w:pPr>
        <w:pStyle w:val="Heading1"/>
      </w:pPr>
      <w:r>
        <w:t xml:space="preserve">Conference Presentations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Zhang Q</w:t>
      </w:r>
      <w:r>
        <w:t xml:space="preserve">, Song J.</w:t>
      </w:r>
      <w:r>
        <w:t xml:space="preserve"> </w:t>
      </w:r>
      <w:r>
        <w:rPr>
          <w:i/>
          <w:iCs/>
        </w:rPr>
        <w:t xml:space="preserve">An Inductive Spatio-Temporal Graph Network for Fine-Resolution Urban Weather Nowcasting Integrating Multi-Source Data and Physical Constraints</w:t>
      </w:r>
      <w:r>
        <w:t xml:space="preserve">. EGU General Assembly 2026, Vienna, Austria, May 3–8, 2026. EGU26-2288.</w:t>
      </w:r>
      <w:r>
        <w:t xml:space="preserve"> </w:t>
      </w:r>
      <w:hyperlink r:id="rId15">
        <w:r>
          <w:rPr>
            <w:rStyle w:val="Hyperlink"/>
          </w:rPr>
          <w:t xml:space="preserve">https://doi.org/10.5194/egusphere-egu26-2288</w:t>
        </w:r>
      </w:hyperlink>
      <w:r>
        <w:t xml:space="preserve">. (Oral)</w:t>
      </w:r>
    </w:p>
    <w:p>
      <w:pPr>
        <w:numPr>
          <w:ilvl w:val="0"/>
          <w:numId w:val="1005"/>
        </w:numPr>
      </w:pPr>
      <w:r>
        <w:t xml:space="preserve">Song J,</w:t>
      </w:r>
      <w:r>
        <w:t xml:space="preserve"> </w:t>
      </w:r>
      <w:r>
        <w:rPr>
          <w:b/>
          <w:bCs/>
        </w:rPr>
        <w:t xml:space="preserve">Zhang Q</w:t>
      </w:r>
      <w:r>
        <w:t xml:space="preserve">.</w:t>
      </w:r>
      <w:r>
        <w:t xml:space="preserve"> </w:t>
      </w:r>
      <w:r>
        <w:rPr>
          <w:i/>
          <w:iCs/>
        </w:rPr>
        <w:t xml:space="preserve">AI-uWRF: A Physics-Informed Spatiotemporal Diffusion Transformer for High-Resolution Urban Weather Emulation</w:t>
      </w:r>
      <w:r>
        <w:t xml:space="preserve">. EGU General Assembly 2026, Vienna, Austria, May 3–8, 2026. EGU26-2266.</w:t>
      </w:r>
      <w:r>
        <w:t xml:space="preserve"> </w:t>
      </w:r>
      <w:hyperlink r:id="rId16">
        <w:r>
          <w:rPr>
            <w:rStyle w:val="Hyperlink"/>
          </w:rPr>
          <w:t xml:space="preserve">https://doi.org/10.5194/egusphere-egu26-2266</w:t>
        </w:r>
      </w:hyperlink>
      <w:r>
        <w:t xml:space="preserve">. (Oral)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Zhang Q</w:t>
      </w:r>
      <w:r>
        <w:t xml:space="preserve">, Song J.</w:t>
      </w:r>
      <w:r>
        <w:t xml:space="preserve"> </w:t>
      </w:r>
      <w:r>
        <w:rPr>
          <w:i/>
          <w:iCs/>
        </w:rPr>
        <w:t xml:space="preserve">Urban Climate Modeling with AI-Hybrid Approaches</w:t>
      </w:r>
      <w:r>
        <w:t xml:space="preserve">. Hong Kong Workshop, Hong Kong, China, November 26–28, 2025. (Oral)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Zhang Q</w:t>
      </w:r>
      <w:r>
        <w:t xml:space="preserve">, Song J.</w:t>
      </w:r>
      <w:r>
        <w:t xml:space="preserve"> </w:t>
      </w:r>
      <w:r>
        <w:rPr>
          <w:i/>
          <w:iCs/>
        </w:rPr>
        <w:t xml:space="preserve">A Hybrid Modeling Framework for High-Resolution Wet-Heat Mapping in Metropolitan Areas: Integrating Physical Simulation and Deep Learning</w:t>
      </w:r>
      <w:r>
        <w:t xml:space="preserve">. The 4</w:t>
      </w:r>
      <w:r>
        <w:rPr>
          <w:vertAlign w:val="superscript"/>
        </w:rPr>
        <w:t xml:space="preserve">th</w:t>
      </w:r>
      <w:r>
        <w:t xml:space="preserve"> </w:t>
      </w:r>
      <w:r>
        <w:t xml:space="preserve">IAHR-YPN PhD Forum, Dalian, China, September 26–28, 2025. (Oral)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Zhang Q</w:t>
      </w:r>
      <w:r>
        <w:t xml:space="preserve">, Song J.</w:t>
      </w:r>
      <w:r>
        <w:t xml:space="preserve"> </w:t>
      </w:r>
      <w:r>
        <w:rPr>
          <w:i/>
          <w:iCs/>
        </w:rPr>
        <w:t xml:space="preserve">A Hybrid Modeling Framework for High-Resolution Wet-Heat Mapping in Metropolitan Areas: Integrating Physical Simulation and Deep Learning</w:t>
      </w:r>
      <w:r>
        <w:t xml:space="preserve">. The 22</w:t>
      </w:r>
      <w:r>
        <w:rPr>
          <w:vertAlign w:val="superscript"/>
        </w:rPr>
        <w:t xml:space="preserve">nd</w:t>
      </w:r>
      <w:r>
        <w:t xml:space="preserve"> </w:t>
      </w:r>
      <w:r>
        <w:t xml:space="preserve">China Water Forum, Xi’an, China, September 12–14, 2025. (Oral)</w:t>
      </w:r>
    </w:p>
    <w:p>
      <w:pPr>
        <w:numPr>
          <w:ilvl w:val="0"/>
          <w:numId w:val="1005"/>
        </w:numPr>
      </w:pPr>
      <w:r>
        <w:t xml:space="preserve">Song J,</w:t>
      </w:r>
      <w:r>
        <w:t xml:space="preserve"> </w:t>
      </w:r>
      <w:r>
        <w:rPr>
          <w:b/>
          <w:bCs/>
        </w:rPr>
        <w:t xml:space="preserve">Zhang Q</w:t>
      </w:r>
      <w:r>
        <w:t xml:space="preserve">.</w:t>
      </w:r>
      <w:r>
        <w:t xml:space="preserve"> </w:t>
      </w:r>
      <w:r>
        <w:rPr>
          <w:i/>
          <w:iCs/>
        </w:rPr>
        <w:t xml:space="preserve">The Role of Dynamic Urban Expansion in Shaping Thermal Environments: Evidence from China’s 2000 Cities in Past Decades</w:t>
      </w:r>
      <w:r>
        <w:t xml:space="preserve">. The 22</w:t>
      </w:r>
      <w:r>
        <w:rPr>
          <w:vertAlign w:val="superscript"/>
        </w:rPr>
        <w:t xml:space="preserve">nd</w:t>
      </w:r>
      <w:r>
        <w:t xml:space="preserve"> </w:t>
      </w:r>
      <w:r>
        <w:t xml:space="preserve">Annual Meeting of the Asia Oceania Geosciences Society (AOGS), Singapore, July 28–August 1, 2025. HS41-A005. (Oral)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Zhang Q</w:t>
      </w:r>
      <w:r>
        <w:t xml:space="preserve">, Song J.</w:t>
      </w:r>
      <w:r>
        <w:t xml:space="preserve"> </w:t>
      </w:r>
      <w:r>
        <w:rPr>
          <w:i/>
          <w:iCs/>
        </w:rPr>
        <w:t xml:space="preserve">A Novel Hybrid Modeling Framework for Urban Heat Stress: Combining Physical Simulations and CNN-Transformer Networks in Wuhan</w:t>
      </w:r>
      <w:r>
        <w:t xml:space="preserve">. The 22</w:t>
      </w:r>
      <w:r>
        <w:rPr>
          <w:vertAlign w:val="superscript"/>
        </w:rPr>
        <w:t xml:space="preserve">nd</w:t>
      </w:r>
      <w:r>
        <w:t xml:space="preserve"> </w:t>
      </w:r>
      <w:r>
        <w:t xml:space="preserve">Annual Meeting of the Asia Oceania Geosciences Society (AOGS), Singapore, July 28–August 1, 2025. HS41-A006. (Poster)</w:t>
      </w:r>
    </w:p>
    <w:p>
      <w:pPr>
        <w:numPr>
          <w:ilvl w:val="0"/>
          <w:numId w:val="1005"/>
        </w:numPr>
      </w:pPr>
      <w:r>
        <w:t xml:space="preserve">Song J,</w:t>
      </w:r>
      <w:r>
        <w:t xml:space="preserve"> </w:t>
      </w:r>
      <w:r>
        <w:rPr>
          <w:b/>
          <w:bCs/>
        </w:rPr>
        <w:t xml:space="preserve">Zhang Q</w:t>
      </w:r>
      <w:r>
        <w:t xml:space="preserve">.</w:t>
      </w:r>
      <w:r>
        <w:t xml:space="preserve"> </w:t>
      </w:r>
      <w:r>
        <w:rPr>
          <w:i/>
          <w:iCs/>
        </w:rPr>
        <w:t xml:space="preserve">A Hybrid Modeling Framework for High-Resolution Humid Heat Mapping in Metropolitan Wuhan: Integrating Physical Simulations and Deep Learning</w:t>
      </w:r>
      <w:r>
        <w:t xml:space="preserve">. The 12</w:t>
      </w:r>
      <w:r>
        <w:rPr>
          <w:vertAlign w:val="superscript"/>
        </w:rPr>
        <w:t xml:space="preserve">th</w:t>
      </w:r>
      <w:r>
        <w:t xml:space="preserve"> </w:t>
      </w:r>
      <w:r>
        <w:t xml:space="preserve">International Conference on Urban Climate (ICUC12), Rotterdam, The Netherlands, July 7–11, 2025. ICUC12-201.</w:t>
      </w:r>
      <w:r>
        <w:t xml:space="preserve"> </w:t>
      </w:r>
      <w:hyperlink r:id="rId17">
        <w:r>
          <w:rPr>
            <w:rStyle w:val="Hyperlink"/>
          </w:rPr>
          <w:t xml:space="preserve">https://doi.org/10.5194/icuc12-201</w:t>
        </w:r>
      </w:hyperlink>
      <w:r>
        <w:t xml:space="preserve">. (Oral)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Zhang Q</w:t>
      </w:r>
      <w:r>
        <w:t xml:space="preserve">, Song J.</w:t>
      </w:r>
      <w:r>
        <w:t xml:space="preserve"> </w:t>
      </w:r>
      <w:r>
        <w:rPr>
          <w:i/>
          <w:iCs/>
        </w:rPr>
        <w:t xml:space="preserve">The role of dynamic urban expansion in shaping thermal environments: Evidence from China’s 2000 cities in past decades</w:t>
      </w:r>
      <w:r>
        <w:t xml:space="preserve">. The 12</w:t>
      </w:r>
      <w:r>
        <w:rPr>
          <w:vertAlign w:val="superscript"/>
        </w:rPr>
        <w:t xml:space="preserve">th</w:t>
      </w:r>
      <w:r>
        <w:t xml:space="preserve"> </w:t>
      </w:r>
      <w:r>
        <w:t xml:space="preserve">International Conference on Urban Climate (ICUC12), Rotterdam, The Netherlands, July 7–11, 2025. ICUC12-171.</w:t>
      </w:r>
      <w:r>
        <w:t xml:space="preserve"> </w:t>
      </w:r>
      <w:hyperlink r:id="rId18">
        <w:r>
          <w:rPr>
            <w:rStyle w:val="Hyperlink"/>
          </w:rPr>
          <w:t xml:space="preserve">https://doi.org/10.5194/icuc12-171</w:t>
        </w:r>
      </w:hyperlink>
      <w:r>
        <w:t xml:space="preserve">. (Oral)</w:t>
      </w:r>
    </w:p>
    <w:p>
      <w:pPr>
        <w:numPr>
          <w:ilvl w:val="0"/>
          <w:numId w:val="1005"/>
        </w:numPr>
      </w:pPr>
      <w:r>
        <w:t xml:space="preserve">Song J,</w:t>
      </w:r>
      <w:r>
        <w:t xml:space="preserve"> </w:t>
      </w:r>
      <w:r>
        <w:rPr>
          <w:b/>
          <w:bCs/>
        </w:rPr>
        <w:t xml:space="preserve">Zhang Q</w:t>
      </w:r>
      <w:r>
        <w:t xml:space="preserve">.</w:t>
      </w:r>
      <w:r>
        <w:t xml:space="preserve"> </w:t>
      </w:r>
      <w:r>
        <w:rPr>
          <w:i/>
          <w:iCs/>
        </w:rPr>
        <w:t xml:space="preserve">Impacts of Dynamic Urban Expansion on Heatwaves in Urban Agglomerations: Empirical Analysis of Nearly 2,000 Cities in China, 1990–2022</w:t>
      </w:r>
      <w:r>
        <w:t xml:space="preserve">. The 3</w:t>
      </w:r>
      <w:r>
        <w:rPr>
          <w:vertAlign w:val="superscript"/>
        </w:rPr>
        <w:t xml:space="preserve">rd</w:t>
      </w:r>
      <w:r>
        <w:t xml:space="preserve"> </w:t>
      </w:r>
      <w:r>
        <w:t xml:space="preserve">Sustainable City Workshop, Wuhan, China, May 23–25, 2025. (Oral)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Zhang Q</w:t>
      </w:r>
      <w:r>
        <w:t xml:space="preserve">, Song J.</w:t>
      </w:r>
      <w:r>
        <w:t xml:space="preserve"> </w:t>
      </w:r>
      <w:r>
        <w:rPr>
          <w:i/>
          <w:iCs/>
        </w:rPr>
        <w:t xml:space="preserve">Impacts of Dynamic Urban Expansion on Heatwaves in Urban Agglomerations: Empirical Analysis of Nearly 2,000 Cities in China, 1990–2022</w:t>
      </w:r>
      <w:r>
        <w:t xml:space="preserve">. The 10</w:t>
      </w:r>
      <w:r>
        <w:rPr>
          <w:vertAlign w:val="superscript"/>
        </w:rPr>
        <w:t xml:space="preserve">th</w:t>
      </w:r>
      <w:r>
        <w:t xml:space="preserve"> </w:t>
      </w:r>
      <w:r>
        <w:t xml:space="preserve">Youth Geoscience Forum, Hefei, China, May 9–12, 2025. (Oral)</w:t>
      </w:r>
    </w:p>
    <w:bookmarkEnd w:id="19"/>
    <w:bookmarkStart w:id="20" w:name="research-project-experience"/>
    <w:p>
      <w:pPr>
        <w:pStyle w:val="Heading1"/>
      </w:pPr>
      <w:r>
        <w:t xml:space="preserve">Research &amp; Project Experience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PhD Research: Physics-Informed Deep Learning for Urban Weather Nowcasting and Emulation</w:t>
      </w:r>
      <w:r>
        <w:t xml:space="preserve"> </w:t>
      </w:r>
      <w:r>
        <w:t xml:space="preserve">2024–Now</w:t>
      </w:r>
      <w:r>
        <w:br/>
      </w:r>
      <w:r>
        <w:t xml:space="preserve">Wuhan University, School of Water Resources and Hydropower Engineering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Causal ML for urban expansion–heatwave nexus.</w:t>
      </w:r>
      <w:r>
        <w:t xml:space="preserve"> </w:t>
      </w:r>
      <w:r>
        <w:t xml:space="preserve">Used double machine learning to decouple urbanization-induced thermal penalties from climate variability across 1,690 Chinese cities (1990–2022); revealed a dichotomy between internal 3D densification (local intensity/onset) and intercity coalescence (regional frequency/duration), and identified a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50 km spatial threshold for mega urban heat dome formation. Under review at</w:t>
      </w:r>
      <w:r>
        <w:t xml:space="preserve"> </w:t>
      </w:r>
      <w:r>
        <w:rPr>
          <w:i/>
          <w:iCs/>
        </w:rPr>
        <w:t xml:space="preserve">Science Advances</w:t>
      </w:r>
      <w:r>
        <w:t xml:space="preserve">.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HyperClim-Former: 5-metre thermal stress mapping and climate-just routing.</w:t>
      </w:r>
      <w:r>
        <w:t xml:space="preserve"> </w:t>
      </w:r>
      <w:r>
        <w:t xml:space="preserve">Developed a physics-guided deep learning framework coupling mesoscale forcings with 3D urban morphology for 5 m, 10-min UTCI reconstruction (RMSE = 1.00°C); integrated with agent-based courier simulations and multi-objective Pareto optimization to reduce heat stress by 21.1% with only 4.3 min added delay per shift. Submitted to</w:t>
      </w:r>
      <w:r>
        <w:t xml:space="preserve"> </w:t>
      </w:r>
      <w:r>
        <w:rPr>
          <w:i/>
          <w:iCs/>
        </w:rPr>
        <w:t xml:space="preserve">npj Urban Sustainability</w:t>
      </w:r>
      <w:r>
        <w:t xml:space="preserve">.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Physics-informed STGNN for station-to-grid urban weather nowcasting.</w:t>
      </w:r>
      <w:r>
        <w:t xml:space="preserve"> </w:t>
      </w:r>
      <w:r>
        <w:t xml:space="preserve">Designed five physically motivated graph topologies (proximity, thermal similarity, wind advection, terrain, LCZ) for 333 m station-to-grid downscaling; implemented WRF-to-observation transfer learning with thermodynamic constraints, reducing WRF biases by 25–67% while retaining 92.7% spatial heterogeneity. Submitted to</w:t>
      </w:r>
      <w:r>
        <w:t xml:space="preserve"> </w:t>
      </w:r>
      <w:r>
        <w:rPr>
          <w:i/>
          <w:iCs/>
        </w:rPr>
        <w:t xml:space="preserve">Atmospheric Chemistry and Physics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Cumulative Effects of Hydrology and Ecology in the Yellow River Basin</w:t>
      </w:r>
      <w:r>
        <w:t xml:space="preserve"> </w:t>
      </w:r>
      <w:r>
        <w:t xml:space="preserve">2022–2023</w:t>
      </w:r>
      <w:r>
        <w:br/>
      </w:r>
      <w:r>
        <w:t xml:space="preserve">Project Lead, Northwest A&amp;F University</w:t>
      </w:r>
    </w:p>
    <w:p>
      <w:pPr>
        <w:numPr>
          <w:ilvl w:val="1"/>
          <w:numId w:val="1008"/>
        </w:numPr>
      </w:pPr>
      <w:r>
        <w:t xml:space="preserve">Revealed the hydrology–ecosystem coupling effect in the Yellow River Basin, established a large-scale cumulative effect model, and developed remote sensing data pipelines to support the research findings.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Development and Design of Robot Visual Aid System</w:t>
      </w:r>
      <w:r>
        <w:t xml:space="preserve"> </w:t>
      </w:r>
      <w:r>
        <w:t xml:space="preserve">2021–2022</w:t>
      </w:r>
      <w:r>
        <w:br/>
      </w:r>
      <w:r>
        <w:t xml:space="preserve">Core Member, Northwest A&amp;F University</w:t>
      </w:r>
    </w:p>
    <w:p>
      <w:pPr>
        <w:numPr>
          <w:ilvl w:val="1"/>
          <w:numId w:val="1009"/>
        </w:numPr>
      </w:pPr>
      <w:r>
        <w:t xml:space="preserve">Programmed and debugged OpenCV-based real-time object detection under Linux for RoboMaster college league robotics and agricultural picking robots.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Regional Water and Food Big Data Platform</w:t>
      </w:r>
      <w:r>
        <w:t xml:space="preserve"> </w:t>
      </w:r>
      <w:r>
        <w:t xml:space="preserve">2021–2022</w:t>
      </w:r>
      <w:r>
        <w:br/>
      </w:r>
      <w:r>
        <w:t xml:space="preserve">Core Member, Northwest A&amp;F University</w:t>
      </w:r>
    </w:p>
    <w:p>
      <w:pPr>
        <w:numPr>
          <w:ilvl w:val="1"/>
          <w:numId w:val="1010"/>
        </w:numPr>
      </w:pPr>
      <w:r>
        <w:t xml:space="preserve">Analyzed regional water consumption patterns and database architecture to map spatiotemporal agricultural water use efficiency.</w:t>
      </w:r>
    </w:p>
    <w:bookmarkEnd w:id="20"/>
    <w:bookmarkStart w:id="21" w:name="competition-awards"/>
    <w:p>
      <w:pPr>
        <w:pStyle w:val="Heading1"/>
      </w:pPr>
      <w:r>
        <w:t xml:space="preserve">Competition Awards</w:t>
      </w:r>
    </w:p>
    <w:p>
      <w:pPr>
        <w:numPr>
          <w:ilvl w:val="0"/>
          <w:numId w:val="1011"/>
        </w:numPr>
      </w:pPr>
      <w:r>
        <w:t xml:space="preserve">2025 China Graduate Smart City Technology and Creative Design Competition, Second Prize, Party Committee Graduate Work Department of Wuhan University, 2025.09.</w:t>
      </w:r>
    </w:p>
    <w:p>
      <w:pPr>
        <w:numPr>
          <w:ilvl w:val="0"/>
          <w:numId w:val="1011"/>
        </w:numPr>
      </w:pPr>
      <w:r>
        <w:t xml:space="preserve">The 4</w:t>
      </w:r>
      <w:r>
        <w:rPr>
          <w:vertAlign w:val="superscript"/>
        </w:rPr>
        <w:t xml:space="preserve">th</w:t>
      </w:r>
      <w:r>
        <w:t xml:space="preserve"> </w:t>
      </w:r>
      <w:r>
        <w:t xml:space="preserve">IAHR-YPN PhD Forum, Report Innovation Award, Dalian, China, 2025.09.</w:t>
      </w:r>
    </w:p>
    <w:p>
      <w:pPr>
        <w:numPr>
          <w:ilvl w:val="0"/>
          <w:numId w:val="1011"/>
        </w:numPr>
      </w:pPr>
      <w:r>
        <w:t xml:space="preserve">The 10</w:t>
      </w:r>
      <w:r>
        <w:rPr>
          <w:vertAlign w:val="superscript"/>
        </w:rPr>
        <w:t xml:space="preserve">th</w:t>
      </w:r>
      <w:r>
        <w:t xml:space="preserve"> </w:t>
      </w:r>
      <w:r>
        <w:t xml:space="preserve">Youth Geoscience Forum, Excellent Student Presentation Award, Hefei, China, 2025.05.</w:t>
      </w:r>
    </w:p>
    <w:p>
      <w:pPr>
        <w:numPr>
          <w:ilvl w:val="0"/>
          <w:numId w:val="1011"/>
        </w:numPr>
      </w:pPr>
      <w:r>
        <w:t xml:space="preserve">The Eighth National College Students’ Water Resources Innovation Design Competition, National Level Grand Prize, China Water Resources Education Association, 2023.08.</w:t>
      </w:r>
    </w:p>
    <w:p>
      <w:pPr>
        <w:numPr>
          <w:ilvl w:val="0"/>
          <w:numId w:val="1011"/>
        </w:numPr>
      </w:pPr>
      <w:r>
        <w:t xml:space="preserve">The 14</w:t>
      </w:r>
      <w:r>
        <w:rPr>
          <w:vertAlign w:val="superscript"/>
        </w:rPr>
        <w:t xml:space="preserve">th</w:t>
      </w:r>
      <w:r>
        <w:t xml:space="preserve"> </w:t>
      </w:r>
      <w:r>
        <w:t xml:space="preserve">National Student Mathematics Competition (Non-Mathematics), Provincial First Prize, Chinese Mathematical Society, 2023.01.</w:t>
      </w:r>
    </w:p>
    <w:p>
      <w:pPr>
        <w:numPr>
          <w:ilvl w:val="0"/>
          <w:numId w:val="1011"/>
        </w:numPr>
      </w:pPr>
      <w:r>
        <w:t xml:space="preserve">China Engineering Robotics Competition and International Open Competition 2022, National First Prize and Third Runner-up, Chinese Society of Artificial Intelligence, 2022.12.</w:t>
      </w:r>
    </w:p>
    <w:p>
      <w:pPr>
        <w:numPr>
          <w:ilvl w:val="0"/>
          <w:numId w:val="1011"/>
        </w:numPr>
      </w:pPr>
      <w:r>
        <w:t xml:space="preserve">2022 National College Robotics Competition (Robomasters) College League Competition and Sectional Competition, Third Prize National Level, Chinese Society of Artificial Intelligence, 2022.07.</w:t>
      </w:r>
    </w:p>
    <w:p>
      <w:pPr>
        <w:numPr>
          <w:ilvl w:val="0"/>
          <w:numId w:val="1011"/>
        </w:numPr>
      </w:pPr>
      <w:r>
        <w:t xml:space="preserve">National University Students’ Surveying and Mapping Skills Competition (Non-specialized Group of Surveying and Mapping Programming Competition), 2022, National Second Prize, China Association of Surveying and Mapping, 2022.05.</w:t>
      </w:r>
    </w:p>
    <w:p>
      <w:pPr>
        <w:numPr>
          <w:ilvl w:val="0"/>
          <w:numId w:val="1011"/>
        </w:numPr>
      </w:pPr>
      <w:r>
        <w:t xml:space="preserve">2022 Mathematical Contest In Modeling, International Honorable Mention, the Consortium for Mathematics and Its Application, 2022.02.</w:t>
      </w:r>
    </w:p>
    <w:p>
      <w:pPr>
        <w:numPr>
          <w:ilvl w:val="0"/>
          <w:numId w:val="1011"/>
        </w:numPr>
      </w:pPr>
      <w:r>
        <w:t xml:space="preserve">Huawei Cup 2</w:t>
      </w:r>
      <w:r>
        <w:rPr>
          <w:vertAlign w:val="superscript"/>
        </w:rPr>
        <w:t xml:space="preserve">nd</w:t>
      </w:r>
      <w:r>
        <w:t xml:space="preserve"> </w:t>
      </w:r>
      <w:r>
        <w:t xml:space="preserve">National College Students’ Innovation Design Competition in Agricultural Water Conservancy Engineering and Related Specialties, National Level Grand Prize, China Agricultural Engineering Society, 2021.11.</w:t>
      </w:r>
    </w:p>
    <w:p>
      <w:pPr>
        <w:numPr>
          <w:ilvl w:val="0"/>
          <w:numId w:val="1011"/>
        </w:numPr>
      </w:pPr>
      <w:r>
        <w:t xml:space="preserve">2021 China Engineering Robotics Competition and International Open Competition, National Second Prize, Chinese Society of Artificial Intelligence, 2021.11.</w:t>
      </w:r>
    </w:p>
    <w:p>
      <w:pPr>
        <w:numPr>
          <w:ilvl w:val="0"/>
          <w:numId w:val="1011"/>
        </w:numPr>
      </w:pPr>
      <w:r>
        <w:t xml:space="preserve">The 12</w:t>
      </w:r>
      <w:r>
        <w:rPr>
          <w:vertAlign w:val="superscript"/>
        </w:rPr>
        <w:t xml:space="preserve">th</w:t>
      </w:r>
      <w:r>
        <w:t xml:space="preserve"> </w:t>
      </w:r>
      <w:r>
        <w:t xml:space="preserve">Blue Bridge Cup National Software and Information Technology Professionals Competition, Provincial Second Prize, Talent Exchange Center of Ministry of Industry and Information Technology, 2021.05.</w:t>
      </w:r>
    </w:p>
    <w:bookmarkEnd w:id="21"/>
    <w:bookmarkStart w:id="22" w:name="skills"/>
    <w:p>
      <w:pPr>
        <w:pStyle w:val="Heading1"/>
      </w:pPr>
      <w:r>
        <w:t xml:space="preserve">Skills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HPC &amp; Numerical Weather Prediction:</w:t>
      </w:r>
      <w:r>
        <w:t xml:space="preserve"> </w:t>
      </w:r>
      <w:r>
        <w:t xml:space="preserve">WRF and WRF-UCM (multi-domain nesting, urban canopy schemes) on HPC platforms; MPI parallel computing; large-scale NetCDF data processing.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AI &amp; Spatiotemporal Deep Learning:</w:t>
      </w:r>
      <w:r>
        <w:t xml:space="preserve"> </w:t>
      </w:r>
      <w:r>
        <w:t xml:space="preserve">Spatiotemporal graph neural networks, diffusion models, Transformers, CNNs; physics-informed neural networks; causal inference; transfer learning; SHAP.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Scientific Programming:</w:t>
      </w:r>
      <w:r>
        <w:t xml:space="preserve"> </w:t>
      </w:r>
      <w:r>
        <w:t xml:space="preserve">Python (PyTorch, xarray, pandas, scikit-learn), C++, R, MATLAB; distributed and mixed-precision training; agent-based modeling; Linux/HPC environments.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Geospatial &amp; Microclimate Analysis:</w:t>
      </w:r>
      <w:r>
        <w:t xml:space="preserve"> </w:t>
      </w:r>
      <w:r>
        <w:t xml:space="preserve">ArcGIS, QGIS, UMEP, ENVI-met, CAD, Origin; LiDAR, satellite, and mobile sensor fusion; local climate zone classification; thermal comfort indices.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English (CET-6: 536, CET-4: 550), Chinese (Native).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doi.org/10.1016/j.buildenv.2026.114319" TargetMode="External" /><Relationship Type="http://schemas.openxmlformats.org/officeDocument/2006/relationships/hyperlink" Id="rId13" Target="https://doi.org/10.3390/w14233950" TargetMode="External" /><Relationship Type="http://schemas.openxmlformats.org/officeDocument/2006/relationships/hyperlink" Id="rId16" Target="https://doi.org/10.5194/egusphere-egu26-2266" TargetMode="External" /><Relationship Type="http://schemas.openxmlformats.org/officeDocument/2006/relationships/hyperlink" Id="rId15" Target="https://doi.org/10.5194/egusphere-egu26-2288" TargetMode="External" /><Relationship Type="http://schemas.openxmlformats.org/officeDocument/2006/relationships/hyperlink" Id="rId18" Target="https://doi.org/10.5194/icuc12-171" TargetMode="External" /><Relationship Type="http://schemas.openxmlformats.org/officeDocument/2006/relationships/hyperlink" Id="rId17" Target="https://doi.org/10.5194/icuc12-201" TargetMode="External" /><Relationship Type="http://schemas.openxmlformats.org/officeDocument/2006/relationships/hyperlink" Id="rId9" Target="mailto:qingfengzhang@whu.edu.c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doi.org/10.1016/j.buildenv.2026.114319" TargetMode="External" /><Relationship Type="http://schemas.openxmlformats.org/officeDocument/2006/relationships/hyperlink" Id="rId13" Target="https://doi.org/10.3390/w14233950" TargetMode="External" /><Relationship Type="http://schemas.openxmlformats.org/officeDocument/2006/relationships/hyperlink" Id="rId16" Target="https://doi.org/10.5194/egusphere-egu26-2266" TargetMode="External" /><Relationship Type="http://schemas.openxmlformats.org/officeDocument/2006/relationships/hyperlink" Id="rId15" Target="https://doi.org/10.5194/egusphere-egu26-2288" TargetMode="External" /><Relationship Type="http://schemas.openxmlformats.org/officeDocument/2006/relationships/hyperlink" Id="rId18" Target="https://doi.org/10.5194/icuc12-171" TargetMode="External" /><Relationship Type="http://schemas.openxmlformats.org/officeDocument/2006/relationships/hyperlink" Id="rId17" Target="https://doi.org/10.5194/icuc12-201" TargetMode="External" /><Relationship Type="http://schemas.openxmlformats.org/officeDocument/2006/relationships/hyperlink" Id="rId9" Target="mailto:qingfengzhang@whu.edu.c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2026-08-12T07:05:17Z</dcterms:created>
  <dcterms:modified xsi:type="dcterms:W3CDTF">2026-08-12T07:05:17Z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