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998" w:rsidRDefault="00CF5998">
      <w:r>
        <w:t>Trichrome Stain Modified Protocol</w:t>
      </w:r>
    </w:p>
    <w:p w:rsidR="00CF5998" w:rsidRDefault="00CF5998">
      <w:r>
        <w:t xml:space="preserve">Based on: manufacturer protocol (Abcam ab150686) and </w:t>
      </w:r>
      <w:hyperlink r:id="rId5" w:history="1">
        <w:r w:rsidRPr="00027199">
          <w:rPr>
            <w:rStyle w:val="Hyperlink"/>
          </w:rPr>
          <w:t>https://library.med.utah.edu/WebPath/HISTHTML/MANUALS/MASSONS.PDF</w:t>
        </w:r>
      </w:hyperlink>
    </w:p>
    <w:p w:rsidR="00CF5998" w:rsidRDefault="00CF5998"/>
    <w:p w:rsidR="00CF5998" w:rsidRDefault="00CF5998" w:rsidP="00CF5998">
      <w:pPr>
        <w:pStyle w:val="ListParagraph"/>
        <w:numPr>
          <w:ilvl w:val="0"/>
          <w:numId w:val="1"/>
        </w:numPr>
      </w:pPr>
      <w:r>
        <w:t xml:space="preserve">Mordant in pre-heated </w:t>
      </w:r>
      <w:proofErr w:type="spellStart"/>
      <w:r>
        <w:t>Bouin’s</w:t>
      </w:r>
      <w:proofErr w:type="spellEnd"/>
      <w:r>
        <w:t xml:space="preserve"> (60</w:t>
      </w:r>
      <w:r>
        <w:rPr>
          <w:vertAlign w:val="superscript"/>
        </w:rPr>
        <w:t>o</w:t>
      </w:r>
      <w:r>
        <w:t>C) for 1 hour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Allow to cool for 10 min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Rinse in running tap water for 5 min, until all yellow is removed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Rinse in distilled water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 xml:space="preserve">Mix equal parts </w:t>
      </w:r>
      <w:proofErr w:type="spellStart"/>
      <w:r>
        <w:t>Weigart’s</w:t>
      </w:r>
      <w:proofErr w:type="spellEnd"/>
      <w:r>
        <w:t xml:space="preserve"> (A) and (B) and stain slide in working </w:t>
      </w:r>
      <w:proofErr w:type="spellStart"/>
      <w:r>
        <w:t>soln</w:t>
      </w:r>
      <w:proofErr w:type="spellEnd"/>
      <w:r>
        <w:t xml:space="preserve"> for 10 min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Rinse in running tap water for 10 min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Rinse in distilled water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Biebrich</w:t>
      </w:r>
      <w:proofErr w:type="spellEnd"/>
      <w:r>
        <w:t xml:space="preserve"> Scarlet/Acid Fuchsin </w:t>
      </w:r>
      <w:proofErr w:type="spellStart"/>
      <w:r>
        <w:t>Soln</w:t>
      </w:r>
      <w:proofErr w:type="spellEnd"/>
      <w:r>
        <w:t xml:space="preserve"> for 10 min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2 x distilled water rinse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Differentiate in Phosphomolybdic/</w:t>
      </w:r>
      <w:proofErr w:type="spellStart"/>
      <w:r>
        <w:t>Phosphotungstic</w:t>
      </w:r>
      <w:proofErr w:type="spellEnd"/>
      <w:r>
        <w:t xml:space="preserve"> Acid </w:t>
      </w:r>
      <w:proofErr w:type="spellStart"/>
      <w:r>
        <w:t>Soln</w:t>
      </w:r>
      <w:proofErr w:type="spellEnd"/>
      <w:r>
        <w:t xml:space="preserve"> for 10 min, until collagen is not red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Transfer directly to Aniline Blue and stain for 5 min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2 x distilled water rinse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Acetic acid (1%) for 2-5 min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Dehydrate quickly with alcohol (95% x 2, 100% x 2)</w:t>
      </w:r>
    </w:p>
    <w:p w:rsidR="00CF5998" w:rsidRDefault="00CF5998" w:rsidP="00CF5998">
      <w:pPr>
        <w:pStyle w:val="ListParagraph"/>
        <w:numPr>
          <w:ilvl w:val="0"/>
          <w:numId w:val="1"/>
        </w:numPr>
      </w:pPr>
      <w:r>
        <w:t>Clear in xylene (or substitute) and coverslip with DPX</w:t>
      </w:r>
      <w:bookmarkStart w:id="0" w:name="_GoBack"/>
      <w:bookmarkEnd w:id="0"/>
    </w:p>
    <w:sectPr w:rsidR="00CF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A6763"/>
    <w:multiLevelType w:val="hybridMultilevel"/>
    <w:tmpl w:val="6C58F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98"/>
    <w:rsid w:val="00C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21F7"/>
  <w15:chartTrackingRefBased/>
  <w15:docId w15:val="{9A380A69-25ED-4EFC-B61E-458722EA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9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rary.med.utah.edu/WebPath/HISTHTML/MANUALS/MASSON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</cp:revision>
  <dcterms:created xsi:type="dcterms:W3CDTF">2019-02-27T17:54:00Z</dcterms:created>
  <dcterms:modified xsi:type="dcterms:W3CDTF">2019-02-27T18:01:00Z</dcterms:modified>
</cp:coreProperties>
</file>