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6531" w14:textId="77777777" w:rsidR="006D2A00" w:rsidRPr="00250292" w:rsidRDefault="0000000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Universidad Francisco Marroquín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810629" wp14:editId="31D610C9">
            <wp:simplePos x="0" y="0"/>
            <wp:positionH relativeFrom="column">
              <wp:posOffset>4695825</wp:posOffset>
            </wp:positionH>
            <wp:positionV relativeFrom="paragraph">
              <wp:posOffset>114300</wp:posOffset>
            </wp:positionV>
            <wp:extent cx="1577340" cy="766763"/>
            <wp:effectExtent l="0" t="0" r="0" b="0"/>
            <wp:wrapSquare wrapText="bothSides" distT="114300" distB="114300" distL="114300" distR="11430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l="49839" r="2724" b="10309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76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A2C7F6" w14:textId="77777777" w:rsidR="006D2A00" w:rsidRPr="00250292" w:rsidRDefault="0000000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María Isabel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Avila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Rigalt</w:t>
      </w:r>
    </w:p>
    <w:p w14:paraId="0BDE2D4B" w14:textId="77777777" w:rsidR="006D2A00" w:rsidRPr="00250292" w:rsidRDefault="0000000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Data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Science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Finance</w:t>
      </w:r>
      <w:proofErr w:type="spellEnd"/>
    </w:p>
    <w:p w14:paraId="657C52B6" w14:textId="77777777" w:rsidR="006D2A00" w:rsidRPr="00250292" w:rsidRDefault="006D2A0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7E005B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15E0A703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6673CC9E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037DC1E3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0A83D7F1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7EFFEE0C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3B5C36B9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5BAC347E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7866A514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14D7F245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3B75FA3D" w14:textId="77777777" w:rsidR="006D2A00" w:rsidRPr="0025029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s-ES"/>
        </w:rPr>
      </w:pPr>
      <w:r w:rsidRPr="00250292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s-ES"/>
        </w:rPr>
        <w:t>CASO PRÁCTICO NO. 3</w:t>
      </w:r>
    </w:p>
    <w:p w14:paraId="380DC057" w14:textId="77777777" w:rsidR="006D2A00" w:rsidRPr="0025029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  <w:r w:rsidRPr="0025029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>PREDICCIÓN DE CALIFICACIÓN CREDITICIA CON ALGORITMOS DE CLASIFICACIÓN</w:t>
      </w:r>
    </w:p>
    <w:p w14:paraId="02989CB4" w14:textId="77777777" w:rsidR="006D2A00" w:rsidRPr="00250292" w:rsidRDefault="006D2A00">
      <w:pPr>
        <w:jc w:val="center"/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33C069BA" w14:textId="77777777" w:rsidR="006D2A00" w:rsidRPr="00250292" w:rsidRDefault="006D2A00">
      <w:pPr>
        <w:jc w:val="center"/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77A4D139" w14:textId="77777777" w:rsidR="006D2A00" w:rsidRPr="00250292" w:rsidRDefault="006D2A00">
      <w:pPr>
        <w:jc w:val="center"/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08FB6196" w14:textId="77777777" w:rsidR="006D2A00" w:rsidRPr="00250292" w:rsidRDefault="006D2A00">
      <w:pPr>
        <w:jc w:val="center"/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2EDB5DEF" w14:textId="77777777" w:rsidR="006D2A00" w:rsidRPr="00250292" w:rsidRDefault="006D2A00">
      <w:pPr>
        <w:jc w:val="center"/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30AF5445" w14:textId="77777777" w:rsidR="006D2A00" w:rsidRPr="00250292" w:rsidRDefault="006D2A00">
      <w:pPr>
        <w:jc w:val="center"/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5140A89E" w14:textId="77777777" w:rsidR="006D2A00" w:rsidRPr="00250292" w:rsidRDefault="006D2A00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38918F2A" w14:textId="77777777" w:rsidR="006D2A00" w:rsidRPr="00250292" w:rsidRDefault="006D2A00">
      <w:pPr>
        <w:jc w:val="right"/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432E08F6" w14:textId="77777777" w:rsidR="006D2A00" w:rsidRPr="00250292" w:rsidRDefault="006D2A00">
      <w:pPr>
        <w:jc w:val="right"/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581AA2E0" w14:textId="77777777" w:rsidR="006D2A00" w:rsidRPr="00250292" w:rsidRDefault="006D2A00">
      <w:pPr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E75F98" w14:textId="77777777" w:rsidR="006D2A00" w:rsidRPr="00250292" w:rsidRDefault="006D2A00">
      <w:pPr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74AF322" w14:textId="77777777" w:rsidR="006D2A00" w:rsidRPr="00250292" w:rsidRDefault="006D2A00">
      <w:pPr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15E1992" w14:textId="77777777" w:rsidR="006D2A00" w:rsidRPr="00250292" w:rsidRDefault="006D2A00">
      <w:pPr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207D50D" w14:textId="77777777" w:rsidR="006D2A00" w:rsidRPr="00250292" w:rsidRDefault="006D2A00">
      <w:pPr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85137E" w14:textId="77777777" w:rsidR="006D2A00" w:rsidRPr="00250292" w:rsidRDefault="006D2A0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9496BFD" w14:textId="77777777" w:rsidR="006D2A00" w:rsidRPr="00250292" w:rsidRDefault="006D2A00">
      <w:pPr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0C0C7FC" w14:textId="77777777" w:rsidR="006D2A00" w:rsidRPr="0025029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Steph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Grotewold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- 20210567</w:t>
      </w:r>
    </w:p>
    <w:p w14:paraId="3EC4D7AD" w14:textId="77777777" w:rsidR="006D2A00" w:rsidRPr="0025029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03/07/2023</w:t>
      </w:r>
    </w:p>
    <w:p w14:paraId="2092EC7B" w14:textId="77777777" w:rsidR="006D2A00" w:rsidRPr="00250292" w:rsidRDefault="006D2A00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F86DBFD" w14:textId="77777777" w:rsidR="006D2A00" w:rsidRPr="00250292" w:rsidRDefault="00000000" w:rsidP="00250292">
      <w:pPr>
        <w:pStyle w:val="Heading1"/>
        <w:jc w:val="center"/>
        <w:rPr>
          <w:rFonts w:ascii="Times New Roman" w:hAnsi="Times New Roman" w:cs="Times New Roman"/>
          <w:lang w:val="es-ES"/>
        </w:rPr>
      </w:pPr>
      <w:bookmarkStart w:id="0" w:name="_xzlx0ucfgndw" w:colFirst="0" w:colLast="0"/>
      <w:bookmarkEnd w:id="0"/>
      <w:r w:rsidRPr="00250292">
        <w:rPr>
          <w:rFonts w:ascii="Times New Roman" w:hAnsi="Times New Roman" w:cs="Times New Roman"/>
          <w:lang w:val="es-ES"/>
        </w:rPr>
        <w:lastRenderedPageBreak/>
        <w:t>Exploración de Variables:</w:t>
      </w:r>
    </w:p>
    <w:p w14:paraId="33B24051" w14:textId="77777777" w:rsidR="006D2A00" w:rsidRPr="00250292" w:rsidRDefault="00000000" w:rsidP="002502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Variables </w:t>
      </w:r>
      <w:proofErr w:type="spellStart"/>
      <w:r w:rsidRPr="00250292">
        <w:rPr>
          <w:rFonts w:ascii="Times New Roman" w:eastAsia="Times New Roman" w:hAnsi="Times New Roman" w:cs="Times New Roman"/>
          <w:b/>
          <w:bCs/>
          <w:sz w:val="24"/>
          <w:szCs w:val="24"/>
        </w:rPr>
        <w:t>Categóricas</w:t>
      </w:r>
      <w:proofErr w:type="spellEnd"/>
      <w:r w:rsidRPr="002502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85A413C" w14:textId="6177184B" w:rsidR="006D2A00" w:rsidRPr="00250292" w:rsidRDefault="00250292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4ECA34" wp14:editId="68B0FDE4">
            <wp:simplePos x="0" y="0"/>
            <wp:positionH relativeFrom="column">
              <wp:posOffset>914400</wp:posOffset>
            </wp:positionH>
            <wp:positionV relativeFrom="paragraph">
              <wp:posOffset>1007745</wp:posOffset>
            </wp:positionV>
            <wp:extent cx="4450080" cy="2425700"/>
            <wp:effectExtent l="0" t="0" r="0" b="0"/>
            <wp:wrapSquare wrapText="bothSides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Ocupación: tiene 16 niveles en el cual el más frecuente es ___, luego sigue con </w:t>
      </w:r>
      <w:proofErr w:type="spellStart"/>
      <w:r w:rsidR="00000000"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Lawyer</w:t>
      </w:r>
      <w:proofErr w:type="spellEnd"/>
      <w:r w:rsidR="00000000"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3,925 y el menos frecuente siendo </w:t>
      </w:r>
      <w:proofErr w:type="spellStart"/>
      <w:r w:rsidR="00000000"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Writer</w:t>
      </w:r>
      <w:proofErr w:type="spellEnd"/>
      <w:r w:rsidR="00000000"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3,504, por lo que podemos notar que está bastante uniforme la distribución. Por otra parte, el área bajo la curva es de 50.23% que no es una buena variable predictora porque está muy cerca a que sea aleatorio. </w:t>
      </w:r>
    </w:p>
    <w:p w14:paraId="19858486" w14:textId="035CCEE1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Pago Mínimo: Tiene más instancias que su último pago fue el mínimo requerido por el banco, siendo un 59.7% aproximadamente. Sin embargo, el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area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bajo la curva para esta variable es de 72.75% lo cual nos dice que es una buena predictora.</w:t>
      </w: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3121FA5" wp14:editId="03C72EBA">
            <wp:extent cx="3694176" cy="3048000"/>
            <wp:effectExtent l="0" t="0" r="1905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873" cy="3062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9C779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Tipos de pagos: El tipo de pago más frecuente es de pocos pagos pequeños con un 16,458. Ahora bien, el área bajo la curva es de 46.11% por lo que se asume que su capacidad de predecir es moderada. </w:t>
      </w:r>
    </w:p>
    <w:p w14:paraId="6DA628AC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048D2D2" wp14:editId="4DFBCF39">
            <wp:extent cx="3388861" cy="2450592"/>
            <wp:effectExtent l="0" t="0" r="2540" b="635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508" cy="246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345C6" w14:textId="77777777" w:rsidR="006D2A00" w:rsidRPr="00250292" w:rsidRDefault="00000000" w:rsidP="002502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Variables </w:t>
      </w:r>
      <w:proofErr w:type="spellStart"/>
      <w:r w:rsidRPr="00250292">
        <w:rPr>
          <w:rFonts w:ascii="Times New Roman" w:eastAsia="Times New Roman" w:hAnsi="Times New Roman" w:cs="Times New Roman"/>
          <w:b/>
          <w:bCs/>
          <w:sz w:val="24"/>
          <w:szCs w:val="24"/>
        </w:rPr>
        <w:t>Numéricas</w:t>
      </w:r>
      <w:proofErr w:type="spellEnd"/>
      <w:r w:rsidRPr="002502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3487700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Edad: Tiene edades desde 14 hasta 95 años, con una media de 33 años. </w:t>
      </w:r>
    </w:p>
    <w:p w14:paraId="1E0A0C13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37B103" wp14:editId="41162A70">
            <wp:extent cx="3755136" cy="2377440"/>
            <wp:effectExtent l="0" t="0" r="4445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150" cy="2400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DFCEA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Ingreso Anual: Este varía mucho, el mínimo siendo de 7,006 y llegar a un máximo de 24,198,062. </w:t>
      </w:r>
      <w:r w:rsidRPr="00250292">
        <w:rPr>
          <w:rFonts w:ascii="Times New Roman" w:eastAsia="Times New Roman" w:hAnsi="Times New Roman" w:cs="Times New Roman"/>
          <w:sz w:val="24"/>
          <w:szCs w:val="24"/>
        </w:rPr>
        <w:t>La media es de 183,663.</w:t>
      </w:r>
    </w:p>
    <w:p w14:paraId="365C3F7A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FF504E" wp14:editId="68D86FA2">
            <wp:extent cx="3169557" cy="1853184"/>
            <wp:effectExtent l="0" t="0" r="5715" b="127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 rotWithShape="1">
                    <a:blip r:embed="rId10"/>
                    <a:srcRect b="16474"/>
                    <a:stretch/>
                  </pic:blipFill>
                  <pic:spPr bwMode="auto">
                    <a:xfrm>
                      <a:off x="0" y="0"/>
                      <a:ext cx="3179691" cy="185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BF415" w14:textId="77777777" w:rsidR="006D2A00" w:rsidRPr="00250292" w:rsidRDefault="006D2A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F7C0E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Ingresos Mensuales: Este tiene un rango de 0 a 21,167, con una media de 4,179. Este tiene un sesgo positivo como se puede ver en la siguiente grafica.</w:t>
      </w:r>
    </w:p>
    <w:p w14:paraId="41D7084B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8AAC63" wp14:editId="1228A208">
            <wp:extent cx="3340608" cy="2157984"/>
            <wp:effectExtent l="0" t="0" r="0" b="127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955" cy="2164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5EB9A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Cuentas Bancarias: tiene una persona que tiene 0 cuentas hasta 49 con una media de 5 cuentas por persona. Ahora bien, a esta variable se le quitaron los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outliers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 cual ayudo a mejorar la predicción.</w:t>
      </w:r>
    </w:p>
    <w:p w14:paraId="6E0C6249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A20E1A" wp14:editId="39CE33E5">
            <wp:extent cx="2048256" cy="148742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581" cy="150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03243A" wp14:editId="20E6BDA3">
            <wp:extent cx="3022847" cy="1670304"/>
            <wp:effectExtent l="0" t="0" r="0" b="635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223" cy="1683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AA0369" wp14:editId="74F3872B">
            <wp:extent cx="3023235" cy="1596895"/>
            <wp:effectExtent l="0" t="0" r="0" b="381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902" cy="1617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387B9" w14:textId="77777777" w:rsidR="006D2A00" w:rsidRPr="00250292" w:rsidRDefault="006D2A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AB221" w14:textId="197F6176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Tasa de </w:t>
      </w:r>
      <w:r w:rsidR="00351EBE"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interés</w:t>
      </w: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está varía de un 1% a un 34%, el promedio siendo de 14.55% </w:t>
      </w:r>
    </w:p>
    <w:p w14:paraId="5D306172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66EAC4" wp14:editId="206775B9">
            <wp:extent cx="3328416" cy="1852930"/>
            <wp:effectExtent l="0" t="0" r="0" b="127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589" cy="186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73ADE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Meses Atraso: Esta variable tiene números negativos, entonces tiene un rango de -5 a 67 meses y su media es de 21. </w:t>
      </w: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9B04E7A" wp14:editId="049C2DE4">
            <wp:extent cx="3559810" cy="21336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874" cy="2145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A1211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Cambio límite: Este varía de 0.01 a 36.09 con una media de 10.61.  </w:t>
      </w: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BED2902" wp14:editId="5A732F36">
            <wp:extent cx="3559810" cy="1950518"/>
            <wp:effectExtent l="0" t="0" r="0" b="5715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578" cy="1970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3F197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Consulta crédito: la cantidad de veces que ha consultado sobre su crédito varían de 0 a 2,597 con un promedio de 28 veces.  A este también se le quitaron los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outliers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para mejorar la predicción. </w:t>
      </w: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A67151F" wp14:editId="5BD6F1F6">
            <wp:extent cx="3413760" cy="2255362"/>
            <wp:effectExtent l="0" t="0" r="2540" b="571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255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7F869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E78BF1" wp14:editId="6AF0EA94">
            <wp:extent cx="3243072" cy="1962912"/>
            <wp:effectExtent l="0" t="0" r="0" b="5715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344" cy="1976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7DE9B56" wp14:editId="153C009D">
            <wp:extent cx="3242945" cy="21092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843" cy="2123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1A3B8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Inversión Mensual: La inversión mensual varía de 0 a 1,977.33, con una media de 194.37. Se puede notar un sesgo positivo previo a  que  se le quitaran los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outliers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mejorar la predicción. </w:t>
      </w:r>
    </w:p>
    <w:p w14:paraId="06629FF1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CAF0156" wp14:editId="75143DBE">
            <wp:extent cx="3267456" cy="1962912"/>
            <wp:effectExtent l="0" t="0" r="0" b="5715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682" cy="1982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AF57E7" wp14:editId="5EBC9373">
            <wp:extent cx="3267075" cy="2121408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558" cy="2138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E88B7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Balance Mensual: Este varía de 0.089 a 1,602.04 con un promedio de 402.51.</w:t>
      </w:r>
    </w:p>
    <w:p w14:paraId="2CEF95BF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E0FEFA5" wp14:editId="77B752B5">
            <wp:extent cx="3267075" cy="2206752"/>
            <wp:effectExtent l="0" t="0" r="0" b="3175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3506" cy="2217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C8AFC" w14:textId="77777777" w:rsid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Historial Crediticio: Tiene un rango de 0 a 39.7 años, con un promedio de 17 años por cliente.</w:t>
      </w:r>
    </w:p>
    <w:p w14:paraId="7E507BE0" w14:textId="37D01F46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 </w:t>
      </w: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984E4BE" wp14:editId="6DA6EC9C">
            <wp:extent cx="3718560" cy="2072640"/>
            <wp:effectExtent l="0" t="0" r="0" b="381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7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D491E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Deuda: el monto de la deuda varía de 0.23 a 4,998.07 con un promedio de 1,425.41.</w:t>
      </w:r>
    </w:p>
    <w:p w14:paraId="42DAF0C5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C26A0B" wp14:editId="0C01D39D">
            <wp:extent cx="3755136" cy="2328672"/>
            <wp:effectExtent l="0" t="0" r="4445" b="0"/>
            <wp:docPr id="1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891" cy="2344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38C8E" w14:textId="77777777" w:rsidR="006D2A00" w:rsidRPr="00250292" w:rsidRDefault="00000000" w:rsidP="002502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Utilización de crédito: El porcentaje va de 20% a un 50% con un promedio de 32.28% </w:t>
      </w:r>
    </w:p>
    <w:p w14:paraId="74441F5D" w14:textId="77777777" w:rsidR="006D2A00" w:rsidRPr="00250292" w:rsidRDefault="00000000" w:rsidP="0025029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2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01E524" wp14:editId="7942EEF3">
            <wp:extent cx="3621024" cy="237744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860" cy="2388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435AF" w14:textId="77777777" w:rsidR="006D2A00" w:rsidRPr="00250292" w:rsidRDefault="00000000" w:rsidP="00250292">
      <w:pPr>
        <w:pStyle w:val="Heading1"/>
        <w:jc w:val="center"/>
        <w:rPr>
          <w:rFonts w:ascii="Times New Roman" w:hAnsi="Times New Roman" w:cs="Times New Roman"/>
          <w:lang w:val="es-ES"/>
        </w:rPr>
      </w:pPr>
      <w:bookmarkStart w:id="1" w:name="_gehwn4fbzf3b" w:colFirst="0" w:colLast="0"/>
      <w:bookmarkEnd w:id="1"/>
      <w:r w:rsidRPr="00250292">
        <w:rPr>
          <w:rFonts w:ascii="Times New Roman" w:hAnsi="Times New Roman" w:cs="Times New Roman"/>
          <w:lang w:val="es-ES"/>
        </w:rPr>
        <w:lastRenderedPageBreak/>
        <w:t>Resultados de Modelos:</w:t>
      </w:r>
    </w:p>
    <w:p w14:paraId="5E463FA5" w14:textId="1A7EC90A" w:rsidR="00507F7C" w:rsidRPr="00351EBE" w:rsidRDefault="00507F7C" w:rsidP="00507F7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probaron 9 modelos, sin embargo, se eligió el siguiente modelo porque tenía el </w:t>
      </w:r>
      <w:proofErr w:type="spellStart"/>
      <w:r>
        <w:rPr>
          <w:rFonts w:ascii="Times New Roman" w:hAnsi="Times New Roman" w:cs="Times New Roman"/>
          <w:lang w:val="es-ES"/>
        </w:rPr>
        <w:t>akaike</w:t>
      </w:r>
      <w:proofErr w:type="spellEnd"/>
      <w:r>
        <w:rPr>
          <w:rFonts w:ascii="Times New Roman" w:hAnsi="Times New Roman" w:cs="Times New Roman"/>
          <w:lang w:val="es-ES"/>
        </w:rPr>
        <w:t xml:space="preserve"> más bajo, dependiendo de la segmentación que realice, el </w:t>
      </w:r>
      <w:proofErr w:type="spellStart"/>
      <w:r>
        <w:rPr>
          <w:rFonts w:ascii="Times New Roman" w:hAnsi="Times New Roman" w:cs="Times New Roman"/>
          <w:lang w:val="es-ES"/>
        </w:rPr>
        <w:t>train</w:t>
      </w:r>
      <w:proofErr w:type="spellEnd"/>
      <w:r>
        <w:rPr>
          <w:rFonts w:ascii="Times New Roman" w:hAnsi="Times New Roman" w:cs="Times New Roman"/>
          <w:lang w:val="es-ES"/>
        </w:rPr>
        <w:t xml:space="preserve"> está muy cerca del modelo 3, en donde el model3 daba un AIC de 57179.69 y luego el modelo final daba un AIC de 57180.16. Ahora bien, este modelo final tiene un </w:t>
      </w:r>
      <w:proofErr w:type="spellStart"/>
      <w:r>
        <w:rPr>
          <w:rFonts w:ascii="Times New Roman" w:hAnsi="Times New Roman" w:cs="Times New Roman"/>
          <w:lang w:val="es-ES"/>
        </w:rPr>
        <w:t>accuracy</w:t>
      </w:r>
      <w:proofErr w:type="spellEnd"/>
      <w:r>
        <w:rPr>
          <w:rFonts w:ascii="Times New Roman" w:hAnsi="Times New Roman" w:cs="Times New Roman"/>
          <w:lang w:val="es-ES"/>
        </w:rPr>
        <w:t xml:space="preserve"> mayor de 63.14 a un 63.096 en la parte de test, lo cual es mínimo, pero se prefirió este modelo por esa pequeña diferencia. Ahora bien, se descartaron las variables </w:t>
      </w:r>
      <w:proofErr w:type="spellStart"/>
      <w:r>
        <w:rPr>
          <w:rFonts w:ascii="Times New Roman" w:hAnsi="Times New Roman" w:cs="Times New Roman"/>
          <w:lang w:val="es-ES"/>
        </w:rPr>
        <w:t>dummy</w:t>
      </w:r>
      <w:proofErr w:type="spellEnd"/>
      <w:r>
        <w:rPr>
          <w:rFonts w:ascii="Times New Roman" w:hAnsi="Times New Roman" w:cs="Times New Roman"/>
          <w:lang w:val="es-ES"/>
        </w:rPr>
        <w:t xml:space="preserve"> de ocupación porque no tenían un poder predictivo muy alto y hacían que el </w:t>
      </w:r>
      <w:proofErr w:type="spellStart"/>
      <w:r>
        <w:rPr>
          <w:rFonts w:ascii="Times New Roman" w:hAnsi="Times New Roman" w:cs="Times New Roman"/>
          <w:lang w:val="es-ES"/>
        </w:rPr>
        <w:t>akaike</w:t>
      </w:r>
      <w:proofErr w:type="spellEnd"/>
      <w:r>
        <w:rPr>
          <w:rFonts w:ascii="Times New Roman" w:hAnsi="Times New Roman" w:cs="Times New Roman"/>
          <w:lang w:val="es-ES"/>
        </w:rPr>
        <w:t xml:space="preserve"> aumentara.</w:t>
      </w:r>
    </w:p>
    <w:p w14:paraId="6A06BDA0" w14:textId="77777777" w:rsidR="006D2A00" w:rsidRPr="00250292" w:rsidRDefault="006D2A00" w:rsidP="00250292">
      <w:pPr>
        <w:jc w:val="both"/>
        <w:rPr>
          <w:rFonts w:ascii="Times New Roman" w:hAnsi="Times New Roman" w:cs="Times New Roman"/>
          <w:lang w:val="es-ES"/>
        </w:rPr>
      </w:pPr>
    </w:p>
    <w:p w14:paraId="1FA5856F" w14:textId="77777777" w:rsidR="006D2A00" w:rsidRPr="00250292" w:rsidRDefault="00000000" w:rsidP="00250292">
      <w:pPr>
        <w:jc w:val="both"/>
        <w:rPr>
          <w:rFonts w:ascii="Times New Roman" w:hAnsi="Times New Roman" w:cs="Times New Roman"/>
        </w:rPr>
      </w:pPr>
      <w:proofErr w:type="spellStart"/>
      <w:r w:rsidRPr="00250292">
        <w:rPr>
          <w:rFonts w:ascii="Times New Roman" w:hAnsi="Times New Roman" w:cs="Times New Roman"/>
        </w:rPr>
        <w:t>Modelo</w:t>
      </w:r>
      <w:proofErr w:type="spellEnd"/>
      <w:r w:rsidRPr="00250292">
        <w:rPr>
          <w:rFonts w:ascii="Times New Roman" w:hAnsi="Times New Roman" w:cs="Times New Roman"/>
        </w:rPr>
        <w:t xml:space="preserve"> final:</w:t>
      </w:r>
    </w:p>
    <w:p w14:paraId="2BFCB2CA" w14:textId="2C11E703" w:rsidR="006D2A00" w:rsidRPr="00F96C66" w:rsidRDefault="00250292" w:rsidP="00250292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Calificacio</m:t>
          </m:r>
          <m:r>
            <w:rPr>
              <w:rFonts w:ascii="Cambria Math" w:hAnsi="Cambria Math" w:cs="Times New Roman"/>
            </w:rPr>
            <m:t>n Riesgo</m:t>
          </m:r>
          <m:r>
            <w:rPr>
              <w:rFonts w:ascii="Cambria Math" w:hAnsi="Cambria Math" w:cs="Times New Roman"/>
            </w:rPr>
            <m:t>= Edad+ Ingreso Anual+ Ingreso Mensual + Cuentas Bancarias +Tasa Interes</m:t>
          </m:r>
          <m:r>
            <w:rPr>
              <w:rFonts w:ascii="Cambria Math" w:hAnsi="Cambria Math" w:cs="Times New Roman"/>
            </w:rPr>
            <m:t>+Meses Atraso+Cambio Limite+Consulta Credito+Deuda+Utilizacion Crediticio+Pago Minimo 1+Inversion Mensual+Balance Mensual+Historial Crediticio+Ocupacion+Tipo pago1+Tipo pago2+Tipo pago4+Tipo pago5+Tipo pago6</m:t>
          </m:r>
        </m:oMath>
      </m:oMathPara>
    </w:p>
    <w:p w14:paraId="5E3C1F5F" w14:textId="282E7D04" w:rsidR="00F96C66" w:rsidRPr="00F96C66" w:rsidRDefault="00351EBE" w:rsidP="00250292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Interpretación: </w:t>
      </w:r>
    </w:p>
    <w:p w14:paraId="1863C375" w14:textId="4A2C08F2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Hay dos </w:t>
      </w:r>
      <w:proofErr w:type="spellStart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interceptos</w:t>
      </w:r>
      <w:proofErr w:type="spellEnd"/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, porque el tercero se toma como referencia implícita. El primer</w:t>
      </w:r>
      <w:r w:rsidR="00F96C6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nivel</w:t>
      </w: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de -1.10 y el segundo </w:t>
      </w:r>
      <w:r w:rsidR="00F96C6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nivel </w:t>
      </w: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 de -3.085, que es la probabilidad de que sea cada nivel de riesgo en caso el resto de las variables sean cero. </w:t>
      </w:r>
      <w:r w:rsidR="00F96C6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="00F96C66">
        <w:rPr>
          <w:rFonts w:ascii="Times New Roman" w:eastAsia="Times New Roman" w:hAnsi="Times New Roman" w:cs="Times New Roman"/>
          <w:sz w:val="24"/>
          <w:szCs w:val="24"/>
          <w:lang w:val="es-ES"/>
        </w:rPr>
        <w:t>implicito</w:t>
      </w:r>
      <w:proofErr w:type="spellEnd"/>
      <w:r w:rsidR="00F96C6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0, el cual </w:t>
      </w:r>
      <w:r w:rsidR="00507F7C">
        <w:rPr>
          <w:rFonts w:ascii="Times New Roman" w:eastAsia="Times New Roman" w:hAnsi="Times New Roman" w:cs="Times New Roman"/>
          <w:sz w:val="24"/>
          <w:szCs w:val="24"/>
          <w:lang w:val="es-ES"/>
        </w:rPr>
        <w:t>significa</w:t>
      </w:r>
      <w:r w:rsidR="00F96C6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bueno, nivel 1 es regular y el nivel de riesgo 2 es malo.</w:t>
      </w:r>
    </w:p>
    <w:p w14:paraId="464E0B56" w14:textId="77777777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Edad: Por cada año extra, la probabilidad de calificación de riesgo 1 disminuye en 0.00333, mientras que para el nivel 2 disminuye en 0.003415</w:t>
      </w:r>
    </w:p>
    <w:p w14:paraId="3B15C60C" w14:textId="77777777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Ingreso anual: por cada unidad que aumente el ingreso anual, la probabilidad de que el nivel de riesgo sea 1 aumenta en 0.00000001160936, por el otro lado para el nivel 2 disminuye en 0.00000001154682</w:t>
      </w:r>
    </w:p>
    <w:p w14:paraId="4D5B921A" w14:textId="77777777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Cuentas Bancarias: Por cada cuenta extra que tenga el individuo, la probabilidad que sea nivel 1 aumenta en 0.091, mientras que para el nivel 2 aumenta en 0.052.</w:t>
      </w:r>
    </w:p>
    <w:p w14:paraId="4D00BDD2" w14:textId="77777777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Tasa interés: por cada unidad que aumente la tasa de interés la probabilidad de ser nivel 1 aumenta en 0.06386559, por el otro lado para el nivel 2 aumenta en 0.116.</w:t>
      </w:r>
    </w:p>
    <w:p w14:paraId="307EFAFB" w14:textId="77777777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Meses Atraso: Por cada mes de atraso, la probabilidad de ser nivel 1 aumenta en 0.04, mientras que para ser nivel 2 aumenta en 0.055.</w:t>
      </w:r>
    </w:p>
    <w:p w14:paraId="126F32EC" w14:textId="77777777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Tipo Pago 1: tener este tipo de pago (pocos pagos de valor pequeño) hace que la probabilidad de ser nivel 1 aumente en de 0.48 y nivel 2  sea de 0.7978.</w:t>
      </w:r>
    </w:p>
    <w:p w14:paraId="4F014301" w14:textId="77777777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Tipo Pago 2: tener este tipo de pago (pocos pagos de valor mediano) hace que la probabilidad de ser nivel 1 aumente en de 0.2775 y nivel 2 sea de  0.495.</w:t>
      </w:r>
    </w:p>
    <w:p w14:paraId="7E744AD6" w14:textId="77777777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Tipo Pago 4: tener este tipo de pago (muchos pagos de valor pequeño) hace que la probabilidad de ser nivel 1 aumente en de 0.01706 y nivel 2 disminuye en -0.042.</w:t>
      </w:r>
    </w:p>
    <w:p w14:paraId="4E67ECE7" w14:textId="77777777" w:rsidR="006D2A00" w:rsidRPr="00250292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Tipo Pago 5: tener este tipo de pago (muchos pagos de valor mediano) hace que la probabilidad de ser nivel 1 disminuya en de -0.086 y nivel 2 disminuye en -0.19.</w:t>
      </w:r>
    </w:p>
    <w:p w14:paraId="6242BE07" w14:textId="15AF62C0" w:rsidR="006D2A00" w:rsidRPr="00351EBE" w:rsidRDefault="00000000" w:rsidP="002502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0292">
        <w:rPr>
          <w:rFonts w:ascii="Times New Roman" w:eastAsia="Times New Roman" w:hAnsi="Times New Roman" w:cs="Times New Roman"/>
          <w:sz w:val="24"/>
          <w:szCs w:val="24"/>
          <w:lang w:val="es-ES"/>
        </w:rPr>
        <w:t>Tipo Pago 6: tener este tipo de pago (muchos pagos de valor grande) hace que la probabilidad de ser nivel 1 disminuya en de -0.262  y el nivel 2 disminuye en -0.54.</w:t>
      </w:r>
    </w:p>
    <w:sectPr w:rsidR="006D2A00" w:rsidRPr="00351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6C04"/>
    <w:multiLevelType w:val="multilevel"/>
    <w:tmpl w:val="5D005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8B4CE2"/>
    <w:multiLevelType w:val="multilevel"/>
    <w:tmpl w:val="61EC2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23873">
    <w:abstractNumId w:val="0"/>
  </w:num>
  <w:num w:numId="2" w16cid:durableId="15279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A00"/>
    <w:rsid w:val="000159D7"/>
    <w:rsid w:val="00250292"/>
    <w:rsid w:val="00351EBE"/>
    <w:rsid w:val="00507F7C"/>
    <w:rsid w:val="006B57A4"/>
    <w:rsid w:val="006D2A00"/>
    <w:rsid w:val="00AA08B0"/>
    <w:rsid w:val="00F9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FB9E"/>
  <w15:docId w15:val="{CFC22802-E2F5-9442-97D1-B0FB1803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Grotewold</cp:lastModifiedBy>
  <cp:revision>2</cp:revision>
  <dcterms:created xsi:type="dcterms:W3CDTF">2023-07-04T04:26:00Z</dcterms:created>
  <dcterms:modified xsi:type="dcterms:W3CDTF">2023-07-04T04:26:00Z</dcterms:modified>
</cp:coreProperties>
</file>