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University AI Data Center Decision Memo</w:t>
      </w:r>
    </w:p>
    <w:p>
      <w:pPr>
        <w:spacing w:after="280"/>
      </w:pPr>
      <w:r>
        <w:rPr>
          <w:b/>
        </w:rPr>
        <w:t xml:space="preserve">To: </w:t>
      </w:r>
      <w:r>
        <w:t>University investment committee</w:t>
      </w:r>
      <w:r>
        <w:br/>
      </w:r>
      <w:r>
        <w:rPr>
          <w:b/>
        </w:rPr>
        <w:t xml:space="preserve">From: </w:t>
      </w:r>
      <w:r>
        <w:t>Project team</w:t>
      </w:r>
      <w:r>
        <w:br/>
      </w:r>
      <w:r>
        <w:rPr>
          <w:b/>
        </w:rPr>
        <w:t xml:space="preserve">Date: </w:t>
      </w:r>
      <w:r>
        <w:t>October 6, 2026</w:t>
      </w:r>
      <w:r>
        <w:br/>
      </w:r>
      <w:r>
        <w:rPr>
          <w:b/>
        </w:rPr>
        <w:t xml:space="preserve">Subject: </w:t>
      </w:r>
      <w:r>
        <w:t>Texas reference site and next funding gate</w:t>
      </w:r>
    </w:p>
    <w:p>
      <w:pPr>
        <w:pStyle w:val="Heading1"/>
      </w:pPr>
      <w:r>
        <w:t>Executive summary</w:t>
      </w:r>
    </w:p>
    <w:p>
      <w:r>
        <w:t>The committee is considering a shared AI data center for university members. We recommend Texas as the reference location and authorization of a bounded diligence stage, not construction or equipment procurement. Texas leads the weighted site comparison (3.60 versus 3.05 for Québec and Helsinki), chiefly because it reaches more of the modeled member demand within the 50 ms threshold. The 20 MW IT reference design implies 25 MW at the facility and 219 GWh of annual electricity demand. That scale makes grid timing, power terms, resilience and contracted member demand decisive. Return for a capital decision only with a written utility schedule and cost, site-specific engineering, member commitments and priced delivery options.</w:t>
      </w:r>
    </w:p>
    <w:p>
      <w:pPr>
        <w:pStyle w:val="Heading1"/>
      </w:pPr>
      <w:r>
        <w:t>1. Site selection: proximity gives Texas the lead</w:t>
      </w:r>
    </w:p>
    <w:p>
      <w:r>
        <w:t>The same weighted rubric compares Texas, Québec and Helsinki; demand proximity carries the largest weight at 25%. In the modeled demand distribution, Texas places 62.3% of addressable demand inside a 50 ms round trip, versus 50.7% for Québec and 19.5% for Helsinki. This explains the score advantage, while the table remains a reference-site comparison rather than a final property decision.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153747"/>
          </w:tcPr>
          <w:p>
            <w:pPr>
              <w:spacing w:after="0" w:before="60"/>
            </w:pPr>
            <w:r>
              <w:rPr>
                <w:b/>
                <w:color w:val="FFFFFF"/>
                <w:sz w:val="19"/>
              </w:rPr>
              <w:t>Reference site</w:t>
            </w:r>
          </w:p>
        </w:tc>
        <w:tc>
          <w:tcPr>
            <w:tcW w:type="dxa" w:w="3216"/>
            <w:vAlign w:val="center"/>
            <w:shd w:fill="153747"/>
          </w:tcPr>
          <w:p>
            <w:pPr>
              <w:spacing w:after="0" w:before="60"/>
            </w:pPr>
            <w:r>
              <w:rPr>
                <w:b/>
                <w:color w:val="FFFFFF"/>
                <w:sz w:val="19"/>
              </w:rPr>
              <w:t>Weighted score</w:t>
            </w:r>
          </w:p>
        </w:tc>
        <w:tc>
          <w:tcPr>
            <w:tcW w:type="dxa" w:w="3216"/>
            <w:vAlign w:val="center"/>
            <w:shd w:fill="153747"/>
          </w:tcPr>
          <w:p>
            <w:pPr>
              <w:spacing w:after="0" w:before="60"/>
            </w:pPr>
            <w:r>
              <w:rPr>
                <w:b/>
                <w:color w:val="FFFFFF"/>
                <w:sz w:val="19"/>
              </w:rPr>
              <w:t>Demand within 50 ms</w:t>
            </w:r>
          </w:p>
        </w:tc>
      </w:tr>
      <w:tr>
        <w:tc>
          <w:tcPr>
            <w:tcW w:type="dxa" w:w="3216"/>
            <w:vAlign w:val="center"/>
            <w:shd w:fill="FFFFFF"/>
          </w:tcPr>
          <w:p>
            <w:pPr>
              <w:spacing w:after="0" w:before="60"/>
            </w:pPr>
            <w:r>
              <w:rPr>
                <w:sz w:val="19"/>
              </w:rPr>
              <w:t>Texas, United States</w:t>
            </w:r>
          </w:p>
        </w:tc>
        <w:tc>
          <w:tcPr>
            <w:tcW w:type="dxa" w:w="3216"/>
            <w:vAlign w:val="center"/>
            <w:shd w:fill="FFFFFF"/>
          </w:tcPr>
          <w:p>
            <w:pPr>
              <w:spacing w:after="0" w:before="60"/>
            </w:pPr>
            <w:r>
              <w:rPr>
                <w:sz w:val="19"/>
              </w:rPr>
              <w:t>3.60</w:t>
            </w:r>
          </w:p>
        </w:tc>
        <w:tc>
          <w:tcPr>
            <w:tcW w:type="dxa" w:w="3216"/>
            <w:vAlign w:val="center"/>
            <w:shd w:fill="FFFFFF"/>
          </w:tcPr>
          <w:p>
            <w:pPr>
              <w:spacing w:after="0" w:before="60"/>
            </w:pPr>
            <w:r>
              <w:rPr>
                <w:sz w:val="19"/>
              </w:rPr>
              <w:t>62.3%</w:t>
            </w:r>
          </w:p>
        </w:tc>
      </w:tr>
      <w:tr>
        <w:tc>
          <w:tcPr>
            <w:tcW w:type="dxa" w:w="3216"/>
            <w:vAlign w:val="center"/>
            <w:shd w:fill="F0F5F5"/>
          </w:tcPr>
          <w:p>
            <w:pPr>
              <w:spacing w:after="0" w:before="60"/>
            </w:pPr>
            <w:r>
              <w:rPr>
                <w:sz w:val="19"/>
              </w:rPr>
              <w:t>Québec, Canada</w:t>
            </w:r>
          </w:p>
        </w:tc>
        <w:tc>
          <w:tcPr>
            <w:tcW w:type="dxa" w:w="3216"/>
            <w:vAlign w:val="center"/>
            <w:shd w:fill="F0F5F5"/>
          </w:tcPr>
          <w:p>
            <w:pPr>
              <w:spacing w:after="0" w:before="60"/>
            </w:pPr>
            <w:r>
              <w:rPr>
                <w:sz w:val="19"/>
              </w:rPr>
              <w:t>3.05</w:t>
            </w:r>
          </w:p>
        </w:tc>
        <w:tc>
          <w:tcPr>
            <w:tcW w:type="dxa" w:w="3216"/>
            <w:vAlign w:val="center"/>
            <w:shd w:fill="F0F5F5"/>
          </w:tcPr>
          <w:p>
            <w:pPr>
              <w:spacing w:after="0" w:before="60"/>
            </w:pPr>
            <w:r>
              <w:rPr>
                <w:sz w:val="19"/>
              </w:rPr>
              <w:t>50.7%</w:t>
            </w:r>
          </w:p>
        </w:tc>
      </w:tr>
      <w:tr>
        <w:tc>
          <w:tcPr>
            <w:tcW w:type="dxa" w:w="3216"/>
            <w:vAlign w:val="center"/>
            <w:shd w:fill="FFFFFF"/>
          </w:tcPr>
          <w:p>
            <w:pPr>
              <w:spacing w:after="0" w:before="60"/>
            </w:pPr>
            <w:r>
              <w:rPr>
                <w:sz w:val="19"/>
              </w:rPr>
              <w:t>Helsinki, Finland</w:t>
            </w:r>
          </w:p>
        </w:tc>
        <w:tc>
          <w:tcPr>
            <w:tcW w:type="dxa" w:w="3216"/>
            <w:vAlign w:val="center"/>
            <w:shd w:fill="FFFFFF"/>
          </w:tcPr>
          <w:p>
            <w:pPr>
              <w:spacing w:after="0" w:before="60"/>
            </w:pPr>
            <w:r>
              <w:rPr>
                <w:sz w:val="19"/>
              </w:rPr>
              <w:t>3.05</w:t>
            </w:r>
          </w:p>
        </w:tc>
        <w:tc>
          <w:tcPr>
            <w:tcW w:type="dxa" w:w="3216"/>
            <w:vAlign w:val="center"/>
            <w:shd w:fill="FFFFFF"/>
          </w:tcPr>
          <w:p>
            <w:pPr>
              <w:spacing w:after="0" w:before="60"/>
            </w:pPr>
            <w:r>
              <w:rPr>
                <w:sz w:val="19"/>
              </w:rPr>
              <w:t>19.5%</w:t>
            </w:r>
          </w:p>
        </w:tc>
      </w:tr>
    </w:tbl>
    <w:p>
      <w:pPr>
        <w:pStyle w:val="Heading1"/>
      </w:pPr>
      <w:r>
        <w:t>2. Design: the grid and resilience set the gate</w:t>
      </w:r>
    </w:p>
    <w:p>
      <w:r>
        <w:t>The planning baseline is 20 MW of IT demand at a PUE of 1.25, producing 25 MW of total facility demand. At 8,760 operating hours, the calculated annual energy requirement is 219 GWh. The major design choice is closed-loop, non-evaporative cooling. The electrical concept includes protected distribution, UPS ride-through and backup generation. A 48-hour outage at full facility demand implies 1,200 MWh of delivered backup energy before load shedding; the fuel plan, emissions permits and redundancy topology therefore require site-specific engineering.</w:t>
      </w:r>
    </w:p>
    <w:p>
      <w:pPr>
        <w:pStyle w:val="Heading1"/>
        <w:pageBreakBefore/>
      </w:pPr>
      <w:r>
        <w:t>3. Investment: stage capital against evidence</w:t>
      </w:r>
    </w:p>
    <w:p>
      <w:r>
        <w:t>Build-and-own, lease and phased hybrid structures are available for comparison in the decision explorer. The editable example assumes six months to grid energization; its delay stress adds a further year. It shows how power price, utilization, PUE and delay affect pre-opening cash, operating cost, cost per productive GPU-hour and capital at risk. This is a sensitivity tool, not a capital approval case: vendor prices, financing terms, replacement schedules and contracted workloads must replace scenario inputs.</w:t>
      </w:r>
    </w:p>
    <w:p>
      <w:r>
        <w:t>Development equity funds the utility study, site control, member-demand survey and early design. Construction debt should follow a connection agreement, priced scope, permits and committed demand. Equipment financing should follow GPU procurement terms and defined operating service levels.</w:t>
      </w:r>
    </w:p>
    <w:p>
      <w:pPr>
        <w:pStyle w:val="Heading1"/>
      </w:pPr>
      <w:r>
        <w:t>4. Conditions and reversal tests</w:t>
      </w:r>
    </w:p>
    <w:p>
      <w:pPr>
        <w:pStyle w:val="ListBullet"/>
      </w:pPr>
      <w:r>
        <w:t>Get a written energization date and full connection cost for a specific Texas property; confirm large-load rules and curtailment terms.</w:t>
      </w:r>
    </w:p>
    <w:p>
      <w:pPr>
        <w:pStyle w:val="ListBullet"/>
      </w:pPr>
      <w:r>
        <w:t>Complete resilience, backup-power, refuelling and closed-loop cooling engineering with permitting implications.</w:t>
      </w:r>
    </w:p>
    <w:p>
      <w:pPr>
        <w:pStyle w:val="ListBullet"/>
      </w:pPr>
      <w:r>
        <w:t>Secure member demand commitments, a capacity policy and an acceptable power and carbon-attribute procurement plan.</w:t>
      </w:r>
    </w:p>
    <w:p>
      <w:pPr>
        <w:pStyle w:val="ListBullet"/>
      </w:pPr>
      <w:r>
        <w:t>Obtain comparable priced build, lease and hybrid offers with financing and equipment replacement assumptions.</w:t>
      </w:r>
    </w:p>
    <w:p>
      <w:r>
        <w:t>Re-run the site rubric if Québec offers a materially earlier connection and durable delivered power rate, if member workloads favor batch training or East Coast latency, or if Texas interconnection terms weaken availability or economics. These are decision-changing tests, not reasons to commit capital now.</w:t>
      </w:r>
    </w:p>
    <w:p>
      <w:pPr>
        <w:pStyle w:val="Heading1"/>
      </w:pPr>
      <w:r>
        <w:t>Conclusion and recommendation</w:t>
      </w:r>
    </w:p>
    <w:p>
      <w:r>
        <w:t>Approve the bounded utility, site and member-demand diligence package. Keep Texas as the base case and Québec and Helsinki as live comparators. The project team should return with a property-specific grid and resilience design, member commitments and comparable priced delivery offers before requesting construction or equipment capital.</w:t>
      </w:r>
    </w:p>
    <w:sectPr w:rsidR="00FC693F" w:rsidRPr="0006063C" w:rsidSect="00034616">
      <w:footerReference w:type="default" r:id="rId9"/>
      <w:pgSz w:w="12240" w:h="15840"/>
      <w:pgMar w:top="1080" w:right="1296" w:bottom="979"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3717A"/>
        <w:sz w:val="16"/>
      </w:rPr>
      <w:t>Shared university AI infrastructure  |  Decision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C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