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Shared University AI Data Center Decision Memo</w:t>
      </w:r>
    </w:p>
    <w:p>
      <w:pPr>
        <w:spacing w:after="280"/>
      </w:pPr>
      <w:r>
        <w:rPr>
          <w:b/>
        </w:rPr>
        <w:t xml:space="preserve">To: </w:t>
      </w:r>
      <w:r>
        <w:t>University investment committee</w:t>
      </w:r>
      <w:r>
        <w:br/>
      </w:r>
      <w:r>
        <w:rPr>
          <w:b/>
        </w:rPr>
        <w:t xml:space="preserve">From: </w:t>
      </w:r>
      <w:r>
        <w:t>Project team</w:t>
      </w:r>
      <w:r>
        <w:br/>
      </w:r>
      <w:r>
        <w:rPr>
          <w:b/>
        </w:rPr>
        <w:t xml:space="preserve">Date: </w:t>
      </w:r>
      <w:r>
        <w:t>October 6, 2026</w:t>
      </w:r>
      <w:r>
        <w:br/>
      </w:r>
      <w:r>
        <w:rPr>
          <w:b/>
        </w:rPr>
        <w:t xml:space="preserve">Subject: </w:t>
      </w:r>
      <w:r>
        <w:t>Texas reference site and next funding gate</w:t>
      </w:r>
    </w:p>
    <w:p>
      <w:pPr>
        <w:pStyle w:val="Heading1"/>
      </w:pPr>
      <w:r>
        <w:t>Decision requested</w:t>
      </w:r>
    </w:p>
    <w:p>
      <w:r>
        <w:t>Authorize the next stage of site, utility and member-demand diligence for a shared AI data center in Texas. Do not authorize full construction or equipment procurement yet. The current comparison favors Texas, but a binding capital decision depends on a written grid schedule and cost, a site-specific resilience design, committed member demand and priced vendor offers.</w:t>
      </w:r>
    </w:p>
    <w:p>
      <w:pPr>
        <w:pStyle w:val="Heading1"/>
      </w:pPr>
      <w:r>
        <w:t>Why Texas leads</w:t>
      </w:r>
    </w:p>
    <w:p>
      <w:r>
        <w:t>The project compared Texas, Québec and Helsinki using one weighted rubric. Texas scores 3.60; the other two reference locations each score 3.05. Demand proximity has the largest weight. In the modeled demand distribution, Texas places 62.3% of addressable demand inside a 50 ms round trip, compared with 50.7% for Québec and 19.5% for Helsinki. These scores are planning judgments, not utility bids or a final property selection.</w:t>
      </w:r>
    </w:p>
    <w:tbl>
      <w:tblPr>
        <w:tblStyle w:val="TableGrid"/>
        <w:tblW w:type="auto" w:w="0"/>
        <w:jc w:val="center"/>
        <w:tblLook w:firstColumn="1" w:firstRow="1" w:lastColumn="0" w:lastRow="0" w:noHBand="0" w:noVBand="1" w:val="04A0"/>
      </w:tblPr>
      <w:tblGrid>
        <w:gridCol w:w="3216"/>
        <w:gridCol w:w="3216"/>
        <w:gridCol w:w="3216"/>
      </w:tblGrid>
      <w:tr>
        <w:tc>
          <w:tcPr>
            <w:tcW w:type="dxa" w:w="3216"/>
            <w:vAlign w:val="center"/>
            <w:shd w:fill="153747"/>
          </w:tcPr>
          <w:p>
            <w:pPr>
              <w:spacing w:after="0" w:before="60"/>
            </w:pPr>
            <w:r>
              <w:rPr>
                <w:b/>
                <w:color w:val="FFFFFF"/>
                <w:sz w:val="19"/>
              </w:rPr>
              <w:t>Reference site</w:t>
            </w:r>
          </w:p>
        </w:tc>
        <w:tc>
          <w:tcPr>
            <w:tcW w:type="dxa" w:w="3216"/>
            <w:vAlign w:val="center"/>
            <w:shd w:fill="153747"/>
          </w:tcPr>
          <w:p>
            <w:pPr>
              <w:spacing w:after="0" w:before="60"/>
            </w:pPr>
            <w:r>
              <w:rPr>
                <w:b/>
                <w:color w:val="FFFFFF"/>
                <w:sz w:val="19"/>
              </w:rPr>
              <w:t>Weighted score</w:t>
            </w:r>
          </w:p>
        </w:tc>
        <w:tc>
          <w:tcPr>
            <w:tcW w:type="dxa" w:w="3216"/>
            <w:vAlign w:val="center"/>
            <w:shd w:fill="153747"/>
          </w:tcPr>
          <w:p>
            <w:pPr>
              <w:spacing w:after="0" w:before="60"/>
            </w:pPr>
            <w:r>
              <w:rPr>
                <w:b/>
                <w:color w:val="FFFFFF"/>
                <w:sz w:val="19"/>
              </w:rPr>
              <w:t>Demand within 50 ms</w:t>
            </w:r>
          </w:p>
        </w:tc>
      </w:tr>
      <w:tr>
        <w:tc>
          <w:tcPr>
            <w:tcW w:type="dxa" w:w="3216"/>
            <w:vAlign w:val="center"/>
            <w:shd w:fill="FFFFFF"/>
          </w:tcPr>
          <w:p>
            <w:pPr>
              <w:spacing w:after="0" w:before="60"/>
            </w:pPr>
            <w:r>
              <w:rPr>
                <w:sz w:val="19"/>
              </w:rPr>
              <w:t>Texas, United States</w:t>
            </w:r>
          </w:p>
        </w:tc>
        <w:tc>
          <w:tcPr>
            <w:tcW w:type="dxa" w:w="3216"/>
            <w:vAlign w:val="center"/>
            <w:shd w:fill="FFFFFF"/>
          </w:tcPr>
          <w:p>
            <w:pPr>
              <w:spacing w:after="0" w:before="60"/>
            </w:pPr>
            <w:r>
              <w:rPr>
                <w:sz w:val="19"/>
              </w:rPr>
              <w:t>3.60</w:t>
            </w:r>
          </w:p>
        </w:tc>
        <w:tc>
          <w:tcPr>
            <w:tcW w:type="dxa" w:w="3216"/>
            <w:vAlign w:val="center"/>
            <w:shd w:fill="FFFFFF"/>
          </w:tcPr>
          <w:p>
            <w:pPr>
              <w:spacing w:after="0" w:before="60"/>
            </w:pPr>
            <w:r>
              <w:rPr>
                <w:sz w:val="19"/>
              </w:rPr>
              <w:t>62.3%</w:t>
            </w:r>
          </w:p>
        </w:tc>
      </w:tr>
      <w:tr>
        <w:tc>
          <w:tcPr>
            <w:tcW w:type="dxa" w:w="3216"/>
            <w:vAlign w:val="center"/>
            <w:shd w:fill="F0F5F5"/>
          </w:tcPr>
          <w:p>
            <w:pPr>
              <w:spacing w:after="0" w:before="60"/>
            </w:pPr>
            <w:r>
              <w:rPr>
                <w:sz w:val="19"/>
              </w:rPr>
              <w:t>Québec, Canada</w:t>
            </w:r>
          </w:p>
        </w:tc>
        <w:tc>
          <w:tcPr>
            <w:tcW w:type="dxa" w:w="3216"/>
            <w:vAlign w:val="center"/>
            <w:shd w:fill="F0F5F5"/>
          </w:tcPr>
          <w:p>
            <w:pPr>
              <w:spacing w:after="0" w:before="60"/>
            </w:pPr>
            <w:r>
              <w:rPr>
                <w:sz w:val="19"/>
              </w:rPr>
              <w:t>3.05</w:t>
            </w:r>
          </w:p>
        </w:tc>
        <w:tc>
          <w:tcPr>
            <w:tcW w:type="dxa" w:w="3216"/>
            <w:vAlign w:val="center"/>
            <w:shd w:fill="F0F5F5"/>
          </w:tcPr>
          <w:p>
            <w:pPr>
              <w:spacing w:after="0" w:before="60"/>
            </w:pPr>
            <w:r>
              <w:rPr>
                <w:sz w:val="19"/>
              </w:rPr>
              <w:t>50.7%</w:t>
            </w:r>
          </w:p>
        </w:tc>
      </w:tr>
      <w:tr>
        <w:tc>
          <w:tcPr>
            <w:tcW w:type="dxa" w:w="3216"/>
            <w:vAlign w:val="center"/>
            <w:shd w:fill="FFFFFF"/>
          </w:tcPr>
          <w:p>
            <w:pPr>
              <w:spacing w:after="0" w:before="60"/>
            </w:pPr>
            <w:r>
              <w:rPr>
                <w:sz w:val="19"/>
              </w:rPr>
              <w:t>Helsinki, Finland</w:t>
            </w:r>
          </w:p>
        </w:tc>
        <w:tc>
          <w:tcPr>
            <w:tcW w:type="dxa" w:w="3216"/>
            <w:vAlign w:val="center"/>
            <w:shd w:fill="FFFFFF"/>
          </w:tcPr>
          <w:p>
            <w:pPr>
              <w:spacing w:after="0" w:before="60"/>
            </w:pPr>
            <w:r>
              <w:rPr>
                <w:sz w:val="19"/>
              </w:rPr>
              <w:t>3.05</w:t>
            </w:r>
          </w:p>
        </w:tc>
        <w:tc>
          <w:tcPr>
            <w:tcW w:type="dxa" w:w="3216"/>
            <w:vAlign w:val="center"/>
            <w:shd w:fill="FFFFFF"/>
          </w:tcPr>
          <w:p>
            <w:pPr>
              <w:spacing w:after="0" w:before="60"/>
            </w:pPr>
            <w:r>
              <w:rPr>
                <w:sz w:val="19"/>
              </w:rPr>
              <w:t>19.5%</w:t>
            </w:r>
          </w:p>
        </w:tc>
      </w:tr>
    </w:tbl>
    <w:p>
      <w:pPr>
        <w:pStyle w:val="Heading1"/>
      </w:pPr>
      <w:r>
        <w:t>Reference design</w:t>
      </w:r>
    </w:p>
    <w:p>
      <w:r>
        <w:t>The planning baseline is 20 MW of IT demand at a PUE of 1.25, producing 25 MW of total facility demand. At 8,760 operating hours, the calculated annual energy requirement is 219 GWh. The major design choice is closed-loop, non-evaporative cooling. The electrical concept includes protected distribution, UPS ride-through and backup generation. A 48-hour grid outage at full facility demand would require 1,200 MWh of delivered energy before any load shedding. The fuel plan, emissions permits and actual redundancy topology need engineering work.</w:t>
      </w:r>
    </w:p>
    <w:p>
      <w:pPr>
        <w:pStyle w:val="Heading1"/>
      </w:pPr>
      <w:r>
        <w:t>Conditions for the next gate</w:t>
      </w:r>
    </w:p>
    <w:p>
      <w:pPr>
        <w:pStyle w:val="ListBullet"/>
      </w:pPr>
      <w:r>
        <w:t>Obtain a written utility energization timeline and the full connection cost for a specific property.</w:t>
      </w:r>
    </w:p>
    <w:p>
      <w:pPr>
        <w:pStyle w:val="ListBullet"/>
      </w:pPr>
      <w:r>
        <w:t>Confirm applicable large-load rules, curtailment obligations and operating flexibility.</w:t>
      </w:r>
    </w:p>
    <w:p>
      <w:pPr>
        <w:pStyle w:val="ListBullet"/>
      </w:pPr>
      <w:r>
        <w:t>Complete the site-specific resilience, backup-power and refuelling studies.</w:t>
      </w:r>
    </w:p>
    <w:p>
      <w:pPr>
        <w:pStyle w:val="ListBullet"/>
      </w:pPr>
      <w:r>
        <w:t>Preserve the closed-loop cooling requirement through vendor design and permitting.</w:t>
      </w:r>
    </w:p>
    <w:p>
      <w:pPr>
        <w:pStyle w:val="ListBullet"/>
      </w:pPr>
      <w:r>
        <w:t>Agree a procurement plan for electricity and carbon attributes that member institutions can accept.</w:t>
      </w:r>
    </w:p>
    <w:p>
      <w:pPr>
        <w:pStyle w:val="ListBullet"/>
      </w:pPr>
      <w:r>
        <w:t>Secure member demand commitments and a capacity policy that protects smaller institutions.</w:t>
      </w:r>
    </w:p>
    <w:p>
      <w:pPr>
        <w:pStyle w:val="Heading1"/>
        <w:pageBreakBefore/>
      </w:pPr>
      <w:r>
        <w:t>Investment path</w:t>
      </w:r>
    </w:p>
    <w:p>
      <w:r>
        <w:t>Build-and-own, lease and phased hybrid structures are available for comparison in the decision explorer. Its editable example demonstrates how power price, utilization, PUE and grid delay affect cash before opening, annual operating cost, cost per productive GPU-hour and capital at risk. The example inputs are scenario assumptions. Vendor quotes, financing terms, replacement schedules and contracted workloads are required before the committee can use a ten-year cash flow to approve capital.</w:t>
      </w:r>
    </w:p>
    <w:p>
      <w:r>
        <w:t>Development equity should fund the utility study, site control, demand survey and early design. Construction debt follows a connection agreement, priced scope, permits and committed demand. Equipment financing follows GPU procurement terms and operating service levels.</w:t>
      </w:r>
    </w:p>
    <w:p>
      <w:pPr>
        <w:pStyle w:val="Heading1"/>
      </w:pPr>
      <w:r>
        <w:t>What would reverse the recommendation</w:t>
      </w:r>
    </w:p>
    <w:p>
      <w:r>
        <w:t>A materially earlier Québec connection paired with a durable delivered power rate could change the site result. So could a member workload mix dominated by batch training, stronger East Coast latency needs, or Texas interconnection terms that reduce availability or increase cost. The committee should revisit the same rubric when those answers arrive.</w:t>
      </w:r>
    </w:p>
    <w:p>
      <w:pPr>
        <w:pStyle w:val="Heading1"/>
      </w:pPr>
      <w:r>
        <w:t>Next action</w:t>
      </w:r>
    </w:p>
    <w:p>
      <w:r>
        <w:t>Commission the utility and member-demand work, obtain priced build and lease proposals, and return to the committee with a site-specific gate package. Keep the Texas reference design as the base case while the alternative locations remain live comparators.</w:t>
      </w:r>
    </w:p>
    <w:sectPr w:rsidR="00FC693F" w:rsidRPr="0006063C" w:rsidSect="00034616">
      <w:footerReference w:type="default" r:id="rId9"/>
      <w:pgSz w:w="12240" w:h="15840"/>
      <w:pgMar w:top="1080" w:right="1296" w:bottom="979"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3717A"/>
        <w:sz w:val="16"/>
      </w:rPr>
      <w:t>Shared university AI infrastructure  |  Decision memo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C28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