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74" w:line="240" w:lineRule="auto"/>
        <w:ind w:left="170.07874015748033" w:right="56.6929133858267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цифрового развития, связи и массовых коммуникаций Российской Федерации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170.07874015748033" w:right="56.692913385826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170.07874015748033" w:right="56.6929133858267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 «Сибирский государственный университет телекоммуникаций и информатики» (СибГУТИ)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170.07874015748033" w:right="56.692913385826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170.07874015748033" w:right="56.692913385826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170.07874015748033" w:right="56.692913385826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170.07874015748033" w:right="56.692913385826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170.07874015748033" w:right="56.692913385826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170.07874015748033" w:right="56.692913385826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3" w:line="240" w:lineRule="auto"/>
        <w:ind w:left="170.07874015748033" w:right="56.692913385826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widowControl w:val="0"/>
        <w:spacing w:after="0" w:before="0" w:line="240" w:lineRule="auto"/>
        <w:ind w:left="170.07874015748033" w:right="56.69291338582678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Отчёт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170.07874015748033" w:right="56.6929133858267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расчетно-графическому заданию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170.07874015748033" w:right="56.6929133858267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Архитектура Вычислительных Систем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170.07874015748033" w:right="56.692913385826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170.07874015748033" w:right="56.692913385826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170.07874015748033" w:right="56.692913385826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70.07874015748033" w:right="56.692913385826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70.07874015748033" w:right="56.692913385826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70.07874015748033" w:right="56.692913385826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70.07874015748033" w:right="56.692913385826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70.07874015748033" w:right="56.692913385826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6">
      <w:pPr>
        <w:ind w:left="170.07874015748033" w:right="56.692913385826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 ИА-131</w:t>
      </w:r>
    </w:p>
    <w:p w:rsidR="00000000" w:rsidDel="00000000" w:rsidP="00000000" w:rsidRDefault="00000000" w:rsidRPr="00000000" w14:paraId="00000017">
      <w:pPr>
        <w:ind w:left="170.07874015748033" w:right="56.692913385826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Нагорный С.Д.</w:t>
      </w:r>
    </w:p>
    <w:p w:rsidR="00000000" w:rsidDel="00000000" w:rsidP="00000000" w:rsidRDefault="00000000" w:rsidRPr="00000000" w14:paraId="00000018">
      <w:pPr>
        <w:ind w:left="170.07874015748033" w:right="56.692913385826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70.07874015748033" w:right="56.692913385826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70.07874015748033" w:right="56.692913385826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B">
      <w:pPr>
        <w:ind w:left="170.07874015748033" w:right="56.692913385826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старший преподаватель </w:t>
      </w:r>
    </w:p>
    <w:p w:rsidR="00000000" w:rsidDel="00000000" w:rsidP="00000000" w:rsidRDefault="00000000" w:rsidRPr="00000000" w14:paraId="0000001C">
      <w:pPr>
        <w:ind w:left="170.07874015748033" w:right="56.692913385826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кафедры ВС</w:t>
      </w:r>
    </w:p>
    <w:p w:rsidR="00000000" w:rsidDel="00000000" w:rsidP="00000000" w:rsidRDefault="00000000" w:rsidRPr="00000000" w14:paraId="0000001D">
      <w:pPr>
        <w:ind w:left="170.07874015748033" w:right="56.692913385826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Ревун А.Л.</w:t>
      </w:r>
    </w:p>
    <w:p w:rsidR="00000000" w:rsidDel="00000000" w:rsidP="00000000" w:rsidRDefault="00000000" w:rsidRPr="00000000" w14:paraId="0000001E">
      <w:pPr>
        <w:ind w:left="170.07874015748033" w:right="56.692913385826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70.07874015748033" w:right="56.692913385826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70.07874015748033" w:right="56.692913385826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70.07874015748033" w:right="56.692913385826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70.07874015748033" w:right="56.692913385826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70.07874015748033" w:right="56.692913385826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70.07874015748033" w:right="56.692913385826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70.07874015748033" w:right="56.69291338582678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Новосибирск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70.07874015748033" w:right="56.69291338582678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27">
      <w:pPr>
        <w:ind w:left="170.07874015748033" w:right="56.69291338582678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возможностей средств отказоустойчивого выполнения параллельных программ на современных суперВС</w:t>
      </w:r>
    </w:p>
    <w:p w:rsidR="00000000" w:rsidDel="00000000" w:rsidP="00000000" w:rsidRDefault="00000000" w:rsidRPr="00000000" w14:paraId="00000029">
      <w:pPr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200" w:line="360" w:lineRule="auto"/>
        <w:ind w:left="170.07874015748033" w:right="56.69291338582678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СуперВС для анализа: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Лобачевский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tabs>
          <w:tab w:val="left" w:leader="none" w:pos="2348"/>
          <w:tab w:val="left" w:leader="none" w:pos="4086"/>
          <w:tab w:val="left" w:leader="none" w:pos="6138"/>
          <w:tab w:val="left" w:leader="none" w:pos="8078"/>
        </w:tabs>
        <w:spacing w:before="200" w:line="360" w:lineRule="auto"/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Операторы: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Ниагара Компьютерс, Нижегородский государственный университет им. Н.И. Лобачевского.</w:t>
      </w:r>
    </w:p>
    <w:p w:rsidR="00000000" w:rsidDel="00000000" w:rsidP="00000000" w:rsidRDefault="00000000" w:rsidRPr="00000000" w14:paraId="0000002C">
      <w:pPr>
        <w:tabs>
          <w:tab w:val="left" w:leader="none" w:pos="2348"/>
          <w:tab w:val="left" w:leader="none" w:pos="4086"/>
          <w:tab w:val="left" w:leader="none" w:pos="6138"/>
          <w:tab w:val="left" w:leader="none" w:pos="8078"/>
        </w:tabs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Локация: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Город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Нижний Новгород, Нижегородская область, Россия.</w:t>
      </w:r>
    </w:p>
    <w:p w:rsidR="00000000" w:rsidDel="00000000" w:rsidP="00000000" w:rsidRDefault="00000000" w:rsidRPr="00000000" w14:paraId="0000002D">
      <w:pPr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70.07874015748033" w:right="56.69291338582678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30">
      <w:pPr>
        <w:ind w:left="170.07874015748033" w:right="56.69291338582678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70.07874015748033" w:right="56.69291338582678" w:firstLine="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Современные суперкомпьютеры становятся незаменимыми инструментами для выполнения вычислительно сложных задач. Они обладают большой вычислительной мощностью и позволяют эффективно выполнять параллельные программы. Однако, с увеличением числа компонентов и сложности архитектуры суперкомпьютера, становится важным обеспечить отказоустойчивость выполнения программ для минимизации потерь данных и времени работы системы. Суперкомпьютер имеет распределенную архитектуру и поддерживает выполнение параллельных программ с использованием технологий MPI (Message Passing Interface) и OpenMP (Open Multi-Processing). Message Passing Interface (MPI, интерфейс передачи сообщений) — программный интерфейс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для передачи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который позволяет обмениваться сообщениями между процессами, выполняющими одну задачу. Разработан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Уильямом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Гроуппом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Эвином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Ласком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другими. MPI является наиболее распространенным стандартом интерфейса обмена данными 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параллельном программировании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существуют его реализации для большого числа компьютерных платформ. Используется при разработке программ для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кластеров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суперкомпьютеров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Основным средством коммуникации между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процессами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MPI является передача сообщений друг другу.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Российский научный суперкомпьютер  "Лобачевский" – выполняем сложнейшие научные исследования с использованием суперкомпьютерных технологий.</w:t>
      </w:r>
    </w:p>
    <w:p w:rsidR="00000000" w:rsidDel="00000000" w:rsidP="00000000" w:rsidRDefault="00000000" w:rsidRPr="00000000" w14:paraId="00000035">
      <w:pPr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Новый суперкомпьютер «Лобачевский», построенный компанией «Ниагара Компьютерс», начал работу в Нижегородском государственном университете имени Н.И. Лобачевского 13 марта 2014 года.</w:t>
        <w:br w:type="textWrapping"/>
        <w:t xml:space="preserve">Для создания кластера использованы следующие конфигурации: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tabs>
          <w:tab w:val="left" w:leader="none" w:pos="1015"/>
        </w:tabs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вычислительных узлов в составе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tabs>
          <w:tab w:val="left" w:leader="none" w:pos="1646"/>
        </w:tabs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процессора Intel Sandy Bridge E5-2660 2.2 GHz (8 ядер);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tabs>
          <w:tab w:val="left" w:leader="none" w:pos="1646"/>
        </w:tabs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64 Гб оперативной памяти;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tabs>
          <w:tab w:val="left" w:leader="none" w:pos="1646"/>
        </w:tabs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графических процессора NVidia Tesla M2090 (512 потоковых процессоров, память GDDR5 6 Гб).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tabs>
          <w:tab w:val="left" w:leader="none" w:pos="1015"/>
        </w:tabs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 вычислительных узлов в составе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tabs>
          <w:tab w:val="left" w:leader="none" w:pos="1646"/>
        </w:tabs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процессора Intel Sandy Bridge E5-2660 2.2 GHz (8 ядер);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tabs>
          <w:tab w:val="left" w:leader="none" w:pos="1646"/>
        </w:tabs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64 Гб оперативной памяти;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tabs>
          <w:tab w:val="left" w:leader="none" w:pos="1646"/>
        </w:tabs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графических процессора NVidia Tesla M2090 (512 потоковых процессоров, память GDDR5 6 Гб).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tabs>
          <w:tab w:val="left" w:leader="none" w:pos="1015"/>
        </w:tabs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 вычислительных узлов в составе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tabs>
          <w:tab w:val="left" w:leader="none" w:pos="1646"/>
        </w:tabs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процессора Intel Sandy Bridge E5-2660 2.2 GHz (8 ядер);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tabs>
          <w:tab w:val="left" w:leader="none" w:pos="1646"/>
        </w:tabs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64 Гб оперативной памяти;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tabs>
          <w:tab w:val="left" w:leader="none" w:pos="1646"/>
        </w:tabs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графических процессора NVidia Kepler K20 (2688 потоковых процессоров, память GDDR5 объемом 6 Гб).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tabs>
          <w:tab w:val="left" w:leader="none" w:pos="1015"/>
        </w:tabs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вычислительных узлов в составе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tabs>
          <w:tab w:val="left" w:leader="none" w:pos="1646"/>
        </w:tabs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процессора Intel Sandy Bridge E5-2660 2.2 GHz (8 ядер);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tabs>
          <w:tab w:val="left" w:leader="none" w:pos="1646"/>
        </w:tabs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64 Гб оперативной памяти;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tabs>
          <w:tab w:val="left" w:leader="none" w:pos="1646"/>
        </w:tabs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сопроцессора Intel Xeon Phi 5110P (60 ядер, 240 потоков, память 8 Gb).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tabs>
          <w:tab w:val="left" w:leader="none" w:pos="1015"/>
        </w:tabs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вычислительных узлов в составе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tabs>
          <w:tab w:val="left" w:leader="none" w:pos="1646"/>
        </w:tabs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процессора Intel Sandy Bridge E5-2660 2.2 GHz (8 ядер);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tabs>
          <w:tab w:val="left" w:leader="none" w:pos="1646"/>
        </w:tabs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64 Гб оперативной памяти.</w:t>
      </w:r>
    </w:p>
    <w:p w:rsidR="00000000" w:rsidDel="00000000" w:rsidP="00000000" w:rsidRDefault="00000000" w:rsidRPr="00000000" w14:paraId="00000049">
      <w:pPr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200400"/>
            <wp:effectExtent b="0" l="0" r="0" t="0"/>
            <wp:docPr descr="data-centr2" id="1" name="image1.jpg"/>
            <a:graphic>
              <a:graphicData uri="http://schemas.openxmlformats.org/drawingml/2006/picture">
                <pic:pic>
                  <pic:nvPicPr>
                    <pic:cNvPr descr="data-centr2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left="523" w:right="20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СК “Лобачевский”</w:t>
      </w:r>
    </w:p>
    <w:p w:rsidR="00000000" w:rsidDel="00000000" w:rsidP="00000000" w:rsidRDefault="00000000" w:rsidRPr="00000000" w14:paraId="0000004B">
      <w:pPr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Новый аппарат с высокопроизводительной вычислительной базой поможет нижегородским ученым проводить фундаментальные исследования в самых разных областях современной науки. Нижегородские ученые смогут заниматься сложными исследованиями в области математики, физики и биологии.</w:t>
      </w:r>
    </w:p>
    <w:p w:rsidR="00000000" w:rsidDel="00000000" w:rsidP="00000000" w:rsidRDefault="00000000" w:rsidRPr="00000000" w14:paraId="0000004D">
      <w:pPr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Суперкомпьютеры используются во всех сферах, где для решения задачи применяется численное моделирование - там, где требуется огромный объем сложных вычислений, обработка большого количества данных в реальном времени, или решение задачи может быть найдено простым перебором множества значений множества исходных параметров. Сначала производится математическое моделирование, а потом вычисления на компьютере. Моделирование сложных систем на суперкомпьютере позволит избежать лишних затрат на проектные работы, уменьшить время на производство образцов и повысить надежность продукции, которой могут стать самолеты, поезда и космические корабли.</w:t>
      </w:r>
    </w:p>
    <w:p w:rsidR="00000000" w:rsidDel="00000000" w:rsidP="00000000" w:rsidRDefault="00000000" w:rsidRPr="00000000" w14:paraId="0000004E">
      <w:pPr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Первой по значимости среди сфер применения «Лобачевского» ученые называют нейробиологию - точнейшее математическое и виртуальное моделирование в этой области сложно переоценить. Незаменимы способности суперкомпьютера в области медицины: например, с его помощью можно создать персональный кабинет врача-диагноста. Компьютер сам на основе собранной информации способен провести сопоставления с похожими историями болезней, проанализировать, что могло вызвать проблемы в организме человека, а также подсказать врачу, на что следует обратить особое внимание. На основе разработок суперкомпьютера в нижегородском университете были сделаны пакеты программ, которые могут быть внедрены в лечебные учреждения, они применимы как для работы, так и для обучения специалистов в области диагностики. Сами ученые уверяют, что их наработки превосходят импортные аналоги - эти выводы были сделаны по результатам международных выставок, на которых демонстрировались результаты работы «Лобачевского». В числе проектов, вычисления для которых способен проводить новый суперкомпьютер, называются также разработка судов на воздушной подушке, добыча и переработка газа, моделирование движения поездов.</w:t>
      </w:r>
    </w:p>
    <w:p w:rsidR="00000000" w:rsidDel="00000000" w:rsidP="00000000" w:rsidRDefault="00000000" w:rsidRPr="00000000" w14:paraId="00000050">
      <w:pPr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Суперкомпьютеры тем чаще будут востребованы, чем больше в России будет развиваться производство сложных изделий. Аэрокосмическая, военная, нефтегазовая и медицинская промышленности с распространением суперЭВМ могут получить новый толчок в развитии. Суперкомпьютер будет использоваться научными и образовательными организациями как высокопроизводительная вычислительная база и обеспечивать мощными вычислительными ресурсами потребности предприятий России и мира.</w:t>
      </w:r>
    </w:p>
    <w:p w:rsidR="00000000" w:rsidDel="00000000" w:rsidP="00000000" w:rsidRDefault="00000000" w:rsidRPr="00000000" w14:paraId="00000052">
      <w:pPr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работы СК “Лобачевский”:</w:t>
      </w:r>
    </w:p>
    <w:p w:rsidR="00000000" w:rsidDel="00000000" w:rsidP="00000000" w:rsidRDefault="00000000" w:rsidRPr="00000000" w14:paraId="00000054">
      <w:pPr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содействия медикам ученые Нижегородского государственного университета им. Лобачевского на суперкомпьютере создали виртуальный клон человека. Теперь ученые-медики могут предварительно моделировать на нем оптимальный метод лечения пациентов.Для создания модели сердца использованы около 50 млн параметров. Создано всё, каждый сосуд.</w:t>
      </w:r>
    </w:p>
    <w:p w:rsidR="00000000" w:rsidDel="00000000" w:rsidP="00000000" w:rsidRDefault="00000000" w:rsidRPr="00000000" w14:paraId="00000055">
      <w:pPr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 СК “Лобачевский”:</w:t>
      </w:r>
    </w:p>
    <w:p w:rsidR="00000000" w:rsidDel="00000000" w:rsidP="00000000" w:rsidRDefault="00000000" w:rsidRPr="00000000" w14:paraId="00000059">
      <w:pPr>
        <w:tabs>
          <w:tab w:val="left" w:leader="none" w:pos="9115"/>
        </w:tabs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Linux-сегмент                                                    Windows-сегмент         </w:t>
      </w:r>
    </w:p>
    <w:p w:rsidR="00000000" w:rsidDel="00000000" w:rsidP="00000000" w:rsidRDefault="00000000" w:rsidRPr="00000000" w14:paraId="0000005A">
      <w:pPr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-238124</wp:posOffset>
            </wp:positionH>
            <wp:positionV relativeFrom="paragraph">
              <wp:posOffset>85725</wp:posOffset>
            </wp:positionV>
            <wp:extent cx="3332499" cy="2274205"/>
            <wp:effectExtent b="0" l="0" r="0" t="0"/>
            <wp:wrapSquare wrapText="bothSides" distB="0" distT="0" distL="114300" distR="11430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2499" cy="22742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3095625</wp:posOffset>
            </wp:positionH>
            <wp:positionV relativeFrom="paragraph">
              <wp:posOffset>219075</wp:posOffset>
            </wp:positionV>
            <wp:extent cx="3009900" cy="2011680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0116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B">
      <w:pPr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ind w:left="523" w:right="20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2,3 - Структура СК “Лобачевский” (Linux-сегмент и Windows-сегмент )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ind w:left="523" w:right="208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p2mm5nkysz3l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Инфраструктура: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tabs>
          <w:tab w:val="left" w:leader="none" w:pos="1015"/>
        </w:tabs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Вычислительный узел на базе блэйд-серверов – 60 шт.;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tabs>
          <w:tab w:val="left" w:leader="none" w:pos="1015"/>
        </w:tabs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Сервер управления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tabs>
          <w:tab w:val="left" w:leader="none" w:pos="1015"/>
        </w:tabs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Сервер мониторинга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tabs>
          <w:tab w:val="left" w:leader="none" w:pos="1015"/>
        </w:tabs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хранения данных Isilon (42 TB)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tabs>
          <w:tab w:val="left" w:leader="none" w:pos="1015"/>
        </w:tabs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Вычислительная сеть InfiniBand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tabs>
          <w:tab w:val="left" w:leader="none" w:pos="1015"/>
        </w:tabs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Транспортная сеть Ethernet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tabs>
          <w:tab w:val="left" w:leader="none" w:pos="1015"/>
        </w:tabs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Сеть мониторинга Ethernet</w:t>
      </w:r>
    </w:p>
    <w:p w:rsidR="00000000" w:rsidDel="00000000" w:rsidP="00000000" w:rsidRDefault="00000000" w:rsidRPr="00000000" w14:paraId="0000006F">
      <w:pPr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характеристики: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tabs>
          <w:tab w:val="left" w:leader="none" w:pos="1015"/>
        </w:tabs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Мощность «Лобачевского» - 573 терафлоп.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tabs>
          <w:tab w:val="left" w:leader="none" w:pos="1015"/>
        </w:tabs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Высокопроизводительная вычислительная база.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tabs>
          <w:tab w:val="left" w:leader="none" w:pos="1015"/>
        </w:tabs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Мощные вычислительные ресурсы для удовлетворения высочайших потребностей предприятий России и мира.</w:t>
      </w:r>
    </w:p>
    <w:p w:rsidR="00000000" w:rsidDel="00000000" w:rsidP="00000000" w:rsidRDefault="00000000" w:rsidRPr="00000000" w14:paraId="00000074">
      <w:pPr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170.07874015748033" w:right="56.69291338582678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Основная часть</w:t>
      </w:r>
    </w:p>
    <w:p w:rsidR="00000000" w:rsidDel="00000000" w:rsidP="00000000" w:rsidRDefault="00000000" w:rsidRPr="00000000" w14:paraId="0000007B">
      <w:pPr>
        <w:ind w:left="170.07874015748033" w:right="56.69291338582678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Возможности средств отказоустойчивого выполнения параллельных программ на суперкомпьютере "Лобачевский":</w:t>
      </w:r>
    </w:p>
    <w:p w:rsidR="00000000" w:rsidDel="00000000" w:rsidP="00000000" w:rsidRDefault="00000000" w:rsidRPr="00000000" w14:paraId="0000007D">
      <w:pPr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Локализация ошибок: Суперкомпьютер "Лобачевский" обладает механизмами, позволяющими локализовать ошибки в параллельных программах. Он оснащен системой мониторинга, которая может отслеживать работу каждого вычислительного узла и предупреждать об ошибках. Это позволяет оператору оперативно реагировать на возникшие неполадки и принимать меры по их устранению.</w:t>
      </w:r>
    </w:p>
    <w:p w:rsidR="00000000" w:rsidDel="00000000" w:rsidP="00000000" w:rsidRDefault="00000000" w:rsidRPr="00000000" w14:paraId="0000007F">
      <w:pPr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Распределенная обработка ошибок: В случае возникновения ошибок, суперкомпьютер "Лобачевский" может автоматически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перераспределить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задачи между работающими узлами. Это позволяет изолировать компоненты, испытывающие проблемы, и продолжать выполнение программы без остановки всей системы.</w:t>
      </w:r>
    </w:p>
    <w:p w:rsidR="00000000" w:rsidDel="00000000" w:rsidP="00000000" w:rsidRDefault="00000000" w:rsidRPr="00000000" w14:paraId="00000081">
      <w:pPr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Резервное копирование данных: Суперкомпьютер "Лобачевский" предоставляет возможность создания резервных копий данных. Это позволяет предотвратить потерю важных данных в случае сбоя компонентов системы. Резервные копии данных могут быть созданы как на внутренних накопителях каждого узла, так и на внешних хранилищах данных.</w:t>
      </w:r>
    </w:p>
    <w:p w:rsidR="00000000" w:rsidDel="00000000" w:rsidP="00000000" w:rsidRDefault="00000000" w:rsidRPr="00000000" w14:paraId="00000083">
      <w:pPr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Механизмы репликации: Суперкомпьютер "Лобачевский" предоставляет возможность создания реплик программ и данных. Это позволяет увеличить отказоустойчивость системы путем распределения задач и данных на несколько узлов. В случае сбоя одного компонента, другие реплики могут продолжать работу без простоев.</w:t>
      </w:r>
    </w:p>
    <w:p w:rsidR="00000000" w:rsidDel="00000000" w:rsidP="00000000" w:rsidRDefault="00000000" w:rsidRPr="00000000" w14:paraId="00000085">
      <w:pPr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Высокая доступность, отказо­устойчивость и простота использования вычислительных систем, созданных на базе решений РСК, обеспечиваются в том числе благодаря современной системе управления и мониторинга на базе ПО “РСК БазИС”. Она позволяет управлять как отдельными узлами, так и суперкомпьютерной системой в целом, включая ее инфраструктурные компоненты.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Конструктив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шкафа дает возможность заменять вычислительные узлы, блоки питания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гидрорегулирования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режиме “горячей замены” без прерывания работоспособности комплекса. </w:t>
      </w:r>
    </w:p>
    <w:p w:rsidR="00000000" w:rsidDel="00000000" w:rsidP="00000000" w:rsidRDefault="00000000" w:rsidRPr="00000000" w14:paraId="00000087">
      <w:pPr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Структура инженерных систем центра обработки данных для улучшения отказоустойчивости: кондиционирование, бесперебойное электроснабжение, охранно-пожарная сигнализация и система газового пожаротушения.</w:t>
      </w:r>
    </w:p>
    <w:p w:rsidR="00000000" w:rsidDel="00000000" w:rsidP="00000000" w:rsidRDefault="00000000" w:rsidRPr="00000000" w14:paraId="00000089">
      <w:pPr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170.07874015748033" w:right="56.69291338582678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170.07874015748033" w:right="56.69291338582678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A7">
      <w:pPr>
        <w:ind w:left="170.07874015748033" w:right="56.69291338582678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Суперкомпьютер "Лобачевский" обладает мощными возможностями для отказоустойчивого выполнения параллельных программ. Механизмы локализации ошибок, распределенной обработки ошибок, резервного копирования данных, механизмы репликации, системы управления/мониторинга и защита от внешних угроз  обеспечивают высокую надежность и доступность системы. Комбинация этих средств позволяет минимизировать потери данных и улучшать эффективность работы суперкомпьютера "Лобачевский".</w:t>
      </w:r>
    </w:p>
    <w:p w:rsidR="00000000" w:rsidDel="00000000" w:rsidP="00000000" w:rsidRDefault="00000000" w:rsidRPr="00000000" w14:paraId="000000A9">
      <w:pPr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литературы: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tabs>
          <w:tab w:val="left" w:leader="none" w:pos="1015"/>
        </w:tabs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https://www.niagara.ru/superkompyuter-lobachevskij-v-nngu/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tabs>
          <w:tab w:val="left" w:leader="none" w:pos="1015"/>
        </w:tabs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https://hpc-education.unn.ru/files/seminars/cluster_lobachevsky/01_Lobachevsky_general_info.pdf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tabs>
          <w:tab w:val="left" w:leader="none" w:pos="1015"/>
        </w:tabs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https://poisknews.ru/magazine/35012/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tabs>
          <w:tab w:val="left" w:leader="none" w:pos="1015"/>
        </w:tabs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https://www.tadviser.ru/index.php/%D0%9F%D1%80%D0%BE%D0%B4%D1%83%D0%BA%D1%82:%D0%9B%D0%BE%D0%B1%D0%B0%D1%87%D0%B5%D0%B2%D1%81%D0%BA%D0%B8%D0%B9_%D0%A1%D1%83%D0%BF%D0%B5%D1%80%D0%BA%D0%BE%D0%BC%D0%BF%D1%8C%D1%8E%D1%82%D0%B5%D1%80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tabs>
          <w:tab w:val="left" w:leader="none" w:pos="1015"/>
        </w:tabs>
        <w:ind w:left="170.07874015748033" w:right="56.692913385826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https://web.archive.org/web/20231107110801/http://top50.supercomputers.ru/list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4" w:type="default"/>
      <w:footerReference r:id="rId15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❑"/>
      <w:lvlJc w:val="left"/>
      <w:pPr>
        <w:ind w:left="1014" w:hanging="540"/>
      </w:pPr>
      <w:rPr>
        <w:u w:val="none"/>
      </w:rPr>
    </w:lvl>
    <w:lvl w:ilvl="1">
      <w:start w:val="0"/>
      <w:numFmt w:val="bullet"/>
      <w:lvlText w:val="–"/>
      <w:lvlJc w:val="left"/>
      <w:pPr>
        <w:ind w:left="1645" w:hanging="452"/>
      </w:pPr>
      <w:rPr>
        <w:u w:val="none"/>
      </w:rPr>
    </w:lvl>
    <w:lvl w:ilvl="2">
      <w:start w:val="0"/>
      <w:numFmt w:val="bullet"/>
      <w:lvlText w:val="•"/>
      <w:lvlJc w:val="left"/>
      <w:pPr>
        <w:ind w:left="3175" w:hanging="452"/>
      </w:pPr>
      <w:rPr>
        <w:u w:val="none"/>
      </w:rPr>
    </w:lvl>
    <w:lvl w:ilvl="3">
      <w:start w:val="0"/>
      <w:numFmt w:val="bullet"/>
      <w:lvlText w:val="•"/>
      <w:lvlJc w:val="left"/>
      <w:pPr>
        <w:ind w:left="4711" w:hanging="452"/>
      </w:pPr>
      <w:rPr>
        <w:u w:val="none"/>
      </w:rPr>
    </w:lvl>
    <w:lvl w:ilvl="4">
      <w:start w:val="0"/>
      <w:numFmt w:val="bullet"/>
      <w:lvlText w:val="•"/>
      <w:lvlJc w:val="left"/>
      <w:pPr>
        <w:ind w:left="6246" w:hanging="452"/>
      </w:pPr>
      <w:rPr>
        <w:u w:val="none"/>
      </w:rPr>
    </w:lvl>
    <w:lvl w:ilvl="5">
      <w:start w:val="0"/>
      <w:numFmt w:val="bullet"/>
      <w:lvlText w:val="•"/>
      <w:lvlJc w:val="left"/>
      <w:pPr>
        <w:ind w:left="7782" w:hanging="452"/>
      </w:pPr>
      <w:rPr>
        <w:u w:val="none"/>
      </w:rPr>
    </w:lvl>
    <w:lvl w:ilvl="6">
      <w:start w:val="0"/>
      <w:numFmt w:val="bullet"/>
      <w:lvlText w:val="•"/>
      <w:lvlJc w:val="left"/>
      <w:pPr>
        <w:ind w:left="9317" w:hanging="452"/>
      </w:pPr>
      <w:rPr>
        <w:u w:val="none"/>
      </w:rPr>
    </w:lvl>
    <w:lvl w:ilvl="7">
      <w:start w:val="0"/>
      <w:numFmt w:val="bullet"/>
      <w:lvlText w:val="•"/>
      <w:lvlJc w:val="left"/>
      <w:pPr>
        <w:ind w:left="10853" w:hanging="452"/>
      </w:pPr>
      <w:rPr>
        <w:u w:val="none"/>
      </w:rPr>
    </w:lvl>
    <w:lvl w:ilvl="8">
      <w:start w:val="0"/>
      <w:numFmt w:val="bullet"/>
      <w:lvlText w:val="•"/>
      <w:lvlJc w:val="left"/>
      <w:pPr>
        <w:ind w:left="12388" w:hanging="452"/>
      </w:pPr>
      <w:rPr>
        <w:u w:val="none"/>
      </w:rPr>
    </w:lvl>
  </w:abstractNum>
  <w:abstractNum w:abstractNumId="2">
    <w:lvl w:ilvl="0">
      <w:start w:val="0"/>
      <w:numFmt w:val="bullet"/>
      <w:lvlText w:val="❑"/>
      <w:lvlJc w:val="left"/>
      <w:pPr>
        <w:ind w:left="1014" w:hanging="540"/>
      </w:pPr>
      <w:rPr>
        <w:u w:val="none"/>
      </w:rPr>
    </w:lvl>
    <w:lvl w:ilvl="1">
      <w:start w:val="0"/>
      <w:numFmt w:val="bullet"/>
      <w:lvlText w:val="–"/>
      <w:lvlJc w:val="left"/>
      <w:pPr>
        <w:ind w:left="1645" w:hanging="452"/>
      </w:pPr>
      <w:rPr>
        <w:u w:val="none"/>
      </w:rPr>
    </w:lvl>
    <w:lvl w:ilvl="2">
      <w:start w:val="0"/>
      <w:numFmt w:val="bullet"/>
      <w:lvlText w:val="•"/>
      <w:lvlJc w:val="left"/>
      <w:pPr>
        <w:ind w:left="3175" w:hanging="452"/>
      </w:pPr>
      <w:rPr>
        <w:u w:val="none"/>
      </w:rPr>
    </w:lvl>
    <w:lvl w:ilvl="3">
      <w:start w:val="0"/>
      <w:numFmt w:val="bullet"/>
      <w:lvlText w:val="•"/>
      <w:lvlJc w:val="left"/>
      <w:pPr>
        <w:ind w:left="4711" w:hanging="452"/>
      </w:pPr>
      <w:rPr>
        <w:u w:val="none"/>
      </w:rPr>
    </w:lvl>
    <w:lvl w:ilvl="4">
      <w:start w:val="0"/>
      <w:numFmt w:val="bullet"/>
      <w:lvlText w:val="•"/>
      <w:lvlJc w:val="left"/>
      <w:pPr>
        <w:ind w:left="6246" w:hanging="452"/>
      </w:pPr>
      <w:rPr>
        <w:u w:val="none"/>
      </w:rPr>
    </w:lvl>
    <w:lvl w:ilvl="5">
      <w:start w:val="0"/>
      <w:numFmt w:val="bullet"/>
      <w:lvlText w:val="•"/>
      <w:lvlJc w:val="left"/>
      <w:pPr>
        <w:ind w:left="7782" w:hanging="452"/>
      </w:pPr>
      <w:rPr>
        <w:u w:val="none"/>
      </w:rPr>
    </w:lvl>
    <w:lvl w:ilvl="6">
      <w:start w:val="0"/>
      <w:numFmt w:val="bullet"/>
      <w:lvlText w:val="•"/>
      <w:lvlJc w:val="left"/>
      <w:pPr>
        <w:ind w:left="9317" w:hanging="452"/>
      </w:pPr>
      <w:rPr>
        <w:u w:val="none"/>
      </w:rPr>
    </w:lvl>
    <w:lvl w:ilvl="7">
      <w:start w:val="0"/>
      <w:numFmt w:val="bullet"/>
      <w:lvlText w:val="•"/>
      <w:lvlJc w:val="left"/>
      <w:pPr>
        <w:ind w:left="10853" w:hanging="452"/>
      </w:pPr>
      <w:rPr>
        <w:u w:val="none"/>
      </w:rPr>
    </w:lvl>
    <w:lvl w:ilvl="8">
      <w:start w:val="0"/>
      <w:numFmt w:val="bullet"/>
      <w:lvlText w:val="•"/>
      <w:lvlJc w:val="left"/>
      <w:pPr>
        <w:ind w:left="12388" w:hanging="452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oisknews.ru/magazine/35012/" TargetMode="External"/><Relationship Id="rId10" Type="http://schemas.openxmlformats.org/officeDocument/2006/relationships/hyperlink" Target="https://hpc-education.unn.ru/files/seminars/cluster_lobachevsky/01_Lobachevsky_general_info.pdf" TargetMode="External"/><Relationship Id="rId13" Type="http://schemas.openxmlformats.org/officeDocument/2006/relationships/hyperlink" Target="https://web.archive.org/web/20231107110801/http://top50.supercomputers.ru/list" TargetMode="External"/><Relationship Id="rId12" Type="http://schemas.openxmlformats.org/officeDocument/2006/relationships/hyperlink" Target="https://www.tadviser.ru/index.php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niagara.ru/superkompyuter-lobachevskij-v-nngu/" TargetMode="External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