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Исх.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{</w:t>
      </w:r>
      <w:r>
        <w:rPr>
          <w:sz w:val="22"/>
          <w:szCs w:val="22"/>
        </w:rPr>
        <w:t xml:space="preserve">ishod_number</w:t>
      </w:r>
      <w:r>
        <w:rPr>
          <w:sz w:val="22"/>
          <w:szCs w:val="22"/>
        </w:rPr>
        <w:t xml:space="preserve">}</w: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undefined"/>
        </w:rPr>
        <w:t xml:space="preserve">З</w:t>
      </w:r>
      <w:r>
        <w:rPr>
          <w:sz w:val="26"/>
          <w:szCs w:val="26"/>
          <w:lang w:val="ru-RU"/>
        </w:rPr>
        <w:t xml:space="preserve">аместител</w:t>
      </w:r>
      <w:r>
        <w:rPr>
          <w:sz w:val="26"/>
          <w:szCs w:val="26"/>
          <w:lang w:val="undefined"/>
        </w:rPr>
        <w:t xml:space="preserve">ю</w:t>
      </w:r>
      <w:r>
        <w:rPr>
          <w:sz w:val="26"/>
          <w:szCs w:val="26"/>
          <w:lang w:val="ru-RU"/>
        </w:rPr>
        <w:t xml:space="preserve"> директора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  <w:tab/>
        <w:t xml:space="preserve">по капитальному строительству 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 w:left="4954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начальника управления 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8" w:left="495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Д.С. Жуку</w:t>
      </w:r>
      <w:r>
        <w:rPr>
          <w:sz w:val="26"/>
          <w:szCs w:val="26"/>
          <w:lang w:val="ru-RU"/>
        </w:rPr>
        <w:tab/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         </w:t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shd w:val="clear" w:color="auto" w:fill="ffffff"/>
          <w:lang w:val="ru-RU"/>
        </w:rPr>
      </w:pP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b/>
          <w:bCs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  <w:lang w:val="ru-RU"/>
        </w:rPr>
        <w:t xml:space="preserve">Настоящим уведомляем</w:t>
      </w:r>
      <w:r>
        <w:rPr>
          <w:sz w:val="26"/>
          <w:szCs w:val="26"/>
          <w:shd w:val="clear" w:color="auto" w:fill="ffffff"/>
          <w:lang w:val="ru-RU"/>
        </w:rPr>
        <w:t xml:space="preserve">, чт</w:t>
      </w:r>
      <w:r>
        <w:rPr>
          <w:sz w:val="26"/>
          <w:szCs w:val="26"/>
          <w:shd w:val="clear" w:color="auto" w:fill="ffffff"/>
          <w:lang w:val="ru-RU"/>
        </w:rPr>
        <w:t xml:space="preserve">о </w:t>
      </w:r>
      <w:r>
        <w:rPr>
          <w:sz w:val="26"/>
          <w:szCs w:val="26"/>
          <w:shd w:val="clear" w:color="auto" w:fill="ffffff"/>
          <w:lang w:val="ru-RU"/>
        </w:rPr>
        <w:t xml:space="preserve">при реализации </w:t>
      </w:r>
      <w:r>
        <w:rPr>
          <w:sz w:val="26"/>
          <w:szCs w:val="26"/>
          <w:shd w:val="clear" w:color="auto" w:fill="ffffff"/>
          <w:lang w:val="ru-RU"/>
        </w:rPr>
        <w:t xml:space="preserve">договор</w:t>
      </w:r>
      <w:r>
        <w:rPr>
          <w:sz w:val="26"/>
          <w:szCs w:val="26"/>
          <w:shd w:val="clear" w:color="auto" w:fill="ffffff"/>
          <w:lang w:val="ru-RU"/>
        </w:rPr>
        <w:t xml:space="preserve">а</w:t>
      </w:r>
      <w:r>
        <w:rPr>
          <w:sz w:val="26"/>
          <w:szCs w:val="26"/>
          <w:shd w:val="clear" w:color="auto" w:fill="ffffff"/>
          <w:lang w:val="ru-RU"/>
        </w:rPr>
        <w:t xml:space="preserve"> </w:t>
      </w:r>
      <w:r>
        <w:rPr>
          <w:sz w:val="26"/>
          <w:szCs w:val="26"/>
          <w:shd w:val="clear" w:color="auto" w:fill="ffffff"/>
          <w:lang w:val="ru-RU"/>
        </w:rPr>
        <w:t xml:space="preserve">СП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№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№ {contractNo} от {contractDate}г.</w:t>
      </w:r>
      <w:r>
        <w:rPr>
          <w:sz w:val="26"/>
          <w:szCs w:val="26"/>
          <w:shd w:val="clear" w:color="auto" w:fill="ffffff"/>
          <w:lang w:val="ru-RU"/>
        </w:rPr>
        <w:t xml:space="preserve">, по титулу: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 </w:t>
      </w:r>
      <w:r>
        <w:rPr>
          <w:b/>
          <w:bCs/>
          <w:sz w:val="26"/>
          <w:szCs w:val="26"/>
          <w:shd w:val="clear" w:color="auto" w:fill="ffffff"/>
          <w:lang w:val="ru-RU"/>
        </w:rPr>
        <w:t xml:space="preserve">«{title}»</w:t>
      </w:r>
      <w:r>
        <w:rPr>
          <w:sz w:val="26"/>
          <w:szCs w:val="26"/>
          <w:shd w:val="clear" w:color="auto" w:fill="ffffff"/>
          <w:lang w:val="ru-RU"/>
        </w:rPr>
        <w:t xml:space="preserve">,</w:t>
      </w:r>
      <w:r>
        <w:rPr>
          <w:sz w:val="26"/>
          <w:szCs w:val="26"/>
          <w:shd w:val="clear" w:color="auto" w:fill="ffffff"/>
          <w:lang w:val="ru-RU"/>
        </w:rPr>
        <w:t xml:space="preserve"> Заявитель </w:t>
      </w:r>
      <w:r>
        <w:rPr>
          <w:b/>
          <w:bCs/>
          <w:sz w:val="26"/>
          <w:szCs w:val="26"/>
          <w:shd w:val="clear" w:color="auto" w:fill="ffffff"/>
        </w:rPr>
        <w:t xml:space="preserve">{</w:t>
      </w:r>
      <w:r>
        <w:rPr>
          <w:b/>
          <w:bCs/>
          <w:sz w:val="26"/>
          <w:szCs w:val="26"/>
          <w:shd w:val="clear" w:color="auto" w:fill="ffffff"/>
        </w:rPr>
      </w:r>
      <w:r>
        <w:rPr>
          <w:b/>
          <w:bCs/>
          <w:sz w:val="26"/>
          <w:szCs w:val="26"/>
          <w:shd w:val="clear" w:color="auto" w:fill="ffffff"/>
        </w:rPr>
        <w:t xml:space="preserve">applicant</w:t>
      </w:r>
      <w:r>
        <w:rPr>
          <w:b/>
          <w:bCs/>
          <w:sz w:val="26"/>
          <w:szCs w:val="26"/>
          <w:shd w:val="clear" w:color="auto" w:fill="ffffff"/>
        </w:rPr>
      </w:r>
      <w:r>
        <w:rPr>
          <w:b/>
          <w:bCs/>
          <w:sz w:val="26"/>
          <w:szCs w:val="26"/>
          <w:shd w:val="clear" w:color="auto" w:fill="ffffff"/>
        </w:rPr>
        <w:t xml:space="preserve">}</w:t>
      </w:r>
      <w:r>
        <w:rPr>
          <w:sz w:val="26"/>
          <w:szCs w:val="26"/>
          <w:shd w:val="clear" w:color="auto" w:fill="ffffff"/>
          <w:lang w:val="ru-RU"/>
        </w:rPr>
        <w:t xml:space="preserve">, подрядная организация ООО «Гефест» столкнулась с проблемой, </w:t>
      </w:r>
      <w:r>
        <w:rPr>
          <w:sz w:val="26"/>
          <w:szCs w:val="26"/>
          <w:shd w:val="clear" w:color="auto" w:fill="ffffff"/>
          <w:lang w:val="ru-RU"/>
        </w:rPr>
        <w:t xml:space="preserve">не зависящ</w:t>
      </w:r>
      <w:r>
        <w:rPr>
          <w:sz w:val="26"/>
          <w:szCs w:val="26"/>
          <w:shd w:val="clear" w:color="auto" w:fill="ffffff"/>
          <w:lang w:val="ru-RU"/>
        </w:rPr>
        <w:t xml:space="preserve">ей</w:t>
      </w:r>
      <w:r>
        <w:rPr>
          <w:sz w:val="26"/>
          <w:szCs w:val="26"/>
          <w:shd w:val="clear" w:color="auto" w:fill="ffffff"/>
          <w:lang w:val="ru-RU"/>
        </w:rPr>
        <w:t xml:space="preserve"> о</w:t>
      </w:r>
      <w:r>
        <w:rPr>
          <w:sz w:val="26"/>
          <w:szCs w:val="26"/>
          <w:shd w:val="clear" w:color="auto" w:fill="ffffff"/>
          <w:lang w:val="ru-RU"/>
        </w:rPr>
        <w:t xml:space="preserve">т Подрядчика и препятствующ</w:t>
      </w:r>
      <w:r>
        <w:rPr>
          <w:sz w:val="26"/>
          <w:szCs w:val="26"/>
          <w:shd w:val="clear" w:color="auto" w:fill="ffffff"/>
          <w:lang w:val="ru-RU"/>
        </w:rPr>
        <w:t xml:space="preserve">ей</w:t>
      </w:r>
      <w:r>
        <w:rPr>
          <w:sz w:val="26"/>
          <w:szCs w:val="26"/>
          <w:shd w:val="clear" w:color="auto" w:fill="ffffff"/>
          <w:lang w:val="ru-RU"/>
        </w:rPr>
        <w:t xml:space="preserve"> своевременному производству работ</w:t>
      </w:r>
      <w:r>
        <w:rPr>
          <w:sz w:val="26"/>
          <w:szCs w:val="26"/>
          <w:shd w:val="clear" w:color="auto" w:fill="ffffff"/>
          <w:lang w:val="ru-RU"/>
        </w:rPr>
        <w:t xml:space="preserve">, а именно:</w:t>
      </w:r>
      <w:r>
        <w:rPr>
          <w:b/>
          <w:bCs/>
          <w:sz w:val="26"/>
          <w:szCs w:val="26"/>
          <w:shd w:val="clear" w:color="auto" w:fill="ffffff"/>
          <w:lang w:val="ru-RU"/>
        </w:rPr>
      </w:r>
      <w:r>
        <w:rPr>
          <w:b/>
          <w:bCs/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14:ligatures w14:val="none"/>
        </w:rPr>
      </w:pP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  <w:t xml:space="preserve">{reason1}</w:t>
      </w: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14:ligatures w14:val="none"/>
        </w:rPr>
      </w:pPr>
      <w:r>
        <w:rPr>
          <w:sz w:val="26"/>
          <w:szCs w:val="26"/>
          <w:shd w:val="clear" w:color="auto" w:fill="ffffff"/>
          <w:lang w:val="ru-RU"/>
        </w:rPr>
        <w:t xml:space="preserve">{reason2}</w:t>
      </w: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14:ligatures w14:val="none"/>
        </w:rPr>
      </w:pPr>
      <w:r>
        <w:rPr>
          <w:sz w:val="26"/>
          <w:szCs w:val="26"/>
          <w:shd w:val="clear" w:color="auto" w:fill="ffffff"/>
          <w:lang w:val="ru-RU"/>
        </w:rPr>
        <w:t xml:space="preserve">{reason3}</w:t>
      </w: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14:ligatures w14:val="none"/>
        </w:rPr>
      </w:pPr>
      <w:r>
        <w:rPr>
          <w:sz w:val="26"/>
          <w:szCs w:val="26"/>
          <w:shd w:val="clear" w:color="auto" w:fill="ffffff"/>
          <w:lang w:val="ru-RU"/>
        </w:rPr>
        <w:t xml:space="preserve">{reason</w:t>
      </w:r>
      <w:r>
        <w:rPr>
          <w:sz w:val="26"/>
          <w:szCs w:val="26"/>
          <w:shd w:val="clear" w:color="auto" w:fill="ffffff"/>
          <w:lang w:val="ru-RU"/>
        </w:rPr>
        <w:t xml:space="preserve">4</w:t>
      </w:r>
      <w:r>
        <w:rPr>
          <w:sz w:val="26"/>
          <w:szCs w:val="26"/>
          <w:shd w:val="clear" w:color="auto" w:fill="ffffff"/>
          <w:lang w:val="ru-RU"/>
        </w:rPr>
        <w:t xml:space="preserve">}</w:t>
      </w:r>
      <w:r>
        <w:rPr>
          <w:sz w:val="26"/>
          <w:szCs w:val="26"/>
          <w:shd w:val="clear" w:color="auto" w:fill="ffffff"/>
          <w:lang w:val="ru-RU"/>
        </w:rPr>
      </w:r>
      <w:r>
        <w:rPr>
          <w:sz w:val="26"/>
          <w:szCs w:val="26"/>
          <w:shd w:val="clear" w:color="auto" w:fill="ffffff"/>
          <w:lang w:val="ru-RU"/>
        </w:rPr>
      </w:r>
    </w:p>
    <w:p>
      <w:pPr>
        <w:pBdr/>
        <w:spacing/>
        <w:ind w:firstLine="709"/>
        <w:jc w:val="both"/>
        <w:rPr>
          <w:sz w:val="26"/>
          <w:szCs w:val="26"/>
          <w:highlight w:val="white"/>
        </w:rPr>
      </w:pPr>
      <w:r>
        <w:rPr>
          <w:sz w:val="26"/>
          <w:szCs w:val="26"/>
          <w:shd w:val="clear" w:color="auto" w:fill="ffffff"/>
          <w:lang w:val="ru-RU"/>
        </w:rPr>
        <w:t xml:space="preserve">{reason</w:t>
      </w:r>
      <w:r>
        <w:rPr>
          <w:sz w:val="26"/>
          <w:szCs w:val="26"/>
          <w:shd w:val="clear" w:color="auto" w:fill="ffffff"/>
          <w:lang w:val="ru-RU"/>
        </w:rPr>
        <w:t xml:space="preserve">5</w:t>
      </w:r>
      <w:r>
        <w:rPr>
          <w:sz w:val="26"/>
          <w:szCs w:val="26"/>
          <w:lang w:val="undefined"/>
        </w:rPr>
        <w:t xml:space="preserve">}</w:t>
      </w:r>
      <w:r>
        <w:rPr>
          <w:sz w:val="26"/>
          <w:szCs w:val="26"/>
          <w:highlight w:val="white"/>
        </w:rPr>
      </w:r>
    </w:p>
    <w:p>
      <w:pPr>
        <w:pBdr/>
        <w:spacing w:line="276" w:lineRule="auto"/>
        <w:ind/>
        <w:jc w:val="both"/>
        <w:rPr>
          <w:sz w:val="26"/>
          <w:szCs w:val="26"/>
          <w:highlight w:val="none"/>
          <w:lang w:val="ru-RU"/>
        </w:rPr>
      </w:pPr>
      <w:r>
        <w:rPr>
          <w:b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 xml:space="preserve">Принимая во внимание вышеизложенное, а также учитывая все объективные обстоятельства</w:t>
      </w:r>
      <w:r>
        <w:rPr>
          <w:bCs/>
          <w:sz w:val="26"/>
          <w:szCs w:val="26"/>
          <w:lang w:val="ru-RU"/>
        </w:rPr>
        <w:t xml:space="preserve">, находящиеся за пределами зоны ответственности Подрядчика, я</w:t>
      </w:r>
      <w:r>
        <w:rPr>
          <w:bCs/>
          <w:sz w:val="26"/>
          <w:szCs w:val="26"/>
          <w:lang w:val="ru-RU"/>
        </w:rPr>
        <w:t xml:space="preserve">вляющиеся </w:t>
      </w:r>
      <w:r>
        <w:rPr>
          <w:bCs/>
          <w:sz w:val="26"/>
          <w:szCs w:val="26"/>
          <w:lang w:val="ru-RU"/>
        </w:rPr>
        <w:t xml:space="preserve">возможной </w:t>
      </w:r>
      <w:r>
        <w:rPr>
          <w:bCs/>
          <w:sz w:val="26"/>
          <w:szCs w:val="26"/>
          <w:lang w:val="ru-RU"/>
        </w:rPr>
        <w:t xml:space="preserve"> причиной</w:t>
      </w:r>
      <w:r>
        <w:rPr>
          <w:bCs/>
          <w:sz w:val="26"/>
          <w:szCs w:val="26"/>
          <w:lang w:val="ru-RU"/>
        </w:rPr>
        <w:t xml:space="preserve"> нарушения сроков выполнения работ по вышеуказанному договору, </w:t>
      </w:r>
      <w:r>
        <w:rPr>
          <w:bCs/>
          <w:sz w:val="26"/>
          <w:szCs w:val="26"/>
          <w:lang w:val="ru-RU"/>
        </w:rPr>
        <w:t xml:space="preserve">ПРОСИМ</w:t>
      </w:r>
      <w:r>
        <w:rPr>
          <w:bCs/>
          <w:sz w:val="26"/>
          <w:szCs w:val="26"/>
          <w:lang w:val="ru-RU"/>
        </w:rPr>
        <w:t xml:space="preserve"> не проводить в отношении ООО «</w:t>
      </w:r>
      <w:r>
        <w:rPr>
          <w:bCs/>
          <w:sz w:val="26"/>
          <w:szCs w:val="26"/>
          <w:lang w:val="ru-RU"/>
        </w:rPr>
        <w:t xml:space="preserve">Гефест</w:t>
      </w:r>
      <w:r>
        <w:rPr>
          <w:bCs/>
          <w:sz w:val="26"/>
          <w:szCs w:val="26"/>
          <w:lang w:val="ru-RU"/>
        </w:rPr>
        <w:t xml:space="preserve">» претензионную работу и не инициировать исковую работу, а также рассмотреть возможность продления договора.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Генеральный директор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  <w:t xml:space="preserve">ООО «Гефест» </w:t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</w:r>
      <w:r>
        <w:rPr>
          <w:bCs/>
          <w:sz w:val="26"/>
          <w:szCs w:val="26"/>
          <w:lang w:val="ru-RU"/>
        </w:rPr>
        <w:tab/>
        <w:t xml:space="preserve">      Р.Е. </w:t>
      </w:r>
      <w:r>
        <w:rPr>
          <w:bCs/>
          <w:sz w:val="26"/>
          <w:szCs w:val="26"/>
          <w:lang w:val="ru-RU"/>
        </w:rPr>
        <w:t xml:space="preserve">Звездов</w:t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 w:line="276" w:lineRule="auto"/>
        <w:ind/>
        <w:jc w:val="both"/>
        <w:rPr>
          <w:bCs/>
          <w:sz w:val="26"/>
          <w:szCs w:val="26"/>
          <w:lang w:val="ru-RU"/>
        </w:rPr>
      </w:pP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  <w:r>
        <w:rPr>
          <w:bCs/>
          <w:sz w:val="26"/>
          <w:szCs w:val="26"/>
          <w:lang w:val="ru-RU"/>
        </w:rPr>
      </w:r>
    </w:p>
    <w:p>
      <w:pPr>
        <w:pBdr/>
        <w:spacing/>
        <w:ind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  <w:r>
        <w:rPr>
          <w:sz w:val="26"/>
          <w:szCs w:val="26"/>
          <w:lang w:val="ru-RU"/>
        </w:rPr>
      </w:r>
    </w:p>
    <w:sectPr>
      <w:headerReference w:type="default" r:id="rId9"/>
      <w:footnotePr/>
      <w:endnotePr/>
      <w:type w:val="continuous"/>
      <w:pgSz w:h="16840" w:orient="portrait" w:w="11900"/>
      <w:pgMar w:top="720" w:right="720" w:bottom="720" w:left="1134" w:header="340" w:footer="36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Rockwell">
    <w:panose1 w:val="02040502050405020303"/>
  </w:font>
  <w:font w:name="Calibri">
    <w:panose1 w:val="020F0502020204030204"/>
  </w:font>
  <w:font w:name="Courier New">
    <w:panose1 w:val="02070309020205020404"/>
  </w:font>
  <w:font w:name="Segoe UI">
    <w:panose1 w:val="020B0502040504020204"/>
  </w:font>
  <w:font w:name="Gotham Pro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3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pPr>
    <w:r>
      <w:rPr>
        <w:rFonts w:ascii="Rockwell" w:hAnsi="Rockwell" w:eastAsia="Helvetica" w:cs="Helvetica"/>
        <w:b/>
        <w:i/>
        <w:iCs/>
        <w:color w:val="424242"/>
        <w:sz w:val="28"/>
        <w:szCs w:val="2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-1859915</wp:posOffset>
              </wp:positionV>
              <wp:extent cx="7134225" cy="1457326"/>
              <wp:effectExtent l="0" t="0" r="0" b="0"/>
              <wp:wrapNone/>
              <wp:docPr id="1" name="officeArt ob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шапка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6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8240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ОБЩЕСТВО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С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ОГРАНИЧЕННОЙ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ОТВЕТСТВЕННОСТЬЮ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r>
  </w:p>
  <w:p>
    <w:pPr>
      <w:pStyle w:val="1033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pP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  <w:t xml:space="preserve">«ГЕФЕСТ»</w:t>
    </w: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r>
  </w:p>
  <w:p>
    <w:pPr>
      <w:pStyle w:val="1033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eastAsia="Helvetica" w:cs="Helvetica" w:asciiTheme="minorHAnsi" w:hAnsiTheme="minorHAnsi"/>
        <w:color w:val="424242"/>
        <w:sz w:val="28"/>
        <w:szCs w:val="28"/>
      </w:rPr>
    </w:pPr>
    <w:r>
      <w:rPr>
        <w:rFonts w:eastAsia="Helvetica" w:cs="Helvetica" w:asciiTheme="minorHAnsi" w:hAnsiTheme="minorHAnsi"/>
        <w:color w:val="424242"/>
        <w:sz w:val="28"/>
        <w:szCs w:val="28"/>
      </w:rPr>
    </w:r>
    <w:r>
      <w:rPr>
        <w:rFonts w:eastAsia="Helvetica" w:cs="Helvetica" w:asciiTheme="minorHAnsi" w:hAnsiTheme="minorHAnsi"/>
        <w:color w:val="424242"/>
        <w:sz w:val="28"/>
        <w:szCs w:val="28"/>
      </w:rPr>
    </w:r>
    <w:r>
      <w:rPr>
        <w:rFonts w:eastAsia="Helvetica" w:cs="Helvetica" w:asciiTheme="minorHAnsi" w:hAnsiTheme="minorHAnsi"/>
        <w:color w:val="424242"/>
        <w:sz w:val="28"/>
        <w:szCs w:val="28"/>
      </w:rPr>
    </w:r>
  </w:p>
  <w:p>
    <w:pPr>
      <w:pStyle w:val="1033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eastAsia="Helvetica" w:cs="Helvetica" w:asciiTheme="minorHAnsi" w:hAnsiTheme="minorHAnsi"/>
        <w:b/>
        <w:i/>
        <w:color w:val="424242"/>
        <w:sz w:val="18"/>
        <w:szCs w:val="18"/>
      </w:rPr>
    </w:pP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</w:p>
  <w:p>
    <w:pPr>
      <w:pStyle w:val="1033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МОСКОВСКАЯ ОБЛАСТЬ, Г.О. СОЛНЕЧНОГОРСК, Г СОЛНЕЧНОГОРСК,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УЛ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ПРОМЫШЛЕННАЯ, СТР. 29А К. 1 ОФИС 11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1033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(9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5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2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969666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mail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</w:t>
    </w:r>
    <w: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infogefest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internet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ru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1033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1215000057238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ИНН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5044122213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30101810400000000225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1033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40702810940000107044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044525225ПАО «Сбербанк»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1033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both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21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71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211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93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65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37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09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81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53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25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971"/>
      </w:pPr>
      <w:rPr/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7">
    <w:name w:val="Table Grid Light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Plain Table 1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Plain Table 2"/>
    <w:basedOn w:val="102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Plain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Plain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Plain Table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1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4 - Accent 2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4 - Accent 3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4 - Accent 4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4 - Accent 5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4 - Accent 6"/>
    <w:basedOn w:val="10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5 Dark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1 Light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1 Light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1 Light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1 Light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1 Light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2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2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2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2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2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3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3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3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3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3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4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4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4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4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4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5 Dark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5 Dark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5 Dark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5 Dark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5 Dark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6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6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6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6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6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7 Colorful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7 Colorful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7 Colorful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7 Colorful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7 Colorful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1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&amp; Lined - Accent 2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&amp; Lined - Accent 3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&amp; Lined - Accent 4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&amp; Lined - Accent 5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&amp; Lined - Accent 6"/>
    <w:basedOn w:val="10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1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Bordered - Accent 2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Bordered - Accent 3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Bordered - Accent 4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Bordered - Accent 5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Bordered - Accent 6"/>
    <w:basedOn w:val="10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72">
    <w:name w:val="Heading 1"/>
    <w:basedOn w:val="1027"/>
    <w:next w:val="1027"/>
    <w:link w:val="98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73">
    <w:name w:val="Heading 2"/>
    <w:basedOn w:val="1027"/>
    <w:next w:val="1027"/>
    <w:link w:val="98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74">
    <w:name w:val="Heading 3"/>
    <w:basedOn w:val="1027"/>
    <w:next w:val="1027"/>
    <w:link w:val="98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75">
    <w:name w:val="Heading 4"/>
    <w:basedOn w:val="1027"/>
    <w:next w:val="1027"/>
    <w:link w:val="98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76">
    <w:name w:val="Heading 5"/>
    <w:basedOn w:val="1027"/>
    <w:next w:val="1027"/>
    <w:link w:val="98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77">
    <w:name w:val="Heading 6"/>
    <w:basedOn w:val="1027"/>
    <w:next w:val="1027"/>
    <w:link w:val="98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78">
    <w:name w:val="Heading 7"/>
    <w:basedOn w:val="1027"/>
    <w:next w:val="1027"/>
    <w:link w:val="98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79">
    <w:name w:val="Heading 8"/>
    <w:basedOn w:val="1027"/>
    <w:next w:val="1027"/>
    <w:link w:val="98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80">
    <w:name w:val="Heading 9"/>
    <w:basedOn w:val="1027"/>
    <w:next w:val="1027"/>
    <w:link w:val="98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81">
    <w:name w:val="Heading 1 Char"/>
    <w:basedOn w:val="1028"/>
    <w:link w:val="9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82">
    <w:name w:val="Heading 2 Char"/>
    <w:basedOn w:val="1028"/>
    <w:link w:val="9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83">
    <w:name w:val="Heading 3 Char"/>
    <w:basedOn w:val="1028"/>
    <w:link w:val="9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84">
    <w:name w:val="Heading 4 Char"/>
    <w:basedOn w:val="1028"/>
    <w:link w:val="97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85">
    <w:name w:val="Heading 5 Char"/>
    <w:basedOn w:val="1028"/>
    <w:link w:val="9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86">
    <w:name w:val="Heading 6 Char"/>
    <w:basedOn w:val="1028"/>
    <w:link w:val="97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87">
    <w:name w:val="Heading 7 Char"/>
    <w:basedOn w:val="1028"/>
    <w:link w:val="9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88">
    <w:name w:val="Heading 8 Char"/>
    <w:basedOn w:val="1028"/>
    <w:link w:val="9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89">
    <w:name w:val="Heading 9 Char"/>
    <w:basedOn w:val="1028"/>
    <w:link w:val="9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90">
    <w:name w:val="Title"/>
    <w:basedOn w:val="1027"/>
    <w:next w:val="1027"/>
    <w:link w:val="99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91">
    <w:name w:val="Title Char"/>
    <w:basedOn w:val="1028"/>
    <w:link w:val="99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92">
    <w:name w:val="Subtitle"/>
    <w:basedOn w:val="1027"/>
    <w:next w:val="1027"/>
    <w:link w:val="99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93">
    <w:name w:val="Subtitle Char"/>
    <w:basedOn w:val="1028"/>
    <w:link w:val="99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94">
    <w:name w:val="Quote"/>
    <w:basedOn w:val="1027"/>
    <w:next w:val="1027"/>
    <w:link w:val="9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95">
    <w:name w:val="Quote Char"/>
    <w:basedOn w:val="1028"/>
    <w:link w:val="99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96">
    <w:name w:val="Intense Emphasis"/>
    <w:basedOn w:val="10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97">
    <w:name w:val="Intense Quote"/>
    <w:basedOn w:val="1027"/>
    <w:next w:val="1027"/>
    <w:link w:val="99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98">
    <w:name w:val="Intense Quote Char"/>
    <w:basedOn w:val="1028"/>
    <w:link w:val="99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99">
    <w:name w:val="Intense Reference"/>
    <w:basedOn w:val="10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00">
    <w:name w:val="No Spacing"/>
    <w:basedOn w:val="1027"/>
    <w:uiPriority w:val="1"/>
    <w:qFormat/>
    <w:pPr>
      <w:pBdr/>
      <w:spacing w:after="0" w:line="240" w:lineRule="auto"/>
      <w:ind/>
    </w:pPr>
  </w:style>
  <w:style w:type="character" w:styleId="1001">
    <w:name w:val="Subtle Emphasis"/>
    <w:basedOn w:val="10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02">
    <w:name w:val="Emphasis"/>
    <w:basedOn w:val="1028"/>
    <w:uiPriority w:val="20"/>
    <w:qFormat/>
    <w:pPr>
      <w:pBdr/>
      <w:spacing/>
      <w:ind/>
    </w:pPr>
    <w:rPr>
      <w:i/>
      <w:iCs/>
    </w:rPr>
  </w:style>
  <w:style w:type="character" w:styleId="1003">
    <w:name w:val="Strong"/>
    <w:basedOn w:val="1028"/>
    <w:uiPriority w:val="22"/>
    <w:qFormat/>
    <w:pPr>
      <w:pBdr/>
      <w:spacing/>
      <w:ind/>
    </w:pPr>
    <w:rPr>
      <w:b/>
      <w:bCs/>
    </w:rPr>
  </w:style>
  <w:style w:type="character" w:styleId="1004">
    <w:name w:val="Subtle Reference"/>
    <w:basedOn w:val="10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05">
    <w:name w:val="Book Title"/>
    <w:basedOn w:val="102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06">
    <w:name w:val="Header Char"/>
    <w:basedOn w:val="1028"/>
    <w:link w:val="1035"/>
    <w:uiPriority w:val="99"/>
    <w:pPr>
      <w:pBdr/>
      <w:spacing/>
      <w:ind/>
    </w:pPr>
  </w:style>
  <w:style w:type="character" w:styleId="1007">
    <w:name w:val="Footer Char"/>
    <w:basedOn w:val="1028"/>
    <w:link w:val="1037"/>
    <w:uiPriority w:val="99"/>
    <w:pPr>
      <w:pBdr/>
      <w:spacing/>
      <w:ind/>
    </w:pPr>
  </w:style>
  <w:style w:type="paragraph" w:styleId="1008">
    <w:name w:val="Caption"/>
    <w:basedOn w:val="1027"/>
    <w:next w:val="102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09">
    <w:name w:val="footnote text"/>
    <w:basedOn w:val="1027"/>
    <w:link w:val="101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0">
    <w:name w:val="Footnote Text Char"/>
    <w:basedOn w:val="1028"/>
    <w:link w:val="1009"/>
    <w:uiPriority w:val="99"/>
    <w:semiHidden/>
    <w:pPr>
      <w:pBdr/>
      <w:spacing/>
      <w:ind/>
    </w:pPr>
    <w:rPr>
      <w:sz w:val="20"/>
      <w:szCs w:val="20"/>
    </w:rPr>
  </w:style>
  <w:style w:type="character" w:styleId="1011">
    <w:name w:val="foot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paragraph" w:styleId="1012">
    <w:name w:val="endnote text"/>
    <w:basedOn w:val="1027"/>
    <w:link w:val="10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13">
    <w:name w:val="Endnote Text Char"/>
    <w:basedOn w:val="1028"/>
    <w:link w:val="1012"/>
    <w:uiPriority w:val="99"/>
    <w:semiHidden/>
    <w:pPr>
      <w:pBdr/>
      <w:spacing/>
      <w:ind/>
    </w:pPr>
    <w:rPr>
      <w:sz w:val="20"/>
      <w:szCs w:val="20"/>
    </w:rPr>
  </w:style>
  <w:style w:type="character" w:styleId="1014">
    <w:name w:val="endnote reference"/>
    <w:basedOn w:val="1028"/>
    <w:uiPriority w:val="99"/>
    <w:semiHidden/>
    <w:unhideWhenUsed/>
    <w:pPr>
      <w:pBdr/>
      <w:spacing/>
      <w:ind/>
    </w:pPr>
    <w:rPr>
      <w:vertAlign w:val="superscript"/>
    </w:rPr>
  </w:style>
  <w:style w:type="character" w:styleId="1015">
    <w:name w:val="FollowedHyperlink"/>
    <w:basedOn w:val="10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16">
    <w:name w:val="toc 1"/>
    <w:basedOn w:val="1027"/>
    <w:next w:val="1027"/>
    <w:uiPriority w:val="39"/>
    <w:unhideWhenUsed/>
    <w:pPr>
      <w:pBdr/>
      <w:spacing w:after="100"/>
      <w:ind/>
    </w:pPr>
  </w:style>
  <w:style w:type="paragraph" w:styleId="1017">
    <w:name w:val="toc 2"/>
    <w:basedOn w:val="1027"/>
    <w:next w:val="1027"/>
    <w:uiPriority w:val="39"/>
    <w:unhideWhenUsed/>
    <w:pPr>
      <w:pBdr/>
      <w:spacing w:after="100"/>
      <w:ind w:left="220"/>
    </w:pPr>
  </w:style>
  <w:style w:type="paragraph" w:styleId="1018">
    <w:name w:val="toc 3"/>
    <w:basedOn w:val="1027"/>
    <w:next w:val="1027"/>
    <w:uiPriority w:val="39"/>
    <w:unhideWhenUsed/>
    <w:pPr>
      <w:pBdr/>
      <w:spacing w:after="100"/>
      <w:ind w:left="440"/>
    </w:pPr>
  </w:style>
  <w:style w:type="paragraph" w:styleId="1019">
    <w:name w:val="toc 4"/>
    <w:basedOn w:val="1027"/>
    <w:next w:val="1027"/>
    <w:uiPriority w:val="39"/>
    <w:unhideWhenUsed/>
    <w:pPr>
      <w:pBdr/>
      <w:spacing w:after="100"/>
      <w:ind w:left="660"/>
    </w:pPr>
  </w:style>
  <w:style w:type="paragraph" w:styleId="1020">
    <w:name w:val="toc 5"/>
    <w:basedOn w:val="1027"/>
    <w:next w:val="1027"/>
    <w:uiPriority w:val="39"/>
    <w:unhideWhenUsed/>
    <w:pPr>
      <w:pBdr/>
      <w:spacing w:after="100"/>
      <w:ind w:left="880"/>
    </w:pPr>
  </w:style>
  <w:style w:type="paragraph" w:styleId="1021">
    <w:name w:val="toc 6"/>
    <w:basedOn w:val="1027"/>
    <w:next w:val="1027"/>
    <w:uiPriority w:val="39"/>
    <w:unhideWhenUsed/>
    <w:pPr>
      <w:pBdr/>
      <w:spacing w:after="100"/>
      <w:ind w:left="1100"/>
    </w:pPr>
  </w:style>
  <w:style w:type="paragraph" w:styleId="1022">
    <w:name w:val="toc 7"/>
    <w:basedOn w:val="1027"/>
    <w:next w:val="1027"/>
    <w:uiPriority w:val="39"/>
    <w:unhideWhenUsed/>
    <w:pPr>
      <w:pBdr/>
      <w:spacing w:after="100"/>
      <w:ind w:left="1320"/>
    </w:pPr>
  </w:style>
  <w:style w:type="paragraph" w:styleId="1023">
    <w:name w:val="toc 8"/>
    <w:basedOn w:val="1027"/>
    <w:next w:val="1027"/>
    <w:uiPriority w:val="39"/>
    <w:unhideWhenUsed/>
    <w:pPr>
      <w:pBdr/>
      <w:spacing w:after="100"/>
      <w:ind w:left="1540"/>
    </w:pPr>
  </w:style>
  <w:style w:type="paragraph" w:styleId="1024">
    <w:name w:val="toc 9"/>
    <w:basedOn w:val="1027"/>
    <w:next w:val="1027"/>
    <w:uiPriority w:val="39"/>
    <w:unhideWhenUsed/>
    <w:pPr>
      <w:pBdr/>
      <w:spacing w:after="100"/>
      <w:ind w:left="1760"/>
    </w:pPr>
  </w:style>
  <w:style w:type="paragraph" w:styleId="1025">
    <w:name w:val="TOC Heading"/>
    <w:uiPriority w:val="39"/>
    <w:unhideWhenUsed/>
    <w:pPr>
      <w:pBdr/>
      <w:spacing/>
      <w:ind/>
    </w:pPr>
  </w:style>
  <w:style w:type="paragraph" w:styleId="1026">
    <w:name w:val="table of figures"/>
    <w:basedOn w:val="1027"/>
    <w:next w:val="1027"/>
    <w:uiPriority w:val="99"/>
    <w:unhideWhenUsed/>
    <w:pPr>
      <w:pBdr/>
      <w:spacing w:after="0" w:afterAutospacing="0"/>
      <w:ind/>
    </w:pPr>
  </w:style>
  <w:style w:type="paragraph" w:styleId="1027" w:default="1">
    <w:name w:val="Normal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character" w:styleId="1028" w:default="1">
    <w:name w:val="Default Paragraph Font"/>
    <w:uiPriority w:val="1"/>
    <w:semiHidden/>
    <w:unhideWhenUsed/>
    <w:pPr>
      <w:pBdr/>
      <w:spacing/>
      <w:ind/>
    </w:pPr>
  </w:style>
  <w:style w:type="table" w:styleId="102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30" w:default="1">
    <w:name w:val="No List"/>
    <w:uiPriority w:val="99"/>
    <w:semiHidden/>
    <w:unhideWhenUsed/>
    <w:pPr>
      <w:pBdr/>
      <w:spacing/>
      <w:ind/>
    </w:pPr>
  </w:style>
  <w:style w:type="character" w:styleId="1031">
    <w:name w:val="Hyperlink"/>
    <w:pPr>
      <w:pBdr/>
      <w:spacing/>
      <w:ind/>
    </w:pPr>
    <w:rPr>
      <w:u w:val="single"/>
    </w:rPr>
  </w:style>
  <w:style w:type="table" w:styleId="1032" w:customStyle="1">
    <w:name w:val="Table Normal"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33" w:customStyle="1">
    <w:name w:val="По умолчанию"/>
    <w:pPr>
      <w:pBdr/>
      <w:spacing/>
      <w:ind/>
    </w:pPr>
    <w:rPr>
      <w:rFonts w:ascii="Gotham Pro" w:hAnsi="Gotham Pro" w:cs="Arial Unicode MS"/>
      <w:color w:val="000000"/>
      <w:sz w:val="22"/>
      <w:szCs w:val="22"/>
    </w:rPr>
  </w:style>
  <w:style w:type="paragraph" w:styleId="1034" w:customStyle="1">
    <w:name w:val="Колонтитулы"/>
    <w:pPr>
      <w:pBdr/>
      <w:tabs>
        <w:tab w:val="right" w:leader="none" w:pos="9020"/>
      </w:tabs>
      <w:spacing/>
      <w:ind/>
    </w:pPr>
    <w:rPr>
      <w:rFonts w:ascii="Gotham Pro" w:hAnsi="Gotham Pro" w:eastAsia="Gotham Pro" w:cs="Gotham Pro"/>
      <w:color w:val="000000"/>
      <w:sz w:val="24"/>
      <w:szCs w:val="24"/>
    </w:rPr>
  </w:style>
  <w:style w:type="paragraph" w:styleId="1035">
    <w:name w:val="Header"/>
    <w:basedOn w:val="1027"/>
    <w:link w:val="1036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036" w:customStyle="1">
    <w:name w:val="Верхний колонтитул Знак"/>
    <w:basedOn w:val="1028"/>
    <w:link w:val="1035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1037">
    <w:name w:val="Footer"/>
    <w:basedOn w:val="1027"/>
    <w:link w:val="1038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1038" w:customStyle="1">
    <w:name w:val="Нижний колонтитул Знак"/>
    <w:basedOn w:val="1028"/>
    <w:link w:val="1037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1039">
    <w:name w:val="Balloon Text"/>
    <w:basedOn w:val="1027"/>
    <w:link w:val="1040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1040" w:customStyle="1">
    <w:name w:val="Текст выноски Знак"/>
    <w:basedOn w:val="1028"/>
    <w:link w:val="1039"/>
    <w:uiPriority w:val="99"/>
    <w:semiHidden/>
    <w:pPr>
      <w:pBdr/>
      <w:spacing/>
      <w:ind/>
    </w:pPr>
    <w:rPr>
      <w:rFonts w:ascii="Segoe UI" w:hAnsi="Segoe UI" w:eastAsia="Gotham Pro" w:cs="Segoe UI"/>
      <w:color w:val="000000"/>
      <w:sz w:val="18"/>
      <w:szCs w:val="18"/>
      <w:lang w:val="en-US"/>
    </w:rPr>
  </w:style>
  <w:style w:type="table" w:styleId="1041">
    <w:name w:val="Table Grid"/>
    <w:basedOn w:val="1029"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42" w:customStyle="1">
    <w:name w:val="Таблицы (моноширинный)"/>
    <w:basedOn w:val="1027"/>
    <w:next w:val="1027"/>
    <w:uiPriority w:val="99"/>
    <w:pPr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  <w:jc w:val="both"/>
    </w:pPr>
    <w:rPr>
      <w:rFonts w:ascii="Courier New" w:hAnsi="Courier New" w:eastAsia="Times New Roman" w:cs="Courier New"/>
      <w:color w:val="auto"/>
      <w:lang w:val="ru-RU"/>
    </w:rPr>
  </w:style>
  <w:style w:type="paragraph" w:styleId="1043">
    <w:name w:val="List Paragraph"/>
    <w:basedOn w:val="1027"/>
    <w:uiPriority w:val="34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ind w:left="720"/>
      <w:contextualSpacing w:val="true"/>
    </w:pPr>
    <w:rPr>
      <w:rFonts w:ascii="Calibri" w:hAnsi="Calibri" w:eastAsia="Calibri" w:cs="Times New Roman"/>
      <w:color w:val="auto"/>
      <w:sz w:val="22"/>
      <w:szCs w:val="22"/>
      <w:lang w:val="ru-RU" w:eastAsia="en-US"/>
    </w:rPr>
  </w:style>
  <w:style w:type="paragraph" w:styleId="1044" w:customStyle="1">
    <w:name w:val="msonormal_mailru_css_attribute_postfix"/>
    <w:basedOn w:val="1027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00" w:afterAutospacing="1" w:before="100" w:beforeAutospacing="1"/>
      <w:ind/>
    </w:pPr>
    <w:rPr>
      <w:rFonts w:ascii="Times New Roman" w:hAnsi="Times New Roman" w:eastAsia="Times New Roman" w:cs="Times New Roman"/>
      <w:color w:val="auto"/>
      <w:lang w:val="ru-RU"/>
    </w:rPr>
  </w:style>
  <w:style w:type="paragraph" w:styleId="1_7" w:customStyle="1">
    <w:name w:val="Основной текст1"/>
    <w:basedOn w:val="1151"/>
    <w:next w:val="1215"/>
    <w:link w:val="1214"/>
    <w:pPr>
      <w:keepNext w:val="false"/>
      <w:keepLines w:val="false"/>
      <w:pageBreakBefore w:val="false"/>
      <w:widowControl w:val="fals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clear" w:color="auto" w:fill="ffffff"/>
      <w:bidi w:val="false"/>
      <w:spacing w:after="20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BB05-BA7C-40B7-95F4-7D61B34C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revision>5</cp:revision>
  <dcterms:created xsi:type="dcterms:W3CDTF">2025-02-21T10:34:00Z</dcterms:created>
  <dcterms:modified xsi:type="dcterms:W3CDTF">2025-09-30T10:12:00Z</dcterms:modified>
</cp:coreProperties>
</file>