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155065" w14:textId="77777777" w:rsidR="001F219C" w:rsidRPr="002E6751" w:rsidRDefault="001F219C" w:rsidP="00F7538B">
      <w:pPr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</w:p>
    <w:p w14:paraId="76C9A63D" w14:textId="6CC71B82" w:rsidR="001F219C" w:rsidRPr="002E6751" w:rsidRDefault="002E6751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074F0C">
        <w:rPr>
          <w:rFonts w:ascii="Times New Roman" w:hAnsi="Times New Roman" w:cs="Times New Roman"/>
          <w:bCs/>
          <w:sz w:val="26"/>
          <w:szCs w:val="26"/>
          <w:lang w:val="ru-RU"/>
        </w:rPr>
        <w:t>Исх. 5</w:t>
      </w:r>
      <w:r w:rsidR="00074F0C" w:rsidRPr="00074F0C">
        <w:rPr>
          <w:rFonts w:ascii="Times New Roman" w:hAnsi="Times New Roman" w:cs="Times New Roman"/>
          <w:bCs/>
          <w:sz w:val="26"/>
          <w:szCs w:val="26"/>
          <w:lang w:val="ru-RU"/>
        </w:rPr>
        <w:t>15</w:t>
      </w:r>
      <w:r w:rsidRPr="00074F0C">
        <w:rPr>
          <w:rFonts w:ascii="Times New Roman" w:hAnsi="Times New Roman" w:cs="Times New Roman"/>
          <w:bCs/>
          <w:sz w:val="26"/>
          <w:szCs w:val="26"/>
          <w:lang w:val="ru-RU"/>
        </w:rPr>
        <w:t>/2025 от 2</w:t>
      </w:r>
      <w:r w:rsidR="00074F0C" w:rsidRPr="00074F0C">
        <w:rPr>
          <w:rFonts w:ascii="Times New Roman" w:hAnsi="Times New Roman" w:cs="Times New Roman"/>
          <w:bCs/>
          <w:sz w:val="26"/>
          <w:szCs w:val="26"/>
          <w:lang w:val="ru-RU"/>
        </w:rPr>
        <w:t>5</w:t>
      </w:r>
      <w:r w:rsidRPr="00074F0C">
        <w:rPr>
          <w:rFonts w:ascii="Times New Roman" w:hAnsi="Times New Roman" w:cs="Times New Roman"/>
          <w:bCs/>
          <w:sz w:val="26"/>
          <w:szCs w:val="26"/>
          <w:lang w:val="ru-RU"/>
        </w:rPr>
        <w:t>.08.2025 г.</w:t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  <w:t>Заместителю директора</w:t>
      </w:r>
    </w:p>
    <w:p w14:paraId="6659FA8E" w14:textId="205BB731" w:rsidR="002E6751" w:rsidRPr="002E6751" w:rsidRDefault="002E6751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  <w:t>по капитальному строительству</w:t>
      </w:r>
    </w:p>
    <w:p w14:paraId="7E81A1B3" w14:textId="11BD67DD" w:rsidR="002E6751" w:rsidRPr="002E6751" w:rsidRDefault="002E6751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  <w:t xml:space="preserve">начальника управления </w:t>
      </w:r>
    </w:p>
    <w:p w14:paraId="35772AC2" w14:textId="2A465557" w:rsidR="002E6751" w:rsidRPr="002E6751" w:rsidRDefault="002E6751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  <w:t>Жуку Д.С.</w:t>
      </w:r>
    </w:p>
    <w:p w14:paraId="361079DC" w14:textId="72617916" w:rsidR="002E6751" w:rsidRPr="002E6751" w:rsidRDefault="002E6751" w:rsidP="00531586">
      <w:pPr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7BAFEE8D" w14:textId="275F9421" w:rsidR="002E6751" w:rsidRPr="002E6751" w:rsidRDefault="002E6751" w:rsidP="002E6751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3D22C81F" w14:textId="649F3477" w:rsidR="002E6751" w:rsidRPr="002E6751" w:rsidRDefault="002E6751" w:rsidP="00531586">
      <w:pPr>
        <w:ind w:firstLine="709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>Уважаемый Денис Станиславович!</w:t>
      </w:r>
    </w:p>
    <w:p w14:paraId="6D377965" w14:textId="0438FE1F" w:rsidR="002E6751" w:rsidRPr="002E6751" w:rsidRDefault="002E6751" w:rsidP="002E6751">
      <w:pPr>
        <w:ind w:firstLine="709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293407C1" w14:textId="77777777" w:rsidR="002E6751" w:rsidRPr="002E6751" w:rsidRDefault="002E6751" w:rsidP="002E6751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>В работе у ООО «Энергосистемы» находится договор №С163997-322966/СКП/ПИР от 10.07.2025г. по титулу: «Строительство КЛ-35 кВ Поварово - Воробьево от оп. 32 до оп. 38(взамен существующей ВЛ-35кВ) для освобождения земельного участка заявителя, в т.ч. ПИР, МО, г.о. Солнечногорск, кв Есипово-1, уч. 3; 1а; 8», заявитель ООО "ВАЙЛДБЕРРИЗ".</w:t>
      </w:r>
    </w:p>
    <w:p w14:paraId="4C1A4929" w14:textId="77777777" w:rsidR="002E6751" w:rsidRPr="002E6751" w:rsidRDefault="002E6751" w:rsidP="002E6751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>Информируем Вас об обстоятельствах, препятствующих своевременному выполнению работ, которые были выявлены в ходе согласования проектного решения.</w:t>
      </w:r>
    </w:p>
    <w:p w14:paraId="27757FC4" w14:textId="682D6103" w:rsidR="002E6751" w:rsidRPr="002E6751" w:rsidRDefault="002E6751" w:rsidP="002E6751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При согласовании первоначального плана трассы было направлено обращение Заявителю ООО "ВАЙЛДБЕРРИЗ" (исх.№ 377/2025), по которому получен положительный ответ (исх. 069/ЕС-2025 от 02.07.2025 г.). </w:t>
      </w:r>
    </w:p>
    <w:p w14:paraId="61B33BD2" w14:textId="77777777" w:rsidR="002E6751" w:rsidRPr="002E6751" w:rsidRDefault="002E6751" w:rsidP="00531586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>Были установлены собственники земельных участков:</w:t>
      </w:r>
      <w:r w:rsidRPr="002E6751">
        <w:rPr>
          <w:rFonts w:ascii="Times New Roman" w:hAnsi="Times New Roman" w:cs="Times New Roman"/>
          <w:sz w:val="26"/>
          <w:szCs w:val="26"/>
          <w:lang w:val="ru-RU"/>
        </w:rPr>
        <w:br/>
        <w:t>- с к.н. 50:09:0020618:670 ООО «СМАРТ ПАРКС» с существующей опорой № 37 У35-1.</w:t>
      </w:r>
    </w:p>
    <w:p w14:paraId="340ADB47" w14:textId="77777777" w:rsidR="002E6751" w:rsidRPr="002E6751" w:rsidRDefault="002E6751" w:rsidP="002E675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>- с к.н. 50:09:0020618:674 ООО «ПАРК ПЛЮС» существующей опорой № 32 У35-1.</w:t>
      </w:r>
    </w:p>
    <w:p w14:paraId="1F8B1387" w14:textId="77777777" w:rsidR="002E6751" w:rsidRPr="002E6751" w:rsidRDefault="002E6751" w:rsidP="002E6751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>В ходе длительных переговоров с ООО «СМАРТ ПАКРС» и ООО «ПАРК ПЛЮС» было достигнуто устное соглашение о проведении работ по демонтажу существующей ВЛ-35кВ и прокладке КЛ-35кВ в существующей охранной зоне, проходящей на данных земельных участках с условием без возведения новых дополнительных опор. Получение официального согласования откладывалось на 15.08.2025 г. до возвращения основного ответственного лица - учредителя ООО «СМАРТ ПАКРС» и ООО «ПАРК ПЛЮС» из командировки.</w:t>
      </w:r>
    </w:p>
    <w:p w14:paraId="3578E8A0" w14:textId="2FEF94F2" w:rsidR="002E6751" w:rsidRPr="002E6751" w:rsidRDefault="002E6751" w:rsidP="002E6751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Однако, при согласовании проекта с ПАО «Россети Московский регион» в системе Архив ПСД, службой эксплуатации было выставлено требование о внесении в проект дополнительных работ – установка новых дополнительных опор с переходными пунктами. В результате чего был разработан </w:t>
      </w:r>
      <w:r w:rsidRPr="002E6751">
        <w:rPr>
          <w:rFonts w:ascii="Times New Roman" w:hAnsi="Times New Roman" w:cs="Times New Roman"/>
          <w:b/>
          <w:bCs/>
          <w:sz w:val="26"/>
          <w:szCs w:val="26"/>
          <w:lang w:val="ru-RU"/>
        </w:rPr>
        <w:t>2ой вариант</w:t>
      </w: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 выноса ВЛ-35кВ с установкой дополнительных опор на з.у. Заявителя. Заявителя данный вариант выноса не устроил - получен отказ (исх. № 074/ЕС-2025 от 19.08.2025) с рекомендацией следовать ранее утвержденным техническим решениям.</w:t>
      </w:r>
    </w:p>
    <w:p w14:paraId="7A812002" w14:textId="1531CE20" w:rsidR="002E6751" w:rsidRPr="002E6751" w:rsidRDefault="002E6751" w:rsidP="002E6751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Параллельно был подготовлен </w:t>
      </w:r>
      <w:r w:rsidRPr="002E6751">
        <w:rPr>
          <w:rFonts w:ascii="Times New Roman" w:hAnsi="Times New Roman" w:cs="Times New Roman"/>
          <w:b/>
          <w:bCs/>
          <w:sz w:val="26"/>
          <w:szCs w:val="26"/>
          <w:lang w:val="ru-RU"/>
        </w:rPr>
        <w:t>3ий вариант</w:t>
      </w: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 выноса ВЛ-35кВ с установкой дополнительных опор на участках с к.н. 50:09:0020618:670 (ООО «СМАРТ ПАРКС») и </w:t>
      </w:r>
      <w:r w:rsidRPr="002E6751">
        <w:rPr>
          <w:rFonts w:ascii="Times New Roman" w:hAnsi="Times New Roman" w:cs="Times New Roman"/>
          <w:sz w:val="26"/>
          <w:szCs w:val="26"/>
          <w:lang w:val="ru-RU"/>
        </w:rPr>
        <w:lastRenderedPageBreak/>
        <w:t>50:09:0020618:674 (ООО «ПАРК ПЛЮС»). Данный вариант выноса был направлен на согласование официальными письмами (исх. 494/2025 и 493/2025 от 15.08.2025 г.), ответа на которые на сегодняшний день не получено. Однако в ходе переговоров собственники данных з.у. проинформировали ООО «Энергосистемы» о намерениях также высвобождать з.у. ООО «СМАРТ ПАКРС» от ВЛ-35кВ и что ими был заключен договор на оказание организационно-технических услуг № С8-25-343- 212697(221911) на переустройство сети ЛЭП 35кВ (на сегодняшний день ожидается выдача Оферты). В связи с этим они категорически не согласны размещать дополнительные опоры на своих участках. По этой причине ООО «Энергосистемы» подготовили и разослали соглашения о наложении сервитута (сопроводительные письма БКС/06/259 и БКС/06/258 от 19.08.2025)</w:t>
      </w:r>
    </w:p>
    <w:p w14:paraId="49FC32E7" w14:textId="45189FF2" w:rsidR="002E6751" w:rsidRPr="002E6751" w:rsidRDefault="002E6751" w:rsidP="00531586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Понимая, что наложение сервитута на з.у. ООО «СМАРТ ПАКРС» и ООО «ПАРК ПЛЮС» - длительная процедура и влечет за собой невозможность выполнения работ по высвобождению з.у. </w:t>
      </w:r>
      <w:bookmarkStart w:id="0" w:name="_Hlk207006271"/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ООО «ВАЙЛДБЕРРИЗ» </w:t>
      </w:r>
      <w:bookmarkEnd w:id="0"/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в директивный срок, ООО «Энергосистемы разработали </w:t>
      </w:r>
      <w:r w:rsidRPr="002E6751"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  <w:r w:rsidR="00E93364">
        <w:rPr>
          <w:rFonts w:ascii="Times New Roman" w:hAnsi="Times New Roman" w:cs="Times New Roman"/>
          <w:b/>
          <w:bCs/>
          <w:sz w:val="26"/>
          <w:szCs w:val="26"/>
          <w:lang w:val="ru-RU"/>
        </w:rPr>
        <w:t>-</w:t>
      </w:r>
      <w:bookmarkStart w:id="1" w:name="_GoBack"/>
      <w:bookmarkEnd w:id="1"/>
      <w:r w:rsidRPr="002E6751">
        <w:rPr>
          <w:rFonts w:ascii="Times New Roman" w:hAnsi="Times New Roman" w:cs="Times New Roman"/>
          <w:b/>
          <w:bCs/>
          <w:sz w:val="26"/>
          <w:szCs w:val="26"/>
          <w:lang w:val="ru-RU"/>
        </w:rPr>
        <w:t>ый</w:t>
      </w: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E6751">
        <w:rPr>
          <w:rFonts w:ascii="Times New Roman" w:hAnsi="Times New Roman" w:cs="Times New Roman"/>
          <w:b/>
          <w:bCs/>
          <w:sz w:val="26"/>
          <w:szCs w:val="26"/>
          <w:lang w:val="ru-RU"/>
        </w:rPr>
        <w:t>вариант</w:t>
      </w: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 размещения дополнительных опор за границей участка одного из з.у., принадлежащего ООО «СМАРТ ПАКРС». Данный вариант выноса – единственный позволяющий в короткий срок выполнить реализацию выноса ВЛ-35кВ с з.у. ООО "ВАЙЛДБЕРРИЗ", однако протяженность участка выноса увеличивается.</w:t>
      </w:r>
    </w:p>
    <w:p w14:paraId="6B39AA5F" w14:textId="53249E81" w:rsidR="002E6751" w:rsidRDefault="002E6751" w:rsidP="002E6751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В связи с вышеописанными обстоятельствами с целью выполнения работ по высвобождению з.у. </w:t>
      </w:r>
      <w:r w:rsidR="00531586" w:rsidRPr="00531586">
        <w:rPr>
          <w:rFonts w:ascii="Times New Roman" w:hAnsi="Times New Roman" w:cs="Times New Roman"/>
          <w:sz w:val="26"/>
          <w:szCs w:val="26"/>
          <w:lang w:val="ru-RU"/>
        </w:rPr>
        <w:t xml:space="preserve">ООО «ВАЙЛДБЕРРИЗ» </w:t>
      </w:r>
      <w:r w:rsidRPr="002E6751">
        <w:rPr>
          <w:rFonts w:ascii="Times New Roman" w:hAnsi="Times New Roman" w:cs="Times New Roman"/>
          <w:sz w:val="26"/>
          <w:szCs w:val="26"/>
          <w:lang w:val="ru-RU"/>
        </w:rPr>
        <w:t xml:space="preserve"> в кротчайшие сроки просим Вас организовать совместное совещание с участием подрядной организации ООО «</w:t>
      </w:r>
      <w:r w:rsidR="00531586" w:rsidRPr="002E6751">
        <w:rPr>
          <w:rFonts w:ascii="Times New Roman" w:hAnsi="Times New Roman" w:cs="Times New Roman"/>
          <w:sz w:val="26"/>
          <w:szCs w:val="26"/>
          <w:lang w:val="ru-RU"/>
        </w:rPr>
        <w:t>Энергосистемы</w:t>
      </w:r>
      <w:r w:rsidRPr="002E6751">
        <w:rPr>
          <w:rFonts w:ascii="Times New Roman" w:hAnsi="Times New Roman" w:cs="Times New Roman"/>
          <w:sz w:val="26"/>
          <w:szCs w:val="26"/>
          <w:lang w:val="ru-RU"/>
        </w:rPr>
        <w:t>»,  представителей ПАО «Россети Московский регион», ООО "ВАЙЛДБЕРРИЗ", ООО «СМАРТ ПАКРС» и ООО «ПАРК ПЛЮС» для принятия решения по месту установки новых опор для переходных пунктов, которое устроит все стороны.</w:t>
      </w:r>
    </w:p>
    <w:p w14:paraId="3EE1A1D1" w14:textId="564923B7" w:rsidR="00074F0C" w:rsidRDefault="00074F0C" w:rsidP="002E6751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74F0C">
        <w:rPr>
          <w:rFonts w:ascii="Times New Roman" w:hAnsi="Times New Roman" w:cs="Times New Roman"/>
          <w:sz w:val="26"/>
          <w:szCs w:val="26"/>
          <w:lang w:val="ru-RU"/>
        </w:rPr>
        <w:t>В соответствии с п.1 ст. 716 Гражданского кодекса Российской Федерации подрядчик обязан немедленно предупредить заказчика и до получения от него указаний приостановить работу при обнаружении иных не зависящих от подрядчика обстоятельств, которые грозят годности или прочности результатов выполняемой работы либо создают невозможность ее завершения в срок.</w:t>
      </w:r>
    </w:p>
    <w:p w14:paraId="586094A9" w14:textId="29ECEDAF" w:rsidR="00531586" w:rsidRPr="002E6751" w:rsidRDefault="00531586" w:rsidP="002E6751">
      <w:pPr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31586">
        <w:rPr>
          <w:rFonts w:ascii="Times New Roman" w:hAnsi="Times New Roman" w:cs="Times New Roman"/>
          <w:sz w:val="26"/>
          <w:szCs w:val="26"/>
          <w:lang w:val="ru-RU"/>
        </w:rPr>
        <w:t>Принимая во внимание вышеизложенное, а также учитывая все объективные обстоятельства, находящиеся за пределами зоны ответственности Подрядчика, явившиеся причиной нарушения сроков выполнения работ по вышеуказанному договору, просим не проводить в отношении ООО «</w:t>
      </w:r>
      <w:r>
        <w:rPr>
          <w:rFonts w:ascii="Times New Roman" w:hAnsi="Times New Roman" w:cs="Times New Roman"/>
          <w:sz w:val="26"/>
          <w:szCs w:val="26"/>
          <w:lang w:val="ru-RU"/>
        </w:rPr>
        <w:t>Энергосистемы</w:t>
      </w:r>
      <w:r w:rsidRPr="00531586">
        <w:rPr>
          <w:rFonts w:ascii="Times New Roman" w:hAnsi="Times New Roman" w:cs="Times New Roman"/>
          <w:sz w:val="26"/>
          <w:szCs w:val="26"/>
          <w:lang w:val="ru-RU"/>
        </w:rPr>
        <w:t xml:space="preserve">» претензионную работу, не инициировать исковую работу и рассмотреть возможность продления договора подряда.     </w:t>
      </w:r>
    </w:p>
    <w:p w14:paraId="1979AA6E" w14:textId="77777777" w:rsidR="002E6751" w:rsidRPr="002E6751" w:rsidRDefault="002E6751" w:rsidP="002E6751">
      <w:pPr>
        <w:ind w:firstLine="709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7B8485EA" w14:textId="311FBCDF" w:rsidR="002E6751" w:rsidRPr="002E6751" w:rsidRDefault="002E6751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50651CCD" w14:textId="520EC2E2" w:rsidR="001F219C" w:rsidRPr="002E6751" w:rsidRDefault="001F219C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1B572CD9" w14:textId="77777777" w:rsidR="001F219C" w:rsidRPr="002E6751" w:rsidRDefault="001F219C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059F5AB8" w14:textId="5D74579C" w:rsidR="001D584E" w:rsidRPr="002E6751" w:rsidRDefault="001D584E" w:rsidP="005E4841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>Генеральный директор</w:t>
      </w:r>
    </w:p>
    <w:p w14:paraId="5351F67A" w14:textId="3D8CBB6C" w:rsidR="001D584E" w:rsidRPr="002E6751" w:rsidRDefault="001D584E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>ООО «Энергосистемы»</w:t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="001F219C" w:rsidRPr="002E6751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           </w:t>
      </w:r>
      <w:r w:rsidRPr="002E6751">
        <w:rPr>
          <w:rFonts w:ascii="Times New Roman" w:hAnsi="Times New Roman" w:cs="Times New Roman"/>
          <w:bCs/>
          <w:sz w:val="26"/>
          <w:szCs w:val="26"/>
          <w:lang w:val="ru-RU"/>
        </w:rPr>
        <w:t>Чернявский Д.Е.</w:t>
      </w:r>
    </w:p>
    <w:p w14:paraId="69CD88E3" w14:textId="0D0960E8" w:rsidR="001D584E" w:rsidRPr="002E6751" w:rsidRDefault="001D584E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3BD76219" w14:textId="50DB2D4D" w:rsidR="001D584E" w:rsidRPr="002E6751" w:rsidRDefault="001D584E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0365C31C" w14:textId="68C7D73E" w:rsidR="001D584E" w:rsidRPr="002E6751" w:rsidRDefault="001D584E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6948ADAF" w14:textId="243BF4CF" w:rsidR="001F219C" w:rsidRPr="002E6751" w:rsidRDefault="001F219C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2B2B61B2" w14:textId="77777777" w:rsidR="001F219C" w:rsidRPr="002E6751" w:rsidRDefault="001F219C" w:rsidP="001D584E">
      <w:pPr>
        <w:ind w:firstLine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sectPr w:rsidR="001F219C" w:rsidRPr="002E6751" w:rsidSect="00FA747D">
      <w:headerReference w:type="default" r:id="rId7"/>
      <w:type w:val="continuous"/>
      <w:pgSz w:w="11900" w:h="16840"/>
      <w:pgMar w:top="720" w:right="720" w:bottom="720" w:left="1134" w:header="3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97B5D" w14:textId="77777777" w:rsidR="00477952" w:rsidRDefault="00477952" w:rsidP="004D3C5D">
      <w:r>
        <w:separator/>
      </w:r>
    </w:p>
  </w:endnote>
  <w:endnote w:type="continuationSeparator" w:id="0">
    <w:p w14:paraId="5035B181" w14:textId="77777777" w:rsidR="00477952" w:rsidRDefault="00477952" w:rsidP="004D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 Pro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E3EA5" w14:textId="77777777" w:rsidR="00477952" w:rsidRDefault="00477952" w:rsidP="004D3C5D">
      <w:r>
        <w:separator/>
      </w:r>
    </w:p>
  </w:footnote>
  <w:footnote w:type="continuationSeparator" w:id="0">
    <w:p w14:paraId="3A1008B7" w14:textId="77777777" w:rsidR="00477952" w:rsidRDefault="00477952" w:rsidP="004D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403D0" w14:textId="0F2EAF3C" w:rsidR="004D3C5D" w:rsidRPr="00536F63" w:rsidRDefault="004D3C5D" w:rsidP="004D3C5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color w:val="424242"/>
        <w:sz w:val="28"/>
        <w:szCs w:val="28"/>
        <w:shd w:val="clear" w:color="auto" w:fill="FFFFFF"/>
      </w:rPr>
    </w:pPr>
    <w:r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ЭЛЕКТРОМОНТАЖНАЯ</w:t>
    </w:r>
    <w:r w:rsidRPr="00536F63">
      <w:rPr>
        <w:rFonts w:ascii="Rockwell" w:hAnsi="Rockwell"/>
        <w:b/>
        <w:color w:val="424242"/>
        <w:sz w:val="28"/>
        <w:szCs w:val="28"/>
        <w:shd w:val="clear" w:color="auto" w:fill="FFFFFF"/>
      </w:rPr>
      <w:t xml:space="preserve"> </w:t>
    </w:r>
    <w:r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КОМПАНИЯ</w:t>
    </w:r>
  </w:p>
  <w:p w14:paraId="23F863E2" w14:textId="38F83DA0" w:rsidR="00D87145" w:rsidRPr="00536F63" w:rsidRDefault="00820BF6" w:rsidP="001C06A2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Rockwell" w:hAnsi="Rockwell"/>
        <w:b/>
        <w:color w:val="424242"/>
        <w:sz w:val="28"/>
        <w:szCs w:val="28"/>
        <w:shd w:val="clear" w:color="auto" w:fill="FFFFFF"/>
      </w:rPr>
    </w:pPr>
    <w:r w:rsidRPr="00536F63">
      <w:rPr>
        <w:rFonts w:ascii="Rockwell" w:eastAsia="Helvetica" w:hAnsi="Rockwell" w:cs="Helvetica"/>
        <w:b/>
        <w:noProof/>
        <w:color w:val="424242"/>
        <w:sz w:val="28"/>
        <w:szCs w:val="28"/>
      </w:rPr>
      <w:drawing>
        <wp:anchor distT="152400" distB="152400" distL="152400" distR="152400" simplePos="0" relativeHeight="251658240" behindDoc="1" locked="0" layoutInCell="1" allowOverlap="1" wp14:anchorId="4E461FB2" wp14:editId="733ABEB6">
          <wp:simplePos x="0" y="0"/>
          <wp:positionH relativeFrom="page">
            <wp:posOffset>212725</wp:posOffset>
          </wp:positionH>
          <wp:positionV relativeFrom="page">
            <wp:posOffset>-1859915</wp:posOffset>
          </wp:positionV>
          <wp:extent cx="7134225" cy="1457326"/>
          <wp:effectExtent l="0" t="0" r="0" b="0"/>
          <wp:wrapNone/>
          <wp:docPr id="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шапка.png"/>
                  <pic:cNvPicPr>
                    <a:picLocks noChangeAspect="1"/>
                  </pic:cNvPicPr>
                </pic:nvPicPr>
                <pic:blipFill>
                  <a:blip r:embed="rId1"/>
                  <a:srcRect b="3773"/>
                  <a:stretch>
                    <a:fillRect/>
                  </a:stretch>
                </pic:blipFill>
                <pic:spPr>
                  <a:xfrm>
                    <a:off x="0" y="0"/>
                    <a:ext cx="7134225" cy="145732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A6744"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ОБЩЕСТВО</w:t>
    </w:r>
    <w:r w:rsidR="006A6744" w:rsidRPr="00536F63">
      <w:rPr>
        <w:rFonts w:ascii="Rockwell" w:hAnsi="Rockwell"/>
        <w:b/>
        <w:color w:val="424242"/>
        <w:sz w:val="28"/>
        <w:szCs w:val="28"/>
        <w:shd w:val="clear" w:color="auto" w:fill="FFFFFF"/>
      </w:rPr>
      <w:t xml:space="preserve"> </w:t>
    </w:r>
    <w:r w:rsidR="006A6744"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С</w:t>
    </w:r>
    <w:r w:rsidR="006A6744" w:rsidRPr="00536F63">
      <w:rPr>
        <w:rFonts w:ascii="Rockwell" w:hAnsi="Rockwell"/>
        <w:b/>
        <w:color w:val="424242"/>
        <w:sz w:val="28"/>
        <w:szCs w:val="28"/>
        <w:shd w:val="clear" w:color="auto" w:fill="FFFFFF"/>
      </w:rPr>
      <w:t xml:space="preserve"> </w:t>
    </w:r>
    <w:r w:rsidR="006A6744"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ОГРАНИЧЕННОЙ</w:t>
    </w:r>
    <w:r w:rsidR="006A6744" w:rsidRPr="00536F63">
      <w:rPr>
        <w:rFonts w:ascii="Rockwell" w:hAnsi="Rockwell"/>
        <w:b/>
        <w:color w:val="424242"/>
        <w:sz w:val="28"/>
        <w:szCs w:val="28"/>
        <w:shd w:val="clear" w:color="auto" w:fill="FFFFFF"/>
      </w:rPr>
      <w:t xml:space="preserve"> </w:t>
    </w:r>
    <w:r w:rsidR="006A6744"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ОТВЕТСТВЕННОСТЬЮ</w:t>
    </w:r>
  </w:p>
  <w:p w14:paraId="14C13A68" w14:textId="785A3776" w:rsidR="009A015F" w:rsidRDefault="00820BF6" w:rsidP="004D3C5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0" w:lineRule="auto"/>
      <w:jc w:val="center"/>
      <w:rPr>
        <w:rFonts w:asciiTheme="minorHAnsi" w:eastAsia="Helvetica" w:hAnsiTheme="minorHAnsi" w:cs="Helvetica"/>
        <w:color w:val="424242"/>
        <w:sz w:val="28"/>
        <w:szCs w:val="28"/>
      </w:rPr>
    </w:pPr>
    <w:r>
      <w:rPr>
        <w:rFonts w:ascii="Helvetica" w:eastAsia="Helvetica" w:hAnsi="Helvetica" w:cs="Helvetica"/>
        <w:noProof/>
        <w:color w:val="424242"/>
        <w:sz w:val="28"/>
        <w:szCs w:val="28"/>
      </w:rPr>
      <w:drawing>
        <wp:inline distT="0" distB="0" distL="0" distR="0" wp14:anchorId="2FB33E29" wp14:editId="10560E41">
          <wp:extent cx="5000625" cy="952500"/>
          <wp:effectExtent l="0" t="0" r="9525" b="0"/>
          <wp:docPr id="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лого бланк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000625" cy="952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380E983D" w14:textId="77777777" w:rsidR="007F065B" w:rsidRPr="007F065B" w:rsidRDefault="007F065B" w:rsidP="004D3C5D">
    <w:pPr>
      <w:pStyle w:val="a4"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0" w:lineRule="auto"/>
      <w:rPr>
        <w:rFonts w:asciiTheme="minorHAnsi" w:eastAsia="Helvetica" w:hAnsiTheme="minorHAnsi" w:cs="Helvetica"/>
        <w:color w:val="424242"/>
        <w:sz w:val="28"/>
        <w:szCs w:val="28"/>
      </w:rPr>
    </w:pPr>
  </w:p>
  <w:p w14:paraId="53EA72EF" w14:textId="77777777" w:rsidR="009A015F" w:rsidRPr="004D3C5D" w:rsidRDefault="009A015F" w:rsidP="00536F63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2" w:lineRule="auto"/>
      <w:jc w:val="center"/>
      <w:rPr>
        <w:rFonts w:asciiTheme="minorHAnsi" w:eastAsia="Helvetica" w:hAnsiTheme="minorHAnsi" w:cs="Helvetica"/>
        <w:b/>
        <w:i/>
        <w:color w:val="424242"/>
        <w:sz w:val="18"/>
        <w:szCs w:val="18"/>
      </w:rPr>
    </w:pPr>
  </w:p>
  <w:p w14:paraId="66B738F8" w14:textId="77777777" w:rsidR="00531586" w:rsidRPr="00531586" w:rsidRDefault="00531586" w:rsidP="00531586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Helvetica" w:eastAsia="Helvetica" w:hAnsi="Helvetica" w:cs="Helvetica"/>
        <w:b/>
        <w:i/>
        <w:color w:val="424242"/>
        <w:sz w:val="20"/>
        <w:szCs w:val="20"/>
      </w:rPr>
    </w:pPr>
    <w:r w:rsidRPr="00531586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Юридический адрес: 141508, Московская область, г.о. Солнечногорск, г. Солнечногорск, </w:t>
    </w:r>
  </w:p>
  <w:p w14:paraId="1E117B55" w14:textId="77777777" w:rsidR="00531586" w:rsidRPr="00531586" w:rsidRDefault="00531586" w:rsidP="00531586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Helvetica" w:eastAsia="Helvetica" w:hAnsi="Helvetica" w:cs="Helvetica"/>
        <w:b/>
        <w:i/>
        <w:color w:val="424242"/>
        <w:sz w:val="20"/>
        <w:szCs w:val="20"/>
      </w:rPr>
    </w:pPr>
    <w:r w:rsidRPr="00531586">
      <w:rPr>
        <w:rFonts w:ascii="Helvetica" w:eastAsia="Helvetica" w:hAnsi="Helvetica" w:cs="Helvetica"/>
        <w:b/>
        <w:i/>
        <w:color w:val="424242"/>
        <w:sz w:val="20"/>
        <w:szCs w:val="20"/>
      </w:rPr>
      <w:t>ул. Промышленная, стр. 5, помещение 179</w:t>
    </w:r>
  </w:p>
  <w:p w14:paraId="1FB51B50" w14:textId="77777777" w:rsidR="00531586" w:rsidRPr="00531586" w:rsidRDefault="00531586" w:rsidP="00531586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Helvetica" w:eastAsia="Helvetica" w:hAnsi="Helvetica" w:cs="Helvetica"/>
        <w:b/>
        <w:i/>
        <w:color w:val="424242"/>
        <w:sz w:val="20"/>
        <w:szCs w:val="20"/>
      </w:rPr>
    </w:pPr>
    <w:r w:rsidRPr="00531586">
      <w:rPr>
        <w:rFonts w:ascii="Helvetica" w:eastAsia="Helvetica" w:hAnsi="Helvetica" w:cs="Helvetica"/>
        <w:b/>
        <w:i/>
        <w:color w:val="424242"/>
        <w:sz w:val="20"/>
        <w:szCs w:val="20"/>
      </w:rPr>
      <w:t>тел. (926)334-34-34   e-mail: inbox@e-systems.su</w:t>
    </w:r>
  </w:p>
  <w:p w14:paraId="01E57EB8" w14:textId="77777777" w:rsidR="00531586" w:rsidRPr="00531586" w:rsidRDefault="00531586" w:rsidP="00531586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Helvetica" w:eastAsia="Helvetica" w:hAnsi="Helvetica" w:cs="Helvetica"/>
        <w:b/>
        <w:i/>
        <w:color w:val="424242"/>
        <w:sz w:val="20"/>
        <w:szCs w:val="20"/>
      </w:rPr>
    </w:pPr>
    <w:r w:rsidRPr="00531586">
      <w:rPr>
        <w:rFonts w:ascii="Helvetica" w:eastAsia="Helvetica" w:hAnsi="Helvetica" w:cs="Helvetica"/>
        <w:b/>
        <w:i/>
        <w:color w:val="424242"/>
        <w:sz w:val="20"/>
        <w:szCs w:val="20"/>
      </w:rPr>
      <w:t>ОГРН 1135044003709   ИНН 5044089069   КПП 504401001   к/с 30101810445250000360</w:t>
    </w:r>
  </w:p>
  <w:p w14:paraId="5C3B043A" w14:textId="77777777" w:rsidR="00531586" w:rsidRPr="00531586" w:rsidRDefault="00531586" w:rsidP="00531586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Helvetica" w:eastAsia="Helvetica" w:hAnsi="Helvetica" w:cs="Helvetica"/>
        <w:b/>
        <w:i/>
        <w:color w:val="424242"/>
        <w:sz w:val="20"/>
        <w:szCs w:val="20"/>
      </w:rPr>
    </w:pPr>
    <w:r w:rsidRPr="00531586">
      <w:rPr>
        <w:rFonts w:ascii="Helvetica" w:eastAsia="Helvetica" w:hAnsi="Helvetica" w:cs="Helvetica"/>
        <w:b/>
        <w:i/>
        <w:color w:val="424242"/>
        <w:sz w:val="20"/>
        <w:szCs w:val="20"/>
      </w:rPr>
      <w:t>р/с 40702810512010157759   БИК 044525360</w:t>
    </w:r>
  </w:p>
  <w:p w14:paraId="36CFCE2F" w14:textId="1DC32E12" w:rsidR="00EE5906" w:rsidRPr="000F110F" w:rsidRDefault="00531586" w:rsidP="00531586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Helvetica" w:eastAsia="Helvetica" w:hAnsi="Helvetica" w:cs="Helvetica"/>
        <w:b/>
        <w:i/>
        <w:color w:val="424242"/>
        <w:sz w:val="20"/>
        <w:szCs w:val="20"/>
      </w:rPr>
    </w:pPr>
    <w:r w:rsidRPr="00531586">
      <w:rPr>
        <w:rFonts w:ascii="Helvetica" w:eastAsia="Helvetica" w:hAnsi="Helvetica" w:cs="Helvetica"/>
        <w:b/>
        <w:i/>
        <w:color w:val="424242"/>
        <w:sz w:val="20"/>
        <w:szCs w:val="20"/>
      </w:rPr>
      <w:t>Филиал "Корпоративный" ПАО "Совкомбанк" (г. Москва)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E2D"/>
    <w:multiLevelType w:val="hybridMultilevel"/>
    <w:tmpl w:val="3CF01116"/>
    <w:lvl w:ilvl="0" w:tplc="B77CB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D34B0D"/>
    <w:multiLevelType w:val="hybridMultilevel"/>
    <w:tmpl w:val="1E0C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D7708"/>
    <w:multiLevelType w:val="hybridMultilevel"/>
    <w:tmpl w:val="6E6C9AC4"/>
    <w:lvl w:ilvl="0" w:tplc="C46886B2">
      <w:start w:val="1"/>
      <w:numFmt w:val="decimal"/>
      <w:lvlText w:val="%1."/>
      <w:lvlJc w:val="left"/>
      <w:pPr>
        <w:ind w:left="93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4E874CB4"/>
    <w:multiLevelType w:val="hybridMultilevel"/>
    <w:tmpl w:val="CECC1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autoHyphenation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45"/>
    <w:rsid w:val="00015A34"/>
    <w:rsid w:val="00050AD5"/>
    <w:rsid w:val="00062BB9"/>
    <w:rsid w:val="00074F0C"/>
    <w:rsid w:val="00092A2F"/>
    <w:rsid w:val="000C47B9"/>
    <w:rsid w:val="000F110F"/>
    <w:rsid w:val="001202DB"/>
    <w:rsid w:val="00134B18"/>
    <w:rsid w:val="00137484"/>
    <w:rsid w:val="001513BD"/>
    <w:rsid w:val="001C06A2"/>
    <w:rsid w:val="001D584E"/>
    <w:rsid w:val="001E7C6B"/>
    <w:rsid w:val="001F219C"/>
    <w:rsid w:val="002138AD"/>
    <w:rsid w:val="00225804"/>
    <w:rsid w:val="002539E5"/>
    <w:rsid w:val="00270B50"/>
    <w:rsid w:val="002716EE"/>
    <w:rsid w:val="00291559"/>
    <w:rsid w:val="002A7A46"/>
    <w:rsid w:val="002D17CE"/>
    <w:rsid w:val="002E6751"/>
    <w:rsid w:val="002E6C54"/>
    <w:rsid w:val="002F4F46"/>
    <w:rsid w:val="0030327B"/>
    <w:rsid w:val="00342831"/>
    <w:rsid w:val="003760B4"/>
    <w:rsid w:val="003812C3"/>
    <w:rsid w:val="00397B6C"/>
    <w:rsid w:val="003A6AEB"/>
    <w:rsid w:val="003B2164"/>
    <w:rsid w:val="003B7448"/>
    <w:rsid w:val="003E1CA7"/>
    <w:rsid w:val="003F771B"/>
    <w:rsid w:val="00405816"/>
    <w:rsid w:val="00461773"/>
    <w:rsid w:val="00477952"/>
    <w:rsid w:val="004B0C1D"/>
    <w:rsid w:val="004B21A4"/>
    <w:rsid w:val="004D3C5D"/>
    <w:rsid w:val="004F4B2D"/>
    <w:rsid w:val="00507ECC"/>
    <w:rsid w:val="00531586"/>
    <w:rsid w:val="00533B5F"/>
    <w:rsid w:val="00536F63"/>
    <w:rsid w:val="005761A0"/>
    <w:rsid w:val="005770A7"/>
    <w:rsid w:val="005B4F26"/>
    <w:rsid w:val="005C1C24"/>
    <w:rsid w:val="005E4841"/>
    <w:rsid w:val="00605887"/>
    <w:rsid w:val="006150BC"/>
    <w:rsid w:val="006152A1"/>
    <w:rsid w:val="00642753"/>
    <w:rsid w:val="006A3A19"/>
    <w:rsid w:val="006A6744"/>
    <w:rsid w:val="006C3A27"/>
    <w:rsid w:val="006C6659"/>
    <w:rsid w:val="006D007E"/>
    <w:rsid w:val="006F14E9"/>
    <w:rsid w:val="00713E4E"/>
    <w:rsid w:val="00715E6D"/>
    <w:rsid w:val="00723DA1"/>
    <w:rsid w:val="00726438"/>
    <w:rsid w:val="00731801"/>
    <w:rsid w:val="0073486A"/>
    <w:rsid w:val="00761BB6"/>
    <w:rsid w:val="00793A02"/>
    <w:rsid w:val="007959A6"/>
    <w:rsid w:val="007A27D9"/>
    <w:rsid w:val="007C2D21"/>
    <w:rsid w:val="007F065B"/>
    <w:rsid w:val="00801BC6"/>
    <w:rsid w:val="00820BF6"/>
    <w:rsid w:val="0082774F"/>
    <w:rsid w:val="00841E4F"/>
    <w:rsid w:val="00850E80"/>
    <w:rsid w:val="00896628"/>
    <w:rsid w:val="008D2FF5"/>
    <w:rsid w:val="008D65C3"/>
    <w:rsid w:val="008E2325"/>
    <w:rsid w:val="008F6FEF"/>
    <w:rsid w:val="00900AA3"/>
    <w:rsid w:val="009465A3"/>
    <w:rsid w:val="00971E4C"/>
    <w:rsid w:val="009A015F"/>
    <w:rsid w:val="009B5E05"/>
    <w:rsid w:val="009D6127"/>
    <w:rsid w:val="00A04FC8"/>
    <w:rsid w:val="00B02BFE"/>
    <w:rsid w:val="00B07B49"/>
    <w:rsid w:val="00B13B00"/>
    <w:rsid w:val="00B157A1"/>
    <w:rsid w:val="00B3428C"/>
    <w:rsid w:val="00B47CC1"/>
    <w:rsid w:val="00B54608"/>
    <w:rsid w:val="00B82370"/>
    <w:rsid w:val="00B87048"/>
    <w:rsid w:val="00B878E9"/>
    <w:rsid w:val="00BC10DF"/>
    <w:rsid w:val="00BD06F2"/>
    <w:rsid w:val="00BF2DD6"/>
    <w:rsid w:val="00C05710"/>
    <w:rsid w:val="00C14340"/>
    <w:rsid w:val="00C43245"/>
    <w:rsid w:val="00C86AA6"/>
    <w:rsid w:val="00CF229D"/>
    <w:rsid w:val="00D2252B"/>
    <w:rsid w:val="00D6468D"/>
    <w:rsid w:val="00D87145"/>
    <w:rsid w:val="00DE58CE"/>
    <w:rsid w:val="00E001E1"/>
    <w:rsid w:val="00E23774"/>
    <w:rsid w:val="00E93364"/>
    <w:rsid w:val="00E93D1E"/>
    <w:rsid w:val="00ED417F"/>
    <w:rsid w:val="00EE5906"/>
    <w:rsid w:val="00F7538B"/>
    <w:rsid w:val="00F85658"/>
    <w:rsid w:val="00F935E8"/>
    <w:rsid w:val="00FA747D"/>
    <w:rsid w:val="00FB1E3F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1966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47CC1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Gotham Pro" w:hAnsi="Gotham Pro" w:cs="Arial Unicode MS"/>
      <w:color w:val="000000"/>
      <w:sz w:val="22"/>
      <w:szCs w:val="22"/>
    </w:rPr>
  </w:style>
  <w:style w:type="paragraph" w:customStyle="1" w:styleId="a5">
    <w:name w:val="Колонтитулы"/>
    <w:pPr>
      <w:tabs>
        <w:tab w:val="right" w:pos="9020"/>
      </w:tabs>
    </w:pPr>
    <w:rPr>
      <w:rFonts w:ascii="Gotham Pro" w:eastAsia="Gotham Pro" w:hAnsi="Gotham Pro" w:cs="Gotham Pro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8">
    <w:name w:val="footer"/>
    <w:basedOn w:val="a"/>
    <w:link w:val="a9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9A015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A015F"/>
    <w:rPr>
      <w:rFonts w:ascii="Segoe UI" w:eastAsia="Gotham Pro" w:hAnsi="Segoe UI" w:cs="Segoe UI"/>
      <w:color w:val="000000"/>
      <w:sz w:val="18"/>
      <w:szCs w:val="18"/>
      <w:u w:color="000000"/>
      <w:lang w:val="en-US"/>
    </w:rPr>
  </w:style>
  <w:style w:type="table" w:styleId="ac">
    <w:name w:val="Table Grid"/>
    <w:basedOn w:val="a1"/>
    <w:uiPriority w:val="39"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ы (моноширинный)"/>
    <w:basedOn w:val="a"/>
    <w:next w:val="a"/>
    <w:uiPriority w:val="99"/>
    <w:rsid w:val="00B8704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both"/>
    </w:pPr>
    <w:rPr>
      <w:rFonts w:ascii="Courier New" w:eastAsia="Times New Roman" w:hAnsi="Courier New" w:cs="Courier New"/>
      <w:color w:val="auto"/>
      <w:bdr w:val="none" w:sz="0" w:space="0" w:color="auto"/>
      <w:lang w:val="ru-RU"/>
    </w:rPr>
  </w:style>
  <w:style w:type="paragraph" w:styleId="ae">
    <w:name w:val="List Paragraph"/>
    <w:basedOn w:val="a"/>
    <w:uiPriority w:val="34"/>
    <w:qFormat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bdr w:val="none" w:sz="0" w:space="0" w:color="auto"/>
      <w:lang w:val="ru-RU" w:eastAsia="en-US"/>
    </w:rPr>
  </w:style>
  <w:style w:type="paragraph" w:customStyle="1" w:styleId="msonormalmailrucssattributepostfix">
    <w:name w:val="msonormal_mailru_css_attribute_postfix"/>
    <w:basedOn w:val="a"/>
    <w:rsid w:val="006058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lastModifiedBy>Алякина Екатерина Викторовна</cp:lastModifiedBy>
  <cp:revision>8</cp:revision>
  <cp:lastPrinted>2021-02-11T11:19:00Z</cp:lastPrinted>
  <dcterms:created xsi:type="dcterms:W3CDTF">2025-08-21T09:23:00Z</dcterms:created>
  <dcterms:modified xsi:type="dcterms:W3CDTF">2025-08-25T06:30:00Z</dcterms:modified>
</cp:coreProperties>
</file>