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KARŞILIKLI REKABET YASAĞI, MÜNHASIRLIK VE GİZLİLİK SÖZLEŞMESİ</w:t>
      </w:r>
    </w:p>
    <w:p>
      <w:r>
        <w:rPr>
          <w:i/>
          <w:color w:val="666666"/>
        </w:rPr>
        <w:t>Steps On Clouds / Ayhan Erden ↔ Özgür Irmak Yüksek Teknoloji Protez ve Ortez Uygulama Merkezi</w:t>
      </w:r>
    </w:p>
    <w:p>
      <w:pPr>
        <w:ind w:left="340"/>
        <w:pBdr>
          <w:left w:val="single" w:sz="12" w:color="8A6D2F" w:space="8"/>
        </w:pBdr>
      </w:pPr>
      <w:r>
        <w:t xml:space="preserve">⚖️ </w:t>
      </w:r>
      <w:r>
        <w:rPr>
          <w:b/>
        </w:rPr>
        <w:t>STATÜ: TASLAK — AVUKAT ONAYINDAN GEÇMEDEN İMZALANMAZ.</w:t>
      </w:r>
      <w:r>
        <w:t xml:space="preserve"> Fox avukat değildir; bu metin avukat görüşmesini "ne yazalım?" sorusundan "bu maddeleri onaylar mısınız?" noktasına taşımak için hazırlanmıştır. İmza Kademe 3'tür — yalnızca Ayhan atar. Köşeli parantezli alanlar `[...]` Ayhan/avukat tarafından doldurulur.</w:t>
      </w:r>
    </w:p>
    <w:p>
      <w:pPr>
        <w:pBdr>
          <w:bottom w:val="single" w:sz="6" w:color="B8A369"/>
        </w:pBdr>
      </w:pPr>
    </w:p>
    <w:p>
      <w:pPr>
        <w:pStyle w:val="Heading2"/>
      </w:pPr>
      <w:r>
        <w:t>TARAFLAR</w:t>
      </w:r>
    </w:p>
    <w:p>
      <w:pPr>
        <w:pStyle w:val="ListNumber"/>
      </w:pPr>
      <w:r>
        <w:rPr>
          <w:b/>
        </w:rPr>
        <w:t>Ajans:</w:t>
      </w:r>
      <w:r>
        <w:t xml:space="preserve"> Ayhan Erden — Steps On Clouds </w:t>
      </w:r>
      <w:r>
        <w:rPr>
          <w:i/>
        </w:rPr>
        <w:t>(ticari unvan/vergi bilgisi: [AYHAN DOLDURACAK])</w:t>
      </w:r>
      <w:r>
        <w:t xml:space="preserve">, bundan böyle </w:t>
      </w:r>
      <w:r>
        <w:rPr>
          <w:b/>
        </w:rPr>
        <w:t>"Ajans"</w:t>
      </w:r>
      <w:r>
        <w:t>.</w:t>
      </w:r>
    </w:p>
    <w:p>
      <w:pPr>
        <w:pStyle w:val="ListNumber"/>
      </w:pPr>
      <w:r>
        <w:rPr>
          <w:b/>
        </w:rPr>
        <w:t>Müşteri:</w:t>
      </w:r>
      <w:r>
        <w:t xml:space="preserve"> Özgür Irmak Yüksek Teknoloji Protez ve Ortez Uygulama Merkezi </w:t>
      </w:r>
      <w:r>
        <w:rPr>
          <w:i/>
        </w:rPr>
        <w:t>(tam ticari unvan/vergi bilgisi: [MÜŞTERİDEN ALINACAK])</w:t>
      </w:r>
      <w:r>
        <w:t xml:space="preserve">, bundan böyle </w:t>
      </w:r>
      <w:r>
        <w:rPr>
          <w:b/>
        </w:rPr>
        <w:t>"Müşteri"</w:t>
      </w:r>
      <w:r>
        <w:t>.</w:t>
      </w:r>
    </w:p>
    <w:p>
      <w:r>
        <w:t xml:space="preserve">Bu sözleşme, taraflar arasında akdedilen/akdedilecek </w:t>
      </w:r>
      <w:r>
        <w:rPr>
          <w:b/>
        </w:rPr>
        <w:t>[TARİH] tarihli Hizmet Sözleşmesi'nin</w:t>
      </w:r>
      <w:r>
        <w:t xml:space="preserve"> ("Ana Sözleşme") eki ve ayrılmaz parçasıdır. </w:t>
      </w:r>
      <w:r>
        <w:rPr>
          <w:b/>
        </w:rPr>
        <w:t>Bu protokol Ana Sözleşme'den önce veya ondan bağımsız olarak imzalanmaz</w:t>
      </w:r>
      <w:r>
        <w:t xml:space="preserve"> — özellikle Ana Sözleşme'deki (i) kullanım/IP hakkı rejimi ve (ii) asgari abonelik taahhüdü tanımlanmadan bu protokolün ekonomik dengesi kurulamaz (bkz. Fox Tasarım Notları 4 ve 6).</w:t>
      </w:r>
    </w:p>
    <w:p>
      <w:pPr>
        <w:pStyle w:val="Heading2"/>
      </w:pPr>
      <w:r>
        <w:t>1 · AMAÇ</w:t>
      </w:r>
    </w:p>
    <w:p>
      <w:r>
        <w:t xml:space="preserve">Ajans, Müşteri için sıfırdan marka kimliği, konumlandırma, web ve sürekli iletişim sistemi kurmaktadır. Bu süreçte iki taraf da diğerinin en değerli varlıklarına erişir: Müşteri'nin ticari sırları, hasta ilişkileri ve pazar stratejisi ile Ajans'ın metodolojisi, üretim sistemi ve tedarikçi ağı. Bu sözleşme, her iki tarafın bu varlıklarını </w:t>
      </w:r>
      <w:r>
        <w:rPr>
          <w:b/>
        </w:rPr>
        <w:t>karşılıklı ve dengeli</w:t>
      </w:r>
      <w:r>
        <w:t xml:space="preserve"> biçimde korur.</w:t>
      </w:r>
    </w:p>
    <w:p>
      <w:pPr>
        <w:pStyle w:val="Heading2"/>
      </w:pPr>
      <w:r>
        <w:t>2 · TANIMLAR</w:t>
      </w:r>
    </w:p>
    <w:p>
      <w:pPr>
        <w:pStyle w:val="ListBullet"/>
      </w:pPr>
      <w:r>
        <w:rPr>
          <w:b/>
        </w:rPr>
        <w:t>"Doğrudan Rakip":</w:t>
      </w:r>
      <w:r>
        <w:t xml:space="preserve"> Türkiye'de yerleşik, son kullanıcıya (hastaya) </w:t>
      </w:r>
      <w:r>
        <w:rPr>
          <w:b/>
        </w:rPr>
        <w:t>protez ve/veya ortez uygulama hizmeti</w:t>
      </w:r>
      <w:r>
        <w:t xml:space="preserve"> veren merkez, klinik veya işletme. </w:t>
      </w:r>
      <w:r>
        <w:rPr>
          <w:i/>
        </w:rPr>
        <w:t>(Kapsama girmeyenler — Madde 3.3'te sayılan istisnalar.)</w:t>
      </w:r>
      <w:r>
        <w:t xml:space="preserve"> → </w:t>
      </w:r>
      <w:r>
        <w:rPr>
          <w:b/>
        </w:rPr>
        <w:t>[AYHAN KARARI + AVUKAT R2]:</w:t>
      </w:r>
      <w:r>
        <w:t xml:space="preserve"> Müşteri'nin asıl stratejisi yurtdışı hasta olduğundan, tanıma pazar ekseni eklenmesi değerlendirilecek: </w:t>
      </w:r>
      <w:r>
        <w:rPr>
          <w:i/>
        </w:rPr>
        <w:t>"...veya Müşteri'nin hedef yurtdışı hasta pazarlarına (Körfez, Kuzey Afrika, Rusça konuşulan pazarlar) yönelik protez-ortez uygulama hizmeti veren."</w:t>
      </w:r>
      <w:r>
        <w:t xml:space="preserve"> Eklenirse Müşteri kendi gerçek pazarında korunur; karşılığında Ajans'ın yurtdışı serbestisi daralır — bilinçli tercih.</w:t>
      </w:r>
    </w:p>
    <w:p>
      <w:pPr>
        <w:pStyle w:val="ListBullet"/>
      </w:pPr>
      <w:r>
        <w:rPr>
          <w:b/>
        </w:rPr>
        <w:t>"Ajans Metodolojisi":</w:t>
      </w:r>
      <w:r>
        <w:t xml:space="preserve"> Ajans'ın marka denetim, strateji, içerik üretim sistemleri, rubrikleri, şablonları, süreç belgeleri, brief formatları ve çalışma yöntemleri — Müşteri için üretilen teslim edilebilir çıktılar (logo, brand guide, web sitesi vb.) </w:t>
      </w:r>
      <w:r>
        <w:rPr>
          <w:b/>
        </w:rPr>
        <w:t>hariç</w:t>
      </w:r>
      <w:r>
        <w:t>.</w:t>
      </w:r>
    </w:p>
    <w:p>
      <w:pPr>
        <w:pStyle w:val="ListBullet"/>
      </w:pPr>
      <w:r>
        <w:rPr>
          <w:b/>
        </w:rPr>
        <w:t>"Gizli Bilgi":</w:t>
      </w:r>
      <w:r>
        <w:t xml:space="preserve"> Bir tarafın diğerine iş ilişkisi kapsamında açıkladığı, kamuya mal olmamış her türlü ticari, mali, stratejik, teknik ve operasyonel bilgi. Hasta/kişisel veriler ayrıca KVKK rejimine tabidir (Madde 6).</w:t>
      </w:r>
    </w:p>
    <w:p>
      <w:pPr>
        <w:pStyle w:val="ListBullet"/>
      </w:pPr>
      <w:r>
        <w:rPr>
          <w:b/>
        </w:rPr>
        <w:t>"Münhasırlık Dönemi":</w:t>
      </w:r>
      <w:r>
        <w:t xml:space="preserve"> Ana Sözleşme kapsamındaki </w:t>
      </w:r>
      <w:r>
        <w:rPr>
          <w:b/>
        </w:rPr>
        <w:t>aylık hizmet aboneliğinin fiilen yürürlükte ve ödemelerinin güncel olduğu</w:t>
      </w:r>
      <w:r>
        <w:t xml:space="preserve"> süre.</w:t>
      </w:r>
    </w:p>
    <w:p>
      <w:pPr>
        <w:pStyle w:val="Heading2"/>
      </w:pPr>
      <w:r>
        <w:t>3 · AJANS'IN REKABET YASAĞI (Müşteri'yi koruyan kolon)</w:t>
      </w:r>
    </w:p>
    <w:p>
      <w:r>
        <w:rPr>
          <w:b/>
        </w:rPr>
        <w:t>3.1 —</w:t>
      </w:r>
      <w:r>
        <w:t xml:space="preserve"> Ajans, </w:t>
      </w:r>
      <w:r>
        <w:rPr>
          <w:b/>
        </w:rPr>
        <w:t>Münhasırlık Dönemi boyunca</w:t>
      </w:r>
      <w:r>
        <w:t xml:space="preserve">, Türkiye'de yerleşik hiçbir </w:t>
      </w:r>
      <w:r>
        <w:rPr>
          <w:b/>
        </w:rPr>
        <w:t>Doğrudan Rakip'e</w:t>
      </w:r>
      <w:r>
        <w:t xml:space="preserve"> marka stratejisi, marka kimliği, web sitesi, sosyal medya yönetimi veya pazarlama iletişimi hizmeti vermez.</w:t>
      </w:r>
    </w:p>
    <w:p>
      <w:r>
        <w:rPr>
          <w:b/>
        </w:rPr>
        <w:t>3.2 —</w:t>
      </w:r>
      <w:r>
        <w:t xml:space="preserve"> Ajans, Müşteri için ürettiği konumlandırma, strateji ve yaratıcı çıktıları hiçbir Doğrudan Rakip'in yararına kullanmaz; bu yükümlülük Münhasırlık Dönemi bittikten sonra </w:t>
      </w:r>
      <w:r>
        <w:rPr>
          <w:b/>
        </w:rPr>
        <w:t>[12] ay</w:t>
      </w:r>
      <w:r>
        <w:t xml:space="preserve"> daha sürer.</w:t>
      </w:r>
    </w:p>
    <w:p>
      <w:r>
        <w:rPr>
          <w:b/>
        </w:rPr>
        <w:t>3.3 — İstisnalar (rekabet yasağının kapsamı DIŞINDA kalanlar):</w:t>
      </w:r>
    </w:p>
    <w:p>
      <w:pPr>
        <w:ind w:left="425"/>
      </w:pPr>
      <w:r>
        <w:t xml:space="preserve">a) Protez/ortez </w:t>
      </w:r>
      <w:r>
        <w:rPr>
          <w:b/>
        </w:rPr>
        <w:t>üreticileri, distribütörleri ve tedarikçileri</w:t>
      </w:r>
      <w:r>
        <w:t xml:space="preserve"> (ör. Ottobock, Össur ve benzeri markalar ile bunların Türkiye temsilcilikleri) — bunlar Müşteri'nin rakibi değil, tedarik zinciridir;</w:t>
      </w:r>
    </w:p>
    <w:p>
      <w:pPr>
        <w:ind w:left="425"/>
      </w:pPr>
      <w:r>
        <w:t xml:space="preserve">b) Protez-ortez uygulaması </w:t>
      </w:r>
      <w:r>
        <w:rPr>
          <w:b/>
        </w:rPr>
        <w:t>yapmayan</w:t>
      </w:r>
      <w:r>
        <w:t xml:space="preserve"> sağlık kuruluşları (hastane, fizik tedavi merkezi, diğer branş klinikleri);</w:t>
      </w:r>
    </w:p>
    <w:p>
      <w:pPr>
        <w:ind w:left="425"/>
      </w:pPr>
      <w:r>
        <w:t xml:space="preserve">c) Ajans'ın </w:t>
      </w:r>
      <w:r>
        <w:rPr>
          <w:b/>
        </w:rPr>
        <w:t>sosyal etki ve farkındalık çalışmaları</w:t>
      </w:r>
      <w:r>
        <w:t>: ampüte topluluğuna yönelik dernek/vakıf/STK projeleri, farkındalık etkinlikleri (ör. Run for Empathy) ve Steps On Clouds'un kendi misyon içerikleri — bunlar ticari rekabet faaliyeti değildir;</w:t>
      </w:r>
    </w:p>
    <w:p>
      <w:pPr>
        <w:ind w:left="425"/>
      </w:pPr>
      <w:r>
        <w:t>d) Ana Sözleşme'den önce başlamış ve Müşteri'ye yazılı olarak bildirilen mevcut işler: [VARSA LİSTELENECEK / YOKSA "yoktur" YAZILACAK].</w:t>
      </w:r>
    </w:p>
    <w:p>
      <w:r>
        <w:rPr>
          <w:b/>
        </w:rPr>
        <w:t>3.4 — Münhasırlığın karşılığı (askı mekanizması):</w:t>
      </w:r>
      <w:r>
        <w:t xml:space="preserve"> Madde 3.1'deki münhasırlık, aylık hizmet aboneliğinin karşılığıdır ve şu kurguyla işler:</w:t>
      </w:r>
    </w:p>
    <w:p>
      <w:pPr>
        <w:ind w:left="425"/>
      </w:pPr>
      <w:r>
        <w:t xml:space="preserve">a) Ödemeler </w:t>
      </w:r>
      <w:r>
        <w:rPr>
          <w:b/>
        </w:rPr>
        <w:t>[30] günü</w:t>
      </w:r>
      <w:r>
        <w:t xml:space="preserve"> aşan süreyle gecikirse Ajans yazılı ihtar gönderir; ihtardan itibaren </w:t>
      </w:r>
      <w:r>
        <w:rPr>
          <w:b/>
        </w:rPr>
        <w:t>[10] gün</w:t>
      </w:r>
      <w:r>
        <w:t xml:space="preserve"> içinde ödeme tamamlanmazsa Madde 3.1 </w:t>
      </w:r>
      <w:r>
        <w:rPr>
          <w:b/>
        </w:rPr>
        <w:t>askıya alınır</w:t>
      </w:r>
      <w:r>
        <w:t>;</w:t>
      </w:r>
    </w:p>
    <w:p>
      <w:pPr>
        <w:ind w:left="425"/>
      </w:pPr>
      <w:r>
        <w:t>b) Askı, geciken ödemenin tamamlanmasıyla kendiliğinden sona erer ve münhasırlık yeniden yürürlüğe girer; askı süresince Ajans'ın üstlendiği işler saklıdır;</w:t>
      </w:r>
    </w:p>
    <w:p>
      <w:pPr>
        <w:ind w:left="425"/>
      </w:pPr>
      <w:r>
        <w:t>c) Aboneliğin sona ermesi veya feshi hâlinde Madde 3.1 sona erer; Madde 3.2 (üretilen işin rakip yararına kullanılmaması), 4 ve 5 kendi sürelerine göre devam eder;</w:t>
      </w:r>
    </w:p>
    <w:p>
      <w:pPr>
        <w:ind w:left="425"/>
      </w:pPr>
      <w:r>
        <w:t>d) "Gecikme"nin hesabı Ana Sözleşme'deki ödeme koşullarına tabidir (iki belge çelişmez).</w:t>
      </w:r>
    </w:p>
    <w:p>
      <w:pPr>
        <w:pStyle w:val="Heading2"/>
      </w:pPr>
      <w:r>
        <w:t>4 · MÜŞTERİ'NİN YÜKÜMLÜLÜKLERİ (Ajans'ı koruyan kolon)</w:t>
      </w:r>
    </w:p>
    <w:p>
      <w:r>
        <w:rPr>
          <w:b/>
        </w:rPr>
        <w:t>4.1 — Metodoloji koruması:</w:t>
      </w:r>
      <w:r>
        <w:t xml:space="preserve"> Müşteri, Ajans Metodolojisi'ni (şablon, rubrik, strateji çerçevesi, süreç belgesi) Ajans'ın yazılı izni olmadan üçüncü kişilerle (başka ajans, danışman, rakip) paylaşmaz, kopyalamaz ve kendi bünyesinde Ajans'ı ikame edecek şekilde çoğaltmaz. </w:t>
      </w:r>
      <w:r>
        <w:rPr>
          <w:b/>
        </w:rPr>
        <w:t>Bu yükümlülük Münhasırlık Dönemi boyunca ve sona ermesinden itibaren [24] ay yürürlükte kalır;</w:t>
      </w:r>
      <w:r>
        <w:t xml:space="preserve"> ilgili metodoloji unsuru Ajans'ın kusuru olmaksızın kamuya mal olursa o unsur için erken sona erer. Müşteri'ye teslim edilen nihai çıktılar (logo, brand guide, web sitesi, içerikler) Ana Sözleşme'deki kullanım hakkı düzenine tabidir ve bu maddenin kapsamı dışındadır.</w:t>
      </w:r>
    </w:p>
    <w:p>
      <w:r>
        <w:rPr>
          <w:b/>
        </w:rPr>
        <w:t>4.2 — Ekip ve tedarikçi ayartmama (non-solicitation):</w:t>
      </w:r>
      <w:r>
        <w:t xml:space="preserve"> Müşteri, Münhasırlık Dönemi ve sonrasındaki </w:t>
      </w:r>
      <w:r>
        <w:rPr>
          <w:b/>
        </w:rPr>
        <w:t>[12] ay</w:t>
      </w:r>
      <w:r>
        <w:t xml:space="preserve"> boyunca, Ajans'ın bu iş için görevlendirdiği ekip üyelerini, alt yüklenicilerini ve tedarikçilerini (fotoğrafçı, video ekibi, tasarımcı, çevirmen vb.) Ajans'ı devre dışı bırakarak doğrudan istihdam etmez veya doğrudan iş vermez. </w:t>
      </w:r>
      <w:r>
        <w:rPr>
          <w:i/>
        </w:rPr>
        <w:t>(Tarafların ortak yazılı mutabakatı ile istisna tanınabilir.)</w:t>
      </w:r>
    </w:p>
    <w:p>
      <w:r>
        <w:rPr>
          <w:b/>
        </w:rPr>
        <w:t>4.3 — Bypass yasağı:</w:t>
      </w:r>
      <w:r>
        <w:t xml:space="preserve"> Müşteri, </w:t>
      </w:r>
      <w:r>
        <w:rPr>
          <w:b/>
        </w:rPr>
        <w:t>Ana Sözleşme'de tanımlı teslim kalemlerini</w:t>
      </w:r>
      <w:r>
        <w:t xml:space="preserve">, Ajans'tan aldığı strateji/brief/konsepti kullanarak üçüncü bir sağlayıcıya yaptırmaz. Ana Sözleşme'de </w:t>
      </w:r>
      <w:r>
        <w:rPr>
          <w:b/>
        </w:rPr>
        <w:t>kapsam dışı</w:t>
      </w:r>
      <w:r>
        <w:t xml:space="preserve"> sayılan kalemler (reklam medya bütçesi/satın alma, fiziksel baskı işleri, hukuki danışmanlık, günlük topluluk yönetimi vb.) bu yasağın kapsamına girmez; Müşteri bunları dilediği sağlayıcıdan alabilir.</w:t>
      </w:r>
    </w:p>
    <w:p>
      <w:r>
        <w:rPr>
          <w:b/>
        </w:rPr>
        <w:t>4.4 — Referans hakkı:</w:t>
      </w:r>
      <w:r>
        <w:t xml:space="preserve"> Ajans, Müşteri için yaptığı işi (marka kimliği, web, kampanya) portföyünde, kendi web sitesinde ve satış görüşmelerinde </w:t>
      </w:r>
      <w:r>
        <w:rPr>
          <w:b/>
        </w:rPr>
        <w:t>referans olarak gösterebilir</w:t>
      </w:r>
      <w:r>
        <w:t>. Sınırlar: hasta verisi/görseli asla kullanılmaz; yayınlanmamış stratejik bilgi (fiyat, iç hedefler, pazar planı) açıklanmaz; sağlık mevzuatına aykırı biçimde sunulmaz. Müşteri'nin yazılı itirazı hâlinde belirli bir öğe portföyden kaldırılır.</w:t>
      </w:r>
    </w:p>
    <w:p>
      <w:pPr>
        <w:pStyle w:val="Heading2"/>
      </w:pPr>
      <w:r>
        <w:t>5 · KARŞILIKLI GİZLİLİK</w:t>
      </w:r>
    </w:p>
    <w:p>
      <w:r>
        <w:rPr>
          <w:b/>
        </w:rPr>
        <w:t>5.1 —</w:t>
      </w:r>
      <w:r>
        <w:t xml:space="preserve"> Her iki taraf, diğerinin Gizli Bilgi'sini yalnızca bu iş ilişkisinin amacı için kullanır; üçüncü kişilere açıklamaz; kendi bilgisini koruduğu özenle (asgari: makul ticari özen) korur.</w:t>
      </w:r>
    </w:p>
    <w:p>
      <w:r>
        <w:rPr>
          <w:b/>
        </w:rPr>
        <w:t>5.2 —</w:t>
      </w:r>
      <w:r>
        <w:t xml:space="preserve"> Gizlilik yükümlülüğü, bilginin niteliği gereği kamuya mal olması, yasal zorunluluk (mahkeme/idari makam talebi — diğer tarafa derhâl bildirilir) veya bilginin bağımsız olarak edinilmiş olması hâllerinde uygulanmaz.</w:t>
      </w:r>
    </w:p>
    <w:p>
      <w:r>
        <w:rPr>
          <w:b/>
        </w:rPr>
        <w:t>5.3 —</w:t>
      </w:r>
      <w:r>
        <w:t xml:space="preserve"> Gizlilik yükümlülüğü, bu sözleşme sona erdikten sonra </w:t>
      </w:r>
      <w:r>
        <w:rPr>
          <w:b/>
        </w:rPr>
        <w:t>[5] yıl</w:t>
      </w:r>
      <w:r>
        <w:t xml:space="preserve"> yürürlükte kalır.</w:t>
      </w:r>
    </w:p>
    <w:p>
      <w:pPr>
        <w:pStyle w:val="Heading2"/>
      </w:pPr>
      <w:r>
        <w:t>6 · KİŞİSEL VERİLER (KVKK)</w:t>
      </w:r>
    </w:p>
    <w:p>
      <w:r>
        <w:rPr>
          <w:b/>
        </w:rPr>
        <w:t>6.1 —</w:t>
      </w:r>
      <w:r>
        <w:t xml:space="preserve"> Hasta verileri </w:t>
      </w:r>
      <w:r>
        <w:rPr>
          <w:b/>
        </w:rPr>
        <w:t>özel nitelikli kişisel veridir.</w:t>
      </w:r>
      <w:r>
        <w:t xml:space="preserve"> Ajans, hasta verilerine kural olarak erişmez; veri sorumlusu her durumda Müşteri'dir.</w:t>
      </w:r>
    </w:p>
    <w:p>
      <w:r>
        <w:rPr>
          <w:b/>
        </w:rPr>
        <w:t>6.2 —</w:t>
      </w:r>
      <w:r>
        <w:t xml:space="preserve"> Gerçek hasta içeren herhangi bir prodüksiyon (ör. kampanya filmi, fotoğraf çekimi, hasta hikâyesi içeriği) </w:t>
      </w:r>
      <w:r>
        <w:rPr>
          <w:b/>
        </w:rPr>
        <w:t>başlamadan önce</w:t>
      </w:r>
      <w:r>
        <w:t xml:space="preserve"> taraflar ayrı bir </w:t>
      </w:r>
      <w:r>
        <w:rPr>
          <w:b/>
        </w:rPr>
        <w:t>Veri İşleme Protokolü</w:t>
      </w:r>
      <w:r>
        <w:t xml:space="preserve"> imzalar ve ilgili kişinin </w:t>
      </w:r>
      <w:r>
        <w:rPr>
          <w:b/>
        </w:rPr>
        <w:t>açık rızası</w:t>
      </w:r>
      <w:r>
        <w:t xml:space="preserve"> yazılı olarak belgelenir. Açık rıza metnini </w:t>
      </w:r>
      <w:r>
        <w:rPr>
          <w:b/>
        </w:rPr>
        <w:t>[Müşteri'nin avukatı — teyit edilecek]</w:t>
      </w:r>
      <w:r>
        <w:t xml:space="preserve"> hazırlar; belgelenmemiş rızayla çekim yapılmaz.</w:t>
      </w:r>
    </w:p>
    <w:p>
      <w:pPr>
        <w:pStyle w:val="Heading2"/>
      </w:pPr>
      <w:r>
        <w:t>7 · MEVZUAT UYUMU VE SORUMLULUK AYRIMI (köprü hüküm)</w:t>
      </w:r>
    </w:p>
    <w:p>
      <w:r>
        <w:rPr>
          <w:b/>
        </w:rPr>
        <w:t>7.1 —</w:t>
      </w:r>
      <w:r>
        <w:t xml:space="preserve"> Ajans, sağlık mevzuatına uyumlu (compliance-by-design) </w:t>
      </w:r>
      <w:r>
        <w:rPr>
          <w:b/>
        </w:rPr>
        <w:t>taslak</w:t>
      </w:r>
      <w:r>
        <w:t xml:space="preserve"> üretir; ancak her medikal içerik ve iddianın </w:t>
      </w:r>
      <w:r>
        <w:rPr>
          <w:b/>
        </w:rPr>
        <w:t>yayın öncesi hukuki uygunluk onayı ve yayın kararı Müşteri'ye aittir.</w:t>
      </w:r>
    </w:p>
    <w:p>
      <w:r>
        <w:rPr>
          <w:b/>
        </w:rPr>
        <w:t>7.2 —</w:t>
      </w:r>
      <w:r>
        <w:t xml:space="preserve"> Müşteri'nin hukuki onayı olmadan veya Müşteri'nin talimatıyla değiştirilerek yapılan yayınların doğurduğu idari ve hukuki sorumluluk </w:t>
      </w:r>
      <w:r>
        <w:rPr>
          <w:b/>
        </w:rPr>
        <w:t>Müşteri'ye aittir.</w:t>
      </w:r>
      <w:r>
        <w:t xml:space="preserve"> Ayrıntılı uyum süreci (onay akışı, kriz protokolü) Ana Sözleşme'de düzenlenir; Ana Sözleşme yürürlüğe girene kadar bu madde uygulanır.</w:t>
      </w:r>
    </w:p>
    <w:p>
      <w:pPr>
        <w:pStyle w:val="Heading2"/>
      </w:pPr>
      <w:r>
        <w:t>8 · SÜRE VE FESİH</w:t>
      </w:r>
    </w:p>
    <w:p>
      <w:r>
        <w:rPr>
          <w:b/>
        </w:rPr>
        <w:t>8.1 —</w:t>
      </w:r>
      <w:r>
        <w:t xml:space="preserve"> Bu sözleşme imza tarihinde yürürlüğe girer; Ana Sözleşme yürürlükte kaldığı sürece devam eder.</w:t>
      </w:r>
    </w:p>
    <w:p>
      <w:r>
        <w:rPr>
          <w:b/>
        </w:rPr>
        <w:t>8.2 —</w:t>
      </w:r>
      <w:r>
        <w:t xml:space="preserve"> Ana Sözleşme'nin sona ermesi hâlinde: Madde 3.1 (aktif münhasırlık) sona erer; Madde 3.2 ([12] ay), 4.1 ([24] ay) ve 4.2 ([12] ay) kendi sürelerine göre; Madde 5 beş yıl; Madde 6 süresiz devam eder.</w:t>
      </w:r>
    </w:p>
    <w:p>
      <w:r>
        <w:rPr>
          <w:b/>
        </w:rPr>
        <w:t>8.3 —</w:t>
      </w:r>
      <w:r>
        <w:t xml:space="preserve"> Taraflardan birinin bu sözleşmeyi esaslı ihlali hâlinde diğer taraf, </w:t>
      </w:r>
      <w:r>
        <w:rPr>
          <w:b/>
        </w:rPr>
        <w:t>[15] gün</w:t>
      </w:r>
      <w:r>
        <w:t xml:space="preserve"> içinde giderilmeyen ihlal için Ana Sözleşme'yi haklı nedenle feshedebilir.</w:t>
      </w:r>
    </w:p>
    <w:p>
      <w:pPr>
        <w:pStyle w:val="Heading2"/>
      </w:pPr>
      <w:r>
        <w:t>9 · İHLAL VE YAPTIRIM</w:t>
      </w:r>
    </w:p>
    <w:p>
      <w:r>
        <w:rPr>
          <w:b/>
        </w:rPr>
        <w:t>9.1 —</w:t>
      </w:r>
      <w:r>
        <w:t xml:space="preserve"> Madde 3.1, 4.1, 4.2 veya 5'in ihlali hâlinde ihlal eden taraf, diğer tarafa </w:t>
      </w:r>
      <w:r>
        <w:rPr>
          <w:b/>
        </w:rPr>
        <w:t>[TUTAR + PARA BİRİMİ — AVUKAT ÖNERİSİYLE; döviz cinsi değerlendirilecek] cezai şart</w:t>
      </w:r>
      <w:r>
        <w:t xml:space="preserve"> öder; ihlalin bu tutarı aşan zararları ayrıca talep edilebilir. → </w:t>
      </w:r>
      <w:r>
        <w:rPr>
          <w:b/>
        </w:rPr>
        <w:t>[AVUKAT: cezai şart tutarı ve TBK 182 indirim riski]</w:t>
      </w:r>
    </w:p>
    <w:p>
      <w:r>
        <w:rPr>
          <w:b/>
        </w:rPr>
        <w:t>9.2 —</w:t>
      </w:r>
      <w:r>
        <w:t xml:space="preserve"> Cezai şart ödenmesi, ihlalin durdurulması talebini ortadan kaldırmaz.</w:t>
      </w:r>
    </w:p>
    <w:p>
      <w:pPr>
        <w:pStyle w:val="Heading2"/>
      </w:pPr>
      <w:r>
        <w:t>10 · GENEL HÜKÜMLER</w:t>
      </w:r>
    </w:p>
    <w:p>
      <w:r>
        <w:rPr>
          <w:b/>
        </w:rPr>
        <w:t>10.1 —</w:t>
      </w:r>
      <w:r>
        <w:t xml:space="preserve"> Bu sözleşme tarafların </w:t>
      </w:r>
      <w:r>
        <w:rPr>
          <w:b/>
        </w:rPr>
        <w:t>bağımsız tacir/işletme</w:t>
      </w:r>
      <w:r>
        <w:t xml:space="preserve"> ilişkisini düzenler; iş (istihdam) ilişkisi, ortaklık veya acentelik doğurmaz.</w:t>
      </w:r>
    </w:p>
    <w:p>
      <w:r>
        <w:rPr>
          <w:b/>
        </w:rPr>
        <w:t>10.2 —</w:t>
      </w:r>
      <w:r>
        <w:t xml:space="preserve"> Değişiklikler yazılı ve imzalı olmadıkça geçersizdir.</w:t>
      </w:r>
    </w:p>
    <w:p>
      <w:r>
        <w:rPr>
          <w:b/>
        </w:rPr>
        <w:t>10.3 —</w:t>
      </w:r>
      <w:r>
        <w:t xml:space="preserve"> Herhangi bir maddenin geçersiz sayılması diğer maddeleri etkilemez; geçersiz madde, amacına en yakın geçerli hükümle ikame edilir (kısmi geçersizlik).</w:t>
      </w:r>
    </w:p>
    <w:p>
      <w:r>
        <w:rPr>
          <w:b/>
        </w:rPr>
        <w:t>10.4 —</w:t>
      </w:r>
      <w:r>
        <w:t xml:space="preserve"> Uyuşmazlıklarda [ŞEHİR] mahkemeleri ve icra daireleri yetkilidir. → </w:t>
      </w:r>
      <w:r>
        <w:rPr>
          <w:b/>
        </w:rPr>
        <w:t>[AVUKAT: arabuluculuk şartı eklensin mi?]</w:t>
      </w:r>
    </w:p>
    <w:p>
      <w:pPr>
        <w:pBdr>
          <w:bottom w:val="single" w:sz="6" w:color="B8A369"/>
        </w:pBdr>
      </w:pPr>
    </w:p>
    <w:p>
      <w:r>
        <w:rPr>
          <w:b/>
        </w:rPr>
        <w:t>Ajans adına</w:t>
      </w:r>
      <w:r>
        <w:t xml:space="preserve"> — Ayhan Erden · İmza/Tarih: ______________</w:t>
      </w:r>
    </w:p>
    <w:p>
      <w:r>
        <w:rPr>
          <w:b/>
        </w:rPr>
        <w:t>Müşteri adına</w:t>
      </w:r>
      <w:r>
        <w:t xml:space="preserve"> — [YETKİLİ AD-SOYAD/UNVAN] · İmza/Tarih: ______________</w:t>
      </w:r>
    </w:p>
    <w:p>
      <w:pPr>
        <w:pBdr>
          <w:bottom w:val="single" w:sz="6" w:color="B8A369"/>
        </w:pBdr>
      </w:pPr>
    </w:p>
    <w:p>
      <w:pPr>
        <w:pStyle w:val="Heading2"/>
      </w:pPr>
      <w:r>
        <w:t>⚖️ AVUKAT GÜNDEMİNE EKLENECEK SORULAR (bu sözleşmeye özel — mevcut 15 soruya ek)</w:t>
      </w:r>
    </w:p>
    <w:p>
      <w:pPr>
        <w:pStyle w:val="ListBullet"/>
      </w:pPr>
      <w:r>
        <w:rPr>
          <w:b/>
        </w:rPr>
        <w:t>R1.</w:t>
      </w:r>
      <w:r>
        <w:t xml:space="preserve"> B2B rekabet yasağının kapsam/süre sınırları TBK 26-27 (aşırı sınırlama) ve 4054 sayılı Rekabet Kanunu (dikey anlaşma / de minimis) karşısında savunulabilir mi? Post-term süreler makul mü: M.3.2 [12] ay, </w:t>
      </w:r>
      <w:r>
        <w:rPr>
          <w:b/>
        </w:rPr>
        <w:t>M.4.1 metodoloji [24] ay</w:t>
      </w:r>
      <w:r>
        <w:t>, M.4.2 non-solicit [12] ay?</w:t>
      </w:r>
    </w:p>
    <w:p>
      <w:pPr>
        <w:pStyle w:val="ListBullet"/>
      </w:pPr>
      <w:r>
        <w:rPr>
          <w:b/>
        </w:rPr>
        <w:t>R2.</w:t>
      </w:r>
      <w:r>
        <w:t xml:space="preserve"> "Doğrudan Rakip" tanımına </w:t>
      </w:r>
      <w:r>
        <w:rPr>
          <w:b/>
        </w:rPr>
        <w:t>pazar ekseni</w:t>
      </w:r>
      <w:r>
        <w:t xml:space="preserve"> eklensin mi (M.2'deki bracketli öneri): Türkiye-yerleşik sınırı, Müşteri'nin asıl pazarı olan yurtdışı hasta havuzunda (Körfez/K. Afrika/Rusça pazarlar) yarışan yabancı klinikleri kapsamıyor. Eklenmezse Nesa/Luxmed tipi ilişki gerilimi yurtdışı üzerinden yeniden üretilebilir; eklenirse Ajans'ın serbestisi daralır.</w:t>
      </w:r>
    </w:p>
    <w:p>
      <w:pPr>
        <w:pStyle w:val="ListBullet"/>
      </w:pPr>
      <w:r>
        <w:rPr>
          <w:b/>
        </w:rPr>
        <w:t>R3.</w:t>
      </w:r>
      <w:r>
        <w:t xml:space="preserve"> Cezai şart: tutar önerisi + </w:t>
      </w:r>
      <w:r>
        <w:rPr>
          <w:b/>
        </w:rPr>
        <w:t>para birimi</w:t>
      </w:r>
      <w:r>
        <w:t xml:space="preserve"> (TL mi döviz mi — müşteri döviz-hedefli) + TBK 182 (aşırı cezai şartın indirilmesi) riski.</w:t>
      </w:r>
    </w:p>
    <w:p>
      <w:pPr>
        <w:pStyle w:val="ListBullet"/>
      </w:pPr>
      <w:r>
        <w:rPr>
          <w:b/>
        </w:rPr>
        <w:t>R4.</w:t>
      </w:r>
      <w:r>
        <w:t xml:space="preserve"> Müşteri'nin işletme yapısı (şahıs/şirket?) — imza yetkilisi ve tam unvan teyidi; sözleşme tarafı doğru kurulmalı.</w:t>
      </w:r>
    </w:p>
    <w:p>
      <w:pPr>
        <w:pStyle w:val="ListBullet"/>
      </w:pPr>
      <w:r>
        <w:rPr>
          <w:b/>
        </w:rPr>
        <w:t>R5.</w:t>
      </w:r>
      <w:r>
        <w:t xml:space="preserve"> </w:t>
      </w:r>
      <w:r>
        <w:rPr>
          <w:b/>
        </w:rPr>
        <w:t>Veri İşleme Protokolü (M.6.2):</w:t>
      </w:r>
      <w:r>
        <w:t xml:space="preserve"> kapsam ve format; açık rıza metnini kim hazırlar (Müşteri avukatı varsayıldı — teyit); KVKK m.6 özel nitelikli veri işleme şartları D1 filmi için.</w:t>
      </w:r>
    </w:p>
    <w:p>
      <w:pPr>
        <w:pStyle w:val="ListBullet"/>
      </w:pPr>
      <w:r>
        <w:rPr>
          <w:b/>
        </w:rPr>
        <w:t>R6.</w:t>
      </w:r>
      <w:r>
        <w:t xml:space="preserve"> Referans hakkı (M.4.4) — </w:t>
      </w:r>
      <w:r>
        <w:rPr>
          <w:b/>
        </w:rPr>
        <w:t>iki ayrı varlık tipi için ayrı ayrı</w:t>
      </w:r>
      <w:r>
        <w:t xml:space="preserve">: (a) kimlik/logo/görsel sistem gösterimi (düşük risk?) vs. (b) hasta-hikâyesi filmi/testimonial gösterimi (yüksek risk — muhtemelen kısıtlı/yasak). RG 12/11/2025-33075'in </w:t>
      </w:r>
      <w:r>
        <w:rPr>
          <w:b/>
        </w:rPr>
        <w:t>üçüncü taraf (ajans) portföy gösterimini</w:t>
      </w:r>
      <w:r>
        <w:t xml:space="preserve"> kapsayıp kapsamadığı?</w:t>
      </w:r>
    </w:p>
    <w:p>
      <w:pPr>
        <w:pStyle w:val="ListBullet"/>
      </w:pPr>
      <w:r>
        <w:rPr>
          <w:b/>
        </w:rPr>
        <w:t>R7.</w:t>
      </w:r>
      <w:r>
        <w:t xml:space="preserve"> Rakip tanımı "uygulama hizmeti" ile sınırlı — aynı hasta havuzuna online cihaz satan veya myoelektrik teknoloji girişimi gibi "uygulama-dışı" oyuncular kapsama alınmalı mı?</w:t>
      </w:r>
    </w:p>
    <w:p>
      <w:pPr>
        <w:pStyle w:val="ListBullet"/>
      </w:pPr>
      <w:r>
        <w:rPr>
          <w:b/>
        </w:rPr>
        <w:t>R8.</w:t>
      </w:r>
      <w:r>
        <w:t xml:space="preserve"> Bu protokol Ana Sözleşme'ye ek mi olsun, tek metinde mi birleşsin? (Ana hizmet sözleşmesi henüz yazılmadıysa birlikte hazırlanması önerilir.)</w:t>
      </w:r>
    </w:p>
    <w:p>
      <w:pPr>
        <w:pStyle w:val="Heading2"/>
      </w:pPr>
      <w:r>
        <w:t>📋 FOX TASARIM NOTLARI (Ayhan için — sözleşme metnine girmez)</w:t>
      </w:r>
    </w:p>
    <w:p>
      <w:pPr>
        <w:pStyle w:val="ListNumber"/>
      </w:pPr>
      <w:r>
        <w:rPr>
          <w:b/>
        </w:rPr>
        <w:t>Varlık sebebi:</w:t>
      </w:r>
      <w:r>
        <w:t xml:space="preserve"> Luxmed/Nesa dersi — rakip çakışması gerilimi bir kez yaşandı ve o zaman yazılı zemin yoktu. Bu kez münhasırlık baştan, yazılı ve </w:t>
      </w:r>
      <w:r>
        <w:rPr>
          <w:b/>
        </w:rPr>
        <w:t>bedelli</w:t>
      </w:r>
      <w:r>
        <w:t xml:space="preserve"> (aylık aboneliğe bağlı, §11.3: bedava münhasırlık yok).</w:t>
      </w:r>
    </w:p>
    <w:p>
      <w:pPr>
        <w:pStyle w:val="ListNumber"/>
      </w:pPr>
      <w:r>
        <w:rPr>
          <w:b/>
        </w:rPr>
        <w:t>Denge mimarisi:</w:t>
      </w:r>
      <w:r>
        <w:t xml:space="preserve"> Onu koruyan = dar-kapsamlı ama gerçek münhasırlık (3.1) + askı mekanizmasının kademeli oluşu (3.4 — tek gecikmede nükleer değil) + compliance köprüsünün dürüst ayrımı (7). Bizi koruyan = (a) münhasırlığın aboneliğe bağlanması, (b) "Doğrudan Rakip" tanımının DAR tutulması (yalnızca protez-ortez uygulama — moda cephesi ve diğer sektörler hiç etkilenmez), (c) ampüte misyonu carve-out'u (3.3.c — Kuzey Yıldızı asla kilitlenmez), (d) metodoloji + ekip koruması (4.1-4.3, süreli), (e) referans hakkı (4.4), (f) sorumluluk ayrımı (7.2 — idari ceza geçmişi olan müşteride cezanın bize sirayetini keser).</w:t>
      </w:r>
    </w:p>
    <w:p>
      <w:pPr>
        <w:pStyle w:val="ListNumber"/>
      </w:pPr>
      <w:r>
        <w:rPr>
          <w:b/>
        </w:rPr>
        <w:t>Bilinçli boşluklar:</w:t>
      </w:r>
      <w:r>
        <w:t xml:space="preserve"> Süreler ([12]/[24] ay, [5] yıl, [30]+[10] gün) ve cezai şart tutarı/para birimi avukat + Ayhan kararı. Köşeli parantezler pazarlık payı.</w:t>
      </w:r>
    </w:p>
    <w:p>
      <w:pPr>
        <w:pStyle w:val="ListNumber"/>
      </w:pPr>
      <w:r>
        <w:rPr>
          <w:b/>
        </w:rPr>
        <w:t>Sıralama — SERT KURAL:</w:t>
      </w:r>
      <w:r>
        <w:t xml:space="preserve"> Bu protokol tek başına imzalanmaz. Ana Hizmet Sözleşmesi'nde şu iki kalem tanımlanmadan imza yok: </w:t>
      </w:r>
      <w:r>
        <w:rPr>
          <w:b/>
        </w:rPr>
        <w:t>(i) kullanım/IP hakkı rejimi</w:t>
      </w:r>
      <w:r>
        <w:t xml:space="preserve"> (§11.2 — teslim edilen kimlik/web/filmin kullanım koşulları; M.4.1 bu rejime atıf yapıyor, rejim yoksa atıf boşa düşer) ve </w:t>
      </w:r>
      <w:r>
        <w:rPr>
          <w:b/>
        </w:rPr>
        <w:t>(ii) asgari abonelik taahhüdü</w:t>
      </w:r>
      <w:r>
        <w:t xml:space="preserve"> (aşağıda, not 6).</w:t>
      </w:r>
    </w:p>
    <w:p>
      <w:pPr>
        <w:pStyle w:val="ListNumber"/>
      </w:pPr>
      <w:r>
        <w:rPr>
          <w:b/>
        </w:rPr>
        <w:t>Denetmen denetiminden geçti (6 Tem — KOŞULLU ONAY):</w:t>
      </w:r>
      <w:r>
        <w:t xml:space="preserve"> 5 zorunlu düzeltme işlendi: compliance köprü hükmü (M.7), metodoloji süresi (M.4.1 [24] ay), askı+cure kurgusu (M.3.4), Veri İşleme Protokolü olumluya çevrildi (M.6.2), "doğal uzantı" belirsizliği kaldırıldı (M.4.3). Rakip-coğrafya sorusu R2, referans ayrımı R6, uygulama-dışı oyuncular R7 olarak gündeme işlendi.</w:t>
      </w:r>
    </w:p>
    <w:p>
      <w:pPr>
        <w:pStyle w:val="ListNumber"/>
      </w:pPr>
      <w:r>
        <w:rPr>
          <w:b/>
        </w:rPr>
        <w:t>⭐ ASGARİ ABONELİK TAAHHÜDÜ (Denetmen'in "sorulmamış sorusu" — Ayhan kararı):</w:t>
      </w:r>
      <w:r>
        <w:t xml:space="preserve"> Münhasırlık = aboneliğin karşılığı mantığı, müşteri tek-seferlik kimlik+web+filmi alıp 1 ay sonra aboneliği keserse çöker: değer transferi bizden, karşılık 1 aylık münhasırlık. Çözüm Ana Sözleşme'de </w:t>
      </w:r>
      <w:r>
        <w:rPr>
          <w:b/>
        </w:rPr>
        <w:t>asgari abonelik süresi</w:t>
      </w:r>
      <w:r>
        <w:t xml:space="preserve"> (öneri: [12] ay) veya erken çıkışta tek-seferlik kalemlere gerçek-değer farkı. Teklifte "[SÜRE] ay (yenilenebilir)" alanı zaten var — bağlanmalı.</w:t>
      </w:r>
    </w:p>
    <w:p>
      <w:pPr>
        <w:pStyle w:val="ListNumber"/>
      </w:pPr>
      <w:r>
        <w:rPr>
          <w:b/>
        </w:rPr>
        <w:t>Cezai şart para birimi:</w:t>
      </w:r>
      <w:r>
        <w:t xml:space="preserve"> Müşteri döviz-hedefli, §11.1 döviz önceliği → cezai şartın döviz cinsinden kurulması değerlendirilsin (R3).</w:t>
      </w:r>
    </w:p>
    <w:p>
      <w:pPr>
        <w:pStyle w:val="ListNumber"/>
      </w:pPr>
      <w:r>
        <w:rPr>
          <w:b/>
        </w:rPr>
        <w:t>Denetmen'in stratejik bayrağı (sözleşme dışı, kayda geçirildi):</w:t>
      </w:r>
      <w:r>
        <w:t xml:space="preserve"> 20 Haz kararı protez sektörünü kapatmıştı; Özgür Irmak yeni bir protez angajmanı. Fox okuması: 4 Tem'de Ayhan bu cepheyi açıkça birinci öncelik ilan etti ("ceza yemeden ticarete döndürmek") — karar Ayhan'ın, soru kapalı. Dar rakip tanımı bu gerçekle tutarlı: sektöre münhasırlık ucuza verilebilir çünkü başka protez müşterisi hedeflenmiyor.</w:t>
      </w:r>
    </w:p>
    <w:p>
      <w:pPr>
        <w:pBdr>
          <w:bottom w:val="single" w:sz="6" w:color="B8A369"/>
        </w:pBdr>
      </w:pPr>
    </w:p>
    <w:p>
      <w:r>
        <w:rPr>
          <w:i/>
          <w:color w:val="666666"/>
        </w:rPr>
        <w:t>Fox · 6 Tem 2026 · Taslak v0.2 — Denetmen KOŞULLU ONAY (6 Tem) düzeltmeleri işlendi. Sıradaki gate: avukat onayı → Ayhan imzası (Kademe 3). Kaynak bağlam: ozgur-irmak-marka-context.md (Hukuki Çerçeve &amp; Uyum Gate) · fox-karar-gunlugu.md (Nesa/Luxmed dersi, 10 Haz) · ozgur-irmak-uyumlu-ticaret-plani.md (avukat gündemi 15 soru + bu belgeden R1-R8).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A1A1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A1A1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