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 HİZMET SÖZLEŞMESİ</w:t>
      </w:r>
    </w:p>
    <w:p>
      <w:r>
        <w:rPr>
          <w:i/>
        </w:rPr>
        <w:t>Steps On Clouds / Ayhan Erden ↔ Özgür Irmak Yüksek Teknoloji Protez ve Ortez Uygulama Merkezi</w:t>
      </w:r>
    </w:p>
    <w:p>
      <w:r>
        <w:rPr>
          <w:i/>
        </w:rPr>
        <w:t>Marka Yeniden İnşa (tek seferlik) + Sürekli İletişim Aboneliği (aylık)</w:t>
      </w:r>
    </w:p>
    <w:p>
      <w:pPr>
        <w:ind w:left="397"/>
      </w:pPr>
      <w:r>
        <w:rPr>
          <w:i/>
          <w:sz w:val="19"/>
        </w:rPr>
        <w:t xml:space="preserve">⚖️ </w:t>
      </w:r>
      <w:r>
        <w:rPr>
          <w:b/>
          <w:i/>
          <w:sz w:val="19"/>
        </w:rPr>
        <w:t>STATÜ: TASLAK — İMZALANMAZ.</w:t>
      </w:r>
      <w:r>
        <w:rPr>
          <w:i/>
          <w:sz w:val="19"/>
        </w:rPr>
        <w:t xml:space="preserve"> Bu metin </w:t>
      </w:r>
      <w:r>
        <w:rPr>
          <w:b/>
          <w:i/>
          <w:sz w:val="19"/>
        </w:rPr>
        <w:t>iç taslaktır (v0.1)</w:t>
      </w:r>
      <w:r>
        <w:rPr>
          <w:i/>
          <w:sz w:val="19"/>
        </w:rPr>
        <w:t xml:space="preserve">; avukat incelemesi + Denetmen denetimi + Ayhan onayı zorunludur. </w:t>
      </w:r>
      <w:r>
        <w:rPr>
          <w:b/>
          <w:i/>
          <w:sz w:val="19"/>
        </w:rPr>
        <w:t>Fox avukat değildir</w:t>
      </w:r>
      <w:r>
        <w:rPr>
          <w:i/>
          <w:sz w:val="19"/>
        </w:rPr>
        <w:t xml:space="preserve"> — bu belge avukat görüşmesini "ne yazalım?" sorusundan "bu maddeleri onaylar mısınız?" noktasına taşımak için hazırlanmıştır. İmza Kademe 3'tür — yalnızca Ayhan atar. Köşeli parantezli alanlar </w:t>
      </w:r>
      <w:r>
        <w:rPr>
          <w:rFonts w:ascii="Courier New" w:hAnsi="Courier New"/>
          <w:i/>
          <w:sz w:val="19"/>
        </w:rPr>
        <w:t>[...]</w:t>
      </w:r>
      <w:r>
        <w:rPr>
          <w:i/>
          <w:sz w:val="19"/>
        </w:rPr>
        <w:t xml:space="preserve"> Ayhan/avukat tarafından doldurulur; </w:t>
      </w:r>
      <w:r>
        <w:rPr>
          <w:b/>
          <w:i/>
          <w:sz w:val="19"/>
        </w:rPr>
        <w:t>hiçbir rakam/bedel bu taslakta kesinleşmemiştir.</w:t>
      </w:r>
    </w:p>
    <w:p>
      <w:pPr>
        <w:pStyle w:val="Heading2"/>
      </w:pPr>
      <w:r>
        <w:t>TARAFLAR</w:t>
      </w:r>
    </w:p>
    <w:p>
      <w:pPr>
        <w:ind w:left="340"/>
      </w:pPr>
      <w:r>
        <w:t xml:space="preserve">1. </w:t>
      </w:r>
      <w:r>
        <w:rPr>
          <w:b/>
        </w:rPr>
        <w:t>Ajans:</w:t>
      </w:r>
      <w:r>
        <w:t xml:space="preserve"> Ayhan Erden — Steps On Clouds </w:t>
      </w:r>
      <w:r>
        <w:rPr>
          <w:i/>
        </w:rPr>
        <w:t>(ticari unvan/vergi bilgisi: [AYHAN DOLDURACAK])</w:t>
      </w:r>
      <w:r>
        <w:t xml:space="preserve">, bundan böyle </w:t>
      </w:r>
      <w:r>
        <w:rPr>
          <w:b/>
        </w:rPr>
        <w:t>"Ajans"</w:t>
      </w:r>
      <w:r>
        <w:t>.</w:t>
      </w:r>
    </w:p>
    <w:p>
      <w:pPr>
        <w:ind w:left="340"/>
      </w:pPr>
      <w:r>
        <w:t xml:space="preserve">2. </w:t>
      </w:r>
      <w:r>
        <w:rPr>
          <w:b/>
        </w:rPr>
        <w:t>Müşteri:</w:t>
      </w:r>
      <w:r>
        <w:t xml:space="preserve"> Özgür Irmak Yüksek Teknoloji Protez ve Ortez Uygulama Merkezi </w:t>
      </w:r>
      <w:r>
        <w:rPr>
          <w:i/>
        </w:rPr>
        <w:t>(tam ticari unvan/vergi bilgisi/imza yetkilisi: [MÜŞTERİDEN ALINACAK — bkz. Ek-1 R4])</w:t>
      </w:r>
      <w:r>
        <w:t xml:space="preserve">, bundan böyle </w:t>
      </w:r>
      <w:r>
        <w:rPr>
          <w:b/>
        </w:rPr>
        <w:t>"Müşteri"</w:t>
      </w:r>
      <w:r>
        <w:t>.</w:t>
      </w:r>
    </w:p>
    <w:p>
      <w:r>
        <w:t>Bu sözleşme ("</w:t>
      </w:r>
      <w:r>
        <w:rPr>
          <w:b/>
        </w:rPr>
        <w:t>Ana Sözleşme</w:t>
      </w:r>
      <w:r>
        <w:t xml:space="preserve">"), ekleriyle birlikte tek bir bütündür. </w:t>
      </w:r>
      <w:r>
        <w:rPr>
          <w:b/>
        </w:rPr>
        <w:t>Ek-1'deki Karşılıklı Rekabet Yasağı, Münhasırlık ve Gizlilik Protokolü</w:t>
      </w:r>
      <w:r>
        <w:t xml:space="preserve"> bu sözleşmenin ayrılmaz parçasıdır ve bu sözleşmeyle </w:t>
      </w:r>
      <w:r>
        <w:rPr>
          <w:b/>
        </w:rPr>
        <w:t>aynı anda</w:t>
      </w:r>
      <w:r>
        <w:t xml:space="preserve"> imzalanır; Ek-1'in atıf yaptığı kavramlar (abonelik, ödeme koşulları, askı, kullanım/IP hakkı rejimi, asgari abonelik taahhüdü) bu sözleşmede tanımlanmıştır.</w:t>
      </w:r>
    </w:p>
    <w:p>
      <w:pPr>
        <w:pStyle w:val="Heading2"/>
      </w:pPr>
      <w:r>
        <w:t>1 · TANIMLAR</w:t>
      </w:r>
    </w:p>
    <w:p>
      <w:r>
        <w:rPr>
          <w:i/>
        </w:rPr>
        <w:t>(Ek-1 Madde 2'deki tanımlarla uyumludur; iki belge arasında çelişki hâlinde hangi belgenin üstün geleceği Madde 14.2'de düzenlenmiştir.)</w:t>
      </w:r>
    </w:p>
    <w:p>
      <w:pPr>
        <w:pStyle w:val="ListBullet"/>
      </w:pPr>
      <w:r>
        <w:rPr>
          <w:b/>
        </w:rPr>
        <w:t>"Tek Seferlik İşler" (D1):</w:t>
      </w:r>
      <w:r>
        <w:t xml:space="preserve"> Madde 2.1'de tanımlanan Kurumsal Çekirdek + Sistem Kuruluşu kalemleri (marka kimliği, web sitesi, sosyal medya kurulumu, lansman içerik prodüksiyonu). </w:t>
      </w:r>
      <w:r>
        <w:rPr>
          <w:b/>
        </w:rPr>
        <w:t>Profesyonel kampanya çekimi D1 kapsamında DEĞİLDİR</w:t>
      </w:r>
      <w:r>
        <w:t xml:space="preserve"> — Ek-2'de fiyatlanmış, yazılı iş emriyle devreye giren opsiyondur (Madde 2.1.b).</w:t>
      </w:r>
    </w:p>
    <w:p>
      <w:pPr>
        <w:pStyle w:val="ListBullet"/>
      </w:pPr>
      <w:r>
        <w:rPr>
          <w:b/>
        </w:rPr>
        <w:t>"Abonelik" / "Aylık Hizmetler" (D2):</w:t>
      </w:r>
      <w:r>
        <w:t xml:space="preserve"> Madde 2.2'de tanımlanan aylık sürekli hizmet paketi. Ek-1'deki </w:t>
      </w:r>
      <w:r>
        <w:rPr>
          <w:b/>
        </w:rPr>
        <w:t>"Münhasırlık Dönemi"</w:t>
      </w:r>
      <w:r>
        <w:t>, bu Aboneliğin fiilen yürürlükte ve ödemelerinin güncel olduğu süredir.</w:t>
      </w:r>
    </w:p>
    <w:p>
      <w:pPr>
        <w:pStyle w:val="ListBullet"/>
      </w:pPr>
      <w:r>
        <w:rPr>
          <w:b/>
        </w:rPr>
        <w:t>"Teslim Edilen Çıktılar":</w:t>
      </w:r>
      <w:r>
        <w:t xml:space="preserve"> Ajans'ın bu sözleşme kapsamında Müşteri için ürettiği ve Müşteri'ye teslim ettiği nihai işler: logo ve varyasyonları, marka kimlik sistemi, brand guide, web sitesi tasarım ve metinleri, lansman içerikleri, sosyal medya şablon ve içerikleri; D1.d opsiyonu devreye girmişse kampanya filmi ve fotoğrafları.</w:t>
      </w:r>
    </w:p>
    <w:p>
      <w:pPr>
        <w:pStyle w:val="ListBullet"/>
      </w:pPr>
      <w:r>
        <w:rPr>
          <w:b/>
        </w:rPr>
        <w:t>"Ajans Metodolojisi":</w:t>
      </w:r>
      <w:r>
        <w:t xml:space="preserve"> Ek-1 Madde 2'deki tanımla aynıdır — Ajans'ın (Marka Bulutu OS dâhil) marka denetim, strateji ve içerik üretim sistemleri, rubrikleri, şablonları, süreç belgeleri, brief formatları, yazılım araçları ve çalışma yöntemleri; </w:t>
      </w:r>
      <w:r>
        <w:rPr>
          <w:b/>
        </w:rPr>
        <w:t>Teslim Edilen Çıktılar hariç.</w:t>
      </w:r>
    </w:p>
    <w:p>
      <w:pPr>
        <w:pStyle w:val="ListBullet"/>
      </w:pPr>
      <w:r>
        <w:rPr>
          <w:b/>
        </w:rPr>
        <w:t>"Üçüncü Taraf Varlıklar":</w:t>
      </w:r>
      <w:r>
        <w:t xml:space="preserve"> Teslim Edilen Çıktılar içinde yer alan ancak hakları üçüncü kişilere ait unsurlar: font lisansları, stok görsel/video/müzik, yazılım/platform bileşenleri (Wix dâhil), açık kaynak bileşenler.</w:t>
      </w:r>
    </w:p>
    <w:p>
      <w:pPr>
        <w:pStyle w:val="ListBullet"/>
      </w:pPr>
      <w:r>
        <w:rPr>
          <w:b/>
        </w:rPr>
        <w:t>"Gizli Bilgi":</w:t>
      </w:r>
      <w:r>
        <w:t xml:space="preserve"> Ek-1 Madde 2'deki tanım geçerlidir.</w:t>
      </w:r>
    </w:p>
    <w:p>
      <w:pPr>
        <w:pStyle w:val="Heading2"/>
      </w:pPr>
      <w:r>
        <w:t>2 · HİZMET KAPSAMI</w:t>
      </w:r>
    </w:p>
    <w:p>
      <w:r>
        <w:rPr>
          <w:b/>
        </w:rPr>
        <w:t>2.1 — Tek Seferlik İşler (D1):</w:t>
      </w:r>
      <w:r>
        <w:t xml:space="preserve"> Ajans, Müşteri için aşağıdaki kalemleri üretir </w:t>
      </w:r>
      <w:r>
        <w:rPr>
          <w:i/>
        </w:rPr>
        <w:t>(granüler kapsam: Ek-2 Fiyat Teklif Formu ve ekindeki iş kalemi listesi)</w:t>
      </w:r>
      <w:r>
        <w:t>:</w:t>
      </w:r>
    </w:p>
    <w:p>
      <w:pPr>
        <w:ind w:left="340"/>
      </w:pPr>
      <w:r>
        <w:t xml:space="preserve">a) </w:t>
      </w:r>
      <w:r>
        <w:rPr>
          <w:b/>
        </w:rPr>
        <w:t>Kurumsal Çekirdek:</w:t>
      </w:r>
      <w:r>
        <w:t xml:space="preserve"> konumlandırma, isim/tagline ve marka mimarisi kararı, logo tasarımı (varyasyonlarıyla) ve kullanım kuralları, renk paleti, tipografi sistemi (TR/EN/AR/RU — Latin+Kiril+Arap glyph kapsamı), marka sesi, brand guide, temel uygulama şablonları;</w:t>
      </w:r>
    </w:p>
    <w:p>
      <w:pPr>
        <w:ind w:left="340"/>
      </w:pPr>
      <w:r>
        <w:t xml:space="preserve">b) </w:t>
      </w:r>
      <w:r>
        <w:rPr>
          <w:b/>
        </w:rPr>
        <w:t>Sistem Kuruluşu:</w:t>
      </w:r>
      <w:r>
        <w:t xml:space="preserve"> web sitesi (Wix platformu, [4 dil: TR/EN/AR/RU — nihai dil/mimari kararı Madde 5.4'e tabi], Arapça RTL desteği), sosyal medya kurulumu (YouTube, Instagram, Facebook, LinkedIn — profil + görsel kit + şablonlar; Ek-2'de jest kalemi), </w:t>
      </w:r>
      <w:r>
        <w:rPr>
          <w:b/>
        </w:rPr>
        <w:t>lansman içerik prodüksiyonu:</w:t>
      </w:r>
      <w:r>
        <w:t xml:space="preserve"> Müşteri'nin mevcut görüntüleriyle hazırlanır (Ek-2 jest kapsamı). </w:t>
      </w:r>
      <w:r>
        <w:rPr>
          <w:b/>
        </w:rPr>
        <w:t>Profesyonel kampanya çekimi</w:t>
      </w:r>
      <w:r>
        <w:t xml:space="preserve"> (~4 dk marka filmi + fotoğraf seti) kapsama dâhil DEĞİLDİR — Ek-2'de fiyatlanmış opsiyonel kalemdir; yazılı iş emriyle (Madde 2.4) devreye girer; gerçek hasta katılımı hâlinde Madde 6 ve Ek-3 ön şarttır.</w:t>
      </w:r>
    </w:p>
    <w:p>
      <w:r>
        <w:rPr>
          <w:b/>
        </w:rPr>
        <w:t>2.2 — Aylık Hizmetler / Abonelik (D2):</w:t>
      </w:r>
      <w:r>
        <w:t xml:space="preserve"> Aylık strateji yönetimi + görsel içerik üretimi ve içerik metinleri (kanal bazlı aylık adet planı Ek-2 §B'de: YouTube 4 video + LinkedIn 4 post + Instagram haftada 3 post + Facebook yansıtma), marka tutarlılığı denetimi, aylık raporlama ve değerlendirme, hukuk-onay koordinasyonu (Madde 5). Abonelik, Tek Seferlik İşler'in [Kurumsal Çekirdek + web yayını] tamamlanmasını takip eden ayın 1'inde [SEÇENEK: taraflarca yazılı olarak teyit edilen tarihte] başlar.</w:t>
      </w:r>
    </w:p>
    <w:p>
      <w:r>
        <w:rPr>
          <w:b/>
        </w:rPr>
        <w:t>2.3 — Kapsam dışı işler (ayrıca yazılı olarak bütçelenir; hiçbiri bu sözleşme bedeline dâhil değildir):</w:t>
      </w:r>
    </w:p>
    <w:p>
      <w:pPr>
        <w:ind w:left="340"/>
      </w:pPr>
      <w:r>
        <w:t>a) her türlü çekim, kurgu ve prodüksiyon — profesyonel kampanya çekimi (Ek-2 D1.d opsiyonu) dâhil; opsiyon yalnız yazılı iş emriyle (Madde 2.4) devreye girer;</w:t>
      </w:r>
    </w:p>
    <w:p>
      <w:pPr>
        <w:ind w:left="340"/>
      </w:pPr>
      <w:r>
        <w:t>b) reklam medya bütçesi ve reklam satın alma (Google/Meta vb. harcamaları);</w:t>
      </w:r>
    </w:p>
    <w:p>
      <w:pPr>
        <w:ind w:left="340"/>
      </w:pPr>
      <w:r>
        <w:t>c) günlük topluluk yönetimi / mesaj-yorum operasyonu;</w:t>
      </w:r>
    </w:p>
    <w:p>
      <w:pPr>
        <w:ind w:left="340"/>
      </w:pPr>
      <w:r>
        <w:t xml:space="preserve">d) web sitesi sürekli bakım/destek </w:t>
      </w:r>
      <w:r>
        <w:rPr>
          <w:i/>
        </w:rPr>
        <w:t>(istenirse ayrı kalem — Ek-2 opsiyon)</w:t>
      </w:r>
      <w:r>
        <w:t>;</w:t>
      </w:r>
    </w:p>
    <w:p>
      <w:pPr>
        <w:ind w:left="340"/>
      </w:pPr>
      <w:r>
        <w:t>e) fiziksel baskı işleri (tabela, broşür vb.);</w:t>
      </w:r>
    </w:p>
    <w:p>
      <w:pPr>
        <w:ind w:left="340"/>
      </w:pPr>
      <w:r>
        <w:t>f) hukuki danışmanlık (Müşteri'nin avukatı ve ücreti Müşteri tarafındadır);</w:t>
      </w:r>
    </w:p>
    <w:p>
      <w:pPr>
        <w:ind w:left="340"/>
      </w:pPr>
      <w:r>
        <w:t>g) Ek-2'de açıkça yazılmayan her iş.</w:t>
      </w:r>
    </w:p>
    <w:p>
      <w:r>
        <w:rPr>
          <w:b/>
        </w:rPr>
        <w:t>2.4 — Kapsam değişikliği prosedürü:</w:t>
      </w:r>
      <w:r>
        <w:t xml:space="preserve"> Kapsama ekleme/değişiklik yalnızca şu akışla yapılır: Müşteri yazılı talep iletir → Ajans süre + bedel etkisini yazılı bildirir → taraflar </w:t>
      </w:r>
      <w:r>
        <w:rPr>
          <w:b/>
        </w:rPr>
        <w:t>yazılı ek iş emrini</w:t>
      </w:r>
      <w:r>
        <w:t xml:space="preserve"> imzalar → iş başlar. Yazılı ek iş emri olmadan yapılan hiçbir talep Ajans'ı bağlamaz; sözlü talimatla kapsam genişletilemez. </w:t>
      </w:r>
      <w:r>
        <w:rPr>
          <w:i/>
        </w:rPr>
        <w:t>(Küçük işler için e-posta teyidi yazılı şekil sayılır — [avukat teyidi, R13].)</w:t>
      </w:r>
    </w:p>
    <w:p>
      <w:pPr>
        <w:pStyle w:val="Heading2"/>
      </w:pPr>
      <w:r>
        <w:t>3 · BEDELLER VE ÖDEME</w:t>
      </w:r>
    </w:p>
    <w:p>
      <w:r>
        <w:rPr>
          <w:b/>
        </w:rPr>
        <w:t>3.1 — Bedeller</w:t>
      </w:r>
      <w:r>
        <w:t xml:space="preserve"> </w:t>
      </w:r>
      <w:r>
        <w:rPr>
          <w:i/>
        </w:rPr>
        <w:t>(tümü Ek-2 Fiyat Teklif Formu'nda; bu sözleşmede rakam yer almaz)</w:t>
      </w:r>
      <w:r>
        <w:t>:</w:t>
      </w:r>
    </w:p>
    <w:p>
      <w:pPr>
        <w:pStyle w:val="ListBullet"/>
      </w:pPr>
      <w:r>
        <w:t xml:space="preserve">Tek Seferlik İşler (D1): Ek-2'deki Paket Bedeli — ödeme planı </w:t>
      </w:r>
      <w:r>
        <w:rPr>
          <w:i/>
        </w:rPr>
        <w:t>(✅ AYHAN, 8 Tem)</w:t>
      </w:r>
      <w:r>
        <w:t xml:space="preserve">: </w:t>
      </w:r>
      <w:r>
        <w:rPr>
          <w:b/>
        </w:rPr>
        <w:t>%50 imzada avans + %50 finalde</w:t>
      </w:r>
      <w:r>
        <w:t xml:space="preserve"> (final tanımı Ek-2 §A'da: kimlik teslimi + web yayını + sosyal kurulum).</w:t>
      </w:r>
    </w:p>
    <w:p>
      <w:pPr>
        <w:pStyle w:val="ListBullet"/>
      </w:pPr>
      <w:r>
        <w:t xml:space="preserve">Abonelik (D2): Ek-2'deki aylık bedel; </w:t>
      </w:r>
      <w:r>
        <w:rPr>
          <w:b/>
        </w:rPr>
        <w:t>her ayın 1'i ile 5'i arasında</w:t>
      </w:r>
      <w:r>
        <w:t xml:space="preserve"> peşin ödenir </w:t>
      </w:r>
      <w:r>
        <w:rPr>
          <w:i/>
        </w:rPr>
        <w:t>(✅ AYHAN, 8 Tem)</w:t>
      </w:r>
      <w:r>
        <w:t>.</w:t>
      </w:r>
    </w:p>
    <w:p>
      <w:r>
        <w:rPr>
          <w:b/>
        </w:rPr>
        <w:t>3.2 — Para birimi: TL</w:t>
      </w:r>
      <w:r>
        <w:t xml:space="preserve"> </w:t>
      </w:r>
      <w:r>
        <w:rPr>
          <w:i/>
        </w:rPr>
        <w:t>(✅ AYHAN KARARI, 8 Tem 2026).</w:t>
      </w:r>
      <w:r>
        <w:t xml:space="preserve"> Enflasyon koruması iki mekanizmayla sağlanır: (i) Abonelik bedeli yenileme dönemlerinde Madde 8.4'teki endeksleme ile güncellenir; (ii) Asgari Taahhüt Süresi İÇİNDE dahi, 12 aylık TÜFE'nin </w:t>
      </w:r>
      <w:r>
        <w:rPr>
          <w:b/>
        </w:rPr>
        <w:t>[%X]</w:t>
      </w:r>
      <w:r>
        <w:t xml:space="preserve">'i aşması hâlinde taraflar bedeli güncellemek üzere masaya oturur → </w:t>
      </w:r>
      <w:r>
        <w:rPr>
          <w:b/>
        </w:rPr>
        <w:t>[AVUKAT R10 revize: TL seçildi; taahhüt-içi uyarlama maddesinin geçerli yazımı + endeks seçimi (TÜFE/ÜFE ort.)].</w:t>
      </w:r>
    </w:p>
    <w:p>
      <w:r>
        <w:rPr>
          <w:b/>
        </w:rPr>
        <w:t>3.3 — Fatura ve vergiler:</w:t>
      </w:r>
      <w:r>
        <w:t xml:space="preserve"> Faturalar Steps On Clouds adına kesilir; </w:t>
      </w:r>
      <w:r>
        <w:rPr>
          <w:b/>
        </w:rPr>
        <w:t>Ek-2'deki tüm bedeller KDV HARİÇTİR</w:t>
      </w:r>
      <w:r>
        <w:t xml:space="preserve"> </w:t>
      </w:r>
      <w:r>
        <w:rPr>
          <w:i/>
        </w:rPr>
        <w:t>(✅ AYHAN, 8 Tem)</w:t>
      </w:r>
      <w:r>
        <w:t xml:space="preserve">, KDV faturada ayrıca gösterilir. Ödeme, fatura tarihinden itibaren </w:t>
      </w:r>
      <w:r>
        <w:rPr>
          <w:b/>
        </w:rPr>
        <w:t>[X] gün</w:t>
      </w:r>
      <w:r>
        <w:t xml:space="preserve"> içinde [banka havalesi] ile yapılır.</w:t>
      </w:r>
    </w:p>
    <w:p>
      <w:r>
        <w:rPr>
          <w:b/>
        </w:rPr>
        <w:t>3.4 — Gecikme → kademeli askı</w:t>
      </w:r>
      <w:r>
        <w:t xml:space="preserve"> </w:t>
      </w:r>
      <w:r>
        <w:rPr>
          <w:i/>
        </w:rPr>
        <w:t>(Ek-1 Madde 3.4 ile birebir aynı mekanik — iki belge çelişmez)</w:t>
      </w:r>
      <w:r>
        <w:t>:</w:t>
      </w:r>
    </w:p>
    <w:p>
      <w:pPr>
        <w:ind w:left="340"/>
      </w:pPr>
      <w:r>
        <w:t xml:space="preserve">a) Ödeme </w:t>
      </w:r>
      <w:r>
        <w:rPr>
          <w:b/>
        </w:rPr>
        <w:t>[30] günü</w:t>
      </w:r>
      <w:r>
        <w:t xml:space="preserve"> aşan süreyle gecikirse Ajans yazılı ihtar gönderir;</w:t>
      </w:r>
    </w:p>
    <w:p>
      <w:pPr>
        <w:ind w:left="340"/>
      </w:pPr>
      <w:r>
        <w:t xml:space="preserve">b) İhtardan itibaren </w:t>
      </w:r>
      <w:r>
        <w:rPr>
          <w:b/>
        </w:rPr>
        <w:t>[10] gün</w:t>
      </w:r>
      <w:r>
        <w:t xml:space="preserve"> içinde ödeme tamamlanmazsa: (i) Ajans, Aylık Hizmetler'i ve teslim takvimini </w:t>
      </w:r>
      <w:r>
        <w:rPr>
          <w:b/>
        </w:rPr>
        <w:t>askıya alabilir</w:t>
      </w:r>
      <w:r>
        <w:t xml:space="preserve">, (ii) Ek-1 Madde 3.1'deki münhasırlık Ek-1 Madde 3.4 uyarınca </w:t>
      </w:r>
      <w:r>
        <w:rPr>
          <w:b/>
        </w:rPr>
        <w:t>kendiliğinden askıya alınır</w:t>
      </w:r>
      <w:r>
        <w:t>;</w:t>
      </w:r>
    </w:p>
    <w:p>
      <w:pPr>
        <w:ind w:left="340"/>
      </w:pPr>
      <w:r>
        <w:t>c) Askı, geciken ödemenin tamamlanmasıyla sona erer; askı süresi teslim terminlerine eklenir;</w:t>
      </w:r>
    </w:p>
    <w:p>
      <w:pPr>
        <w:ind w:left="340"/>
      </w:pPr>
      <w:r>
        <w:t xml:space="preserve">d) Gecikme ihtar + cure süresine rağmen </w:t>
      </w:r>
      <w:r>
        <w:rPr>
          <w:b/>
        </w:rPr>
        <w:t>[60] günü</w:t>
      </w:r>
      <w:r>
        <w:t xml:space="preserve"> aşarsa Ajans, sözleşmeyi Madde 9.5 uyarınca haklı nedenle feshedebilir; yasal faiz ve masraflar saklıdır → </w:t>
      </w:r>
      <w:r>
        <w:rPr>
          <w:b/>
        </w:rPr>
        <w:t>[AVUKAT: ticari temerrüt faizi oranı/dayanağı].</w:t>
      </w:r>
    </w:p>
    <w:p>
      <w:r>
        <w:rPr>
          <w:b/>
        </w:rPr>
        <w:t>3.5 — Bedava iş yok:</w:t>
      </w:r>
      <w:r>
        <w:t xml:space="preserve"> Ek-2'de bedeli yazılı olmayan hiçbir iş yapılmaz; "küçük bir rica" dâhil her iş ya mevcut kapsamda tanımlıdır ya Madde 2.4 prosedüründen geçer.</w:t>
      </w:r>
    </w:p>
    <w:p>
      <w:pPr>
        <w:pStyle w:val="Heading2"/>
      </w:pPr>
      <w:r>
        <w:t>4 · TESLİM VE KABUL</w:t>
      </w:r>
    </w:p>
    <w:p>
      <w:r>
        <w:rPr>
          <w:b/>
        </w:rPr>
        <w:t>4.1 — Teslim takvimi:</w:t>
      </w:r>
      <w:r>
        <w:t xml:space="preserve"> Kalem bazlı terminler [Ek-2 / proje planında] belirlenir. Müşteri'den beklenen girdiler (bilgi, belge, onay, erişim) geciktiğinde terminler o kadar uzar; Ajans gecikmeyi yazılı olarak kayda geçirir.</w:t>
      </w:r>
    </w:p>
    <w:p>
      <w:r>
        <w:rPr>
          <w:b/>
        </w:rPr>
        <w:t>4.2 — Revizyon rejimi:</w:t>
      </w:r>
      <w:r>
        <w:t xml:space="preserve"> Her teslim kalemi için </w:t>
      </w:r>
      <w:r>
        <w:rPr>
          <w:b/>
        </w:rPr>
        <w:t>[2] revizyon turu</w:t>
      </w:r>
      <w:r>
        <w:t xml:space="preserve"> bedele dâhildir. Revizyon = onaylı brief/konsept çerçevesi içindeki düzeltmedir; </w:t>
      </w:r>
      <w:r>
        <w:rPr>
          <w:b/>
        </w:rPr>
        <w:t>brief'i/konsepti değiştiren talep revizyon değil kapsam değişikliğidir</w:t>
      </w:r>
      <w:r>
        <w:t xml:space="preserve"> (Madde 2.4). Ek revizyon turu [TUR BEDELİ / saat ücreti — Ek-2] ile ücretlendirilir.</w:t>
      </w:r>
    </w:p>
    <w:p>
      <w:r>
        <w:rPr>
          <w:b/>
        </w:rPr>
        <w:t>4.3 — Kabul:</w:t>
      </w:r>
      <w:r>
        <w:t xml:space="preserve"> Müşteri, teslimden itibaren </w:t>
      </w:r>
      <w:r>
        <w:rPr>
          <w:b/>
        </w:rPr>
        <w:t>[10] iş günü</w:t>
      </w:r>
      <w:r>
        <w:t xml:space="preserve"> içinde yazılı kabul veya gerekçeli düzeltme talebi bildirir; süre içinde bildirim yapılmazsa teslim </w:t>
      </w:r>
      <w:r>
        <w:rPr>
          <w:b/>
        </w:rPr>
        <w:t>kabul edilmiş sayılır</w:t>
      </w:r>
      <w:r>
        <w:t xml:space="preserve"> → </w:t>
      </w:r>
      <w:r>
        <w:rPr>
          <w:b/>
        </w:rPr>
        <w:t>[AVUKAT R13: sessiz kabul hükmünün geçerliliği].</w:t>
      </w:r>
      <w:r>
        <w:t xml:space="preserve"> Kabul edilen kaleme dayalı sonraki işler (ör. onaylı logo üzerine brand guide) başladıktan sonra kabul geri alınamaz; değişiklik Madde 2.4'e tabidir.</w:t>
      </w:r>
    </w:p>
    <w:p>
      <w:r>
        <w:rPr>
          <w:b/>
        </w:rPr>
        <w:t>4.4 — Teslim formatları:</w:t>
      </w:r>
      <w:r>
        <w:t xml:space="preserve"> Nihai çıktılar kullanım için gerekli formatlarda teslim edilir (logo paketi, brand guide PDF, yayınlanmış site, film master + sosyal versiyonlar). </w:t>
      </w:r>
      <w:r>
        <w:rPr>
          <w:b/>
        </w:rPr>
        <w:t>Açık çalışma dosyaları</w:t>
      </w:r>
      <w:r>
        <w:t xml:space="preserve"> (tasarım kaynak dosyaları, kurgu projeleri) teslim kapsamına </w:t>
      </w:r>
      <w:r>
        <w:rPr>
          <w:b/>
        </w:rPr>
        <w:t>dâhil değildir</w:t>
      </w:r>
      <w:r>
        <w:t xml:space="preserve"> </w:t>
      </w:r>
      <w:r>
        <w:rPr>
          <w:i/>
        </w:rPr>
        <w:t>(✅ AYHAN KARARI, 8 Tem 2026)</w:t>
      </w:r>
      <w:r>
        <w:t>; Müşteri talep ederse ayrı bedelle devri Ek-2 opsiyonu olarak fiyatlanır.</w:t>
      </w:r>
    </w:p>
    <w:p>
      <w:pPr>
        <w:pStyle w:val="Heading2"/>
      </w:pPr>
      <w:r>
        <w:t>5 · MEVZUAT UYUMU KÖPRÜSÜ ⚖️ (Ek-1 Madde 7 ile birebir hizalı)</w:t>
      </w:r>
    </w:p>
    <w:p>
      <w:r>
        <w:rPr>
          <w:b/>
        </w:rPr>
        <w:t>5.1 — Rol ayrımı:</w:t>
      </w:r>
      <w:r>
        <w:t xml:space="preserve"> Ajans, sağlık mevzuatına uyumlu (compliance-by-design) </w:t>
      </w:r>
      <w:r>
        <w:rPr>
          <w:b/>
        </w:rPr>
        <w:t>taslak</w:t>
      </w:r>
      <w:r>
        <w:t xml:space="preserve"> üretir. Ancak Ajans avukat değildir ve hukuki danışmanlık vermez; </w:t>
      </w:r>
      <w:r>
        <w:rPr>
          <w:b/>
        </w:rPr>
        <w:t>her medikal içerik ve iddianın yayın öncesi hukuki uygunluk onayı ve yayın kararı münhasıran Müşteri'ye aittir.</w:t>
      </w:r>
    </w:p>
    <w:p>
      <w:r>
        <w:rPr>
          <w:b/>
        </w:rPr>
        <w:t>5.2 — Onay akışı (zorunlu gate):</w:t>
      </w:r>
      <w:r>
        <w:t xml:space="preserve"> Yayına giden her öğe (web sayfaları başta olmak üzere her medikal içerik/iddia) şu akıştan geçer: Ajans hazırlar → Ajans iç denetimi → </w:t>
      </w:r>
      <w:r>
        <w:rPr>
          <w:b/>
        </w:rPr>
        <w:t>Müşteri'nin avukatının yazılı onayı</w:t>
      </w:r>
      <w:r>
        <w:t xml:space="preserve"> → Müşteri yayın onayı → yayın. Müşteri, bu akış için bir hukuki onay mercii (avukat) bulundurmayı ve onayları makul sürede ([X] iş günü) vermeyi taahhüt eder; onay gecikmeleri teslim terminlerini uzatır.</w:t>
      </w:r>
    </w:p>
    <w:p>
      <w:r>
        <w:rPr>
          <w:b/>
        </w:rPr>
        <w:t>5.3 — Sorumluluk:</w:t>
      </w:r>
      <w:r>
        <w:t xml:space="preserve"> Müşteri'nin (veya avukatının) onayı olmadan yapılan, Müşteri'nin talimatıyla değiştirilerek yayınlanan veya Müşteri'nin kendi kanallarında Ajans bilgisi dışında yayınladığı içeriklerin doğurduğu </w:t>
      </w:r>
      <w:r>
        <w:rPr>
          <w:b/>
        </w:rPr>
        <w:t>idari ve hukuki sorumluluk Müşteri'ye aittir.</w:t>
      </w:r>
      <w:r>
        <w:t xml:space="preserve"> Ajans'ın kastı veya ağır kusuru saklıdır → </w:t>
      </w:r>
      <w:r>
        <w:rPr>
          <w:b/>
        </w:rPr>
        <w:t>[AVUKAT R12].</w:t>
      </w:r>
    </w:p>
    <w:p>
      <w:r>
        <w:rPr>
          <w:b/>
        </w:rPr>
        <w:t>5.4 — Mimari kaydı:</w:t>
      </w:r>
      <w:r>
        <w:t xml:space="preserve"> Web ve uluslararası iletişim mimarisi (tek site 4 dil vs. TR kurumsal site + yurt dışına yönelik ayrı platform — RG 12/11/2025-33075 M.8 rejimi) avukat teyidi sonrası taraflarca yazılı olarak netleştirilir; bu netleşme Madde 2.1.b kapsamının [sayfa/dil dağılımını] etkileyebilir ve gerekirse Madde 2.4 prosedürüyle güncellenir.</w:t>
      </w:r>
    </w:p>
    <w:p>
      <w:r>
        <w:rPr>
          <w:b/>
        </w:rPr>
        <w:t>5.5 — Kriz protokolü:</w:t>
      </w:r>
      <w:r>
        <w:t xml:space="preserve"> Müşteri'ye bir uygunsuzluk tebliği ulaşırsa Müşteri aynı gün Ajans'ı bilgilendirir; Ajans, düzeltme için gerekli içerik/teknik müdahaleyi öncelikli iş olarak yapar (mevzuattaki kısa düzeltme pencereleri gözetilerek). Hukuki savunma ve idari süreç Müşteri tarafındadır.</w:t>
      </w:r>
    </w:p>
    <w:p>
      <w:pPr>
        <w:pStyle w:val="Heading2"/>
      </w:pPr>
      <w:r>
        <w:t>6 · KİŞİSEL VERİLER (KVKK)</w:t>
      </w:r>
    </w:p>
    <w:p>
      <w:r>
        <w:rPr>
          <w:b/>
        </w:rPr>
        <w:t>6.1 —</w:t>
      </w:r>
      <w:r>
        <w:t xml:space="preserve"> Hasta verileri </w:t>
      </w:r>
      <w:r>
        <w:rPr>
          <w:b/>
        </w:rPr>
        <w:t>özel nitelikli kişisel veridir</w:t>
      </w:r>
      <w:r>
        <w:t>; veri sorumlusu her durumda Müşteri'dir. Ajans, hasta verilerine kural olarak erişmez.</w:t>
      </w:r>
    </w:p>
    <w:p>
      <w:r>
        <w:rPr>
          <w:b/>
        </w:rPr>
        <w:t>6.2 — Ön şart:</w:t>
      </w:r>
      <w:r>
        <w:t xml:space="preserve"> Gerçek hasta içeren herhangi bir prodüksiyon veya içerik çalışması (Ek-2 D1.d opsiyonel kampanya filmi dâhil) </w:t>
      </w:r>
      <w:r>
        <w:rPr>
          <w:b/>
        </w:rPr>
        <w:t>başlamadan önce</w:t>
      </w:r>
      <w:r>
        <w:t xml:space="preserve"> taraflar </w:t>
      </w:r>
      <w:r>
        <w:rPr>
          <w:b/>
        </w:rPr>
        <w:t>Ek-3 Veri İşleme Protokolü'nü</w:t>
      </w:r>
      <w:r>
        <w:t xml:space="preserve"> imzalar ve ilgili kişinin yazılı </w:t>
      </w:r>
      <w:r>
        <w:rPr>
          <w:b/>
        </w:rPr>
        <w:t>açık rızası</w:t>
      </w:r>
      <w:r>
        <w:t xml:space="preserve"> belgelenir (Ek-1 Madde 6.2 ile aynı rejim). Ek-3 imzalanmadan ve rıza belgelenmeden çekim yapılmaz; bu ön şartın Müşteri kaynaklı gecikmesi terminleri uzatır.</w:t>
      </w:r>
    </w:p>
    <w:p>
      <w:r>
        <w:rPr>
          <w:b/>
        </w:rPr>
        <w:t>6.3 —</w:t>
      </w:r>
      <w:r>
        <w:t xml:space="preserve"> Taraflar, bu sözleşme kapsamında birbirlerine aktardıkları (hasta verisi dışındaki) kişisel verilerde KVKK yükümlülüklerine uyar → </w:t>
      </w:r>
      <w:r>
        <w:rPr>
          <w:b/>
        </w:rPr>
        <w:t>[AVUKAT R15: VERBİS/aydınlatma yükümlülük dağılımı].</w:t>
      </w:r>
    </w:p>
    <w:p>
      <w:pPr>
        <w:pStyle w:val="Heading2"/>
      </w:pPr>
      <w:r>
        <w:t>7 · FİKRİ MÜLKİYET VE KULLANIM HAKKI REJİMİ ⭐</w:t>
      </w:r>
    </w:p>
    <w:p>
      <w:r>
        <w:rPr>
          <w:i/>
        </w:rPr>
        <w:t>(Ek-1'in imza ön-şartı olan iki kalemden birincisi — Ek-1 Taraflar bölümü ve Tasarım Notu 4.)</w:t>
      </w:r>
    </w:p>
    <w:p>
      <w:r>
        <w:rPr>
          <w:b/>
        </w:rPr>
        <w:t>7.1 — Teslim Edilen Çıktılar üzerindeki haklar: DEVİR MODELİ</w:t>
      </w:r>
      <w:r>
        <w:t xml:space="preserve"> </w:t>
      </w:r>
      <w:r>
        <w:rPr>
          <w:i/>
        </w:rPr>
        <w:t>(✅ AYHAN KARARI, 8 Tem 2026)</w:t>
      </w:r>
      <w:r>
        <w:t xml:space="preserve">. İlgili kalemin </w:t>
      </w:r>
      <w:r>
        <w:rPr>
          <w:b/>
        </w:rPr>
        <w:t>bedelinin tamamen ödenmesi koşuluna bağlı olarak</w:t>
      </w:r>
      <w:r>
        <w:t xml:space="preserve">, Teslim Edilen Çıktılar üzerindeki mali haklar (işleme, çoğaltma, yayma, temsil, umuma iletim) FSEK m.52'ye uygun </w:t>
      </w:r>
      <w:r>
        <w:rPr>
          <w:b/>
        </w:rPr>
        <w:t>yazılı devirle</w:t>
      </w:r>
      <w:r>
        <w:t xml:space="preserve"> Müşteri'ye geçer; manevi haklar devredilemez, Müşteri'ye kullanım yetkisi verilir. Logo/marka tescili Müşteri adına yapılır </w:t>
      </w:r>
      <w:r>
        <w:rPr>
          <w:i/>
        </w:rPr>
        <w:t>(tescil zamanlaması ve tescil-öncesi kurgu: AVUKAT R9)</w:t>
      </w:r>
      <w:r>
        <w:t>. Ödeme tamamlanana kadar tüm haklar Ajans'ta kalır; Müşteri'nin bu dönemdeki kullanımı, iptal edilebilir geçici lisans niteliğindedir.</w:t>
      </w:r>
    </w:p>
    <w:p>
      <w:r>
        <w:rPr>
          <w:b/>
        </w:rPr>
        <w:t>7.2 — Ajans Metodolojisi Ajans'ta kalır:</w:t>
      </w:r>
      <w:r>
        <w:t xml:space="preserve"> Marka Bulutu OS dâhil Ajans Metodolojisi'nin (şablon, rubrik, süreç, araç, sistem) </w:t>
      </w:r>
      <w:r>
        <w:rPr>
          <w:b/>
        </w:rPr>
        <w:t>mülkiyeti ve tüm hakları münhasıran Ajans'a aittir</w:t>
      </w:r>
      <w:r>
        <w:t xml:space="preserve"> ve hiçbir koşulda devredilmez; Müşteri'ye yalnızca </w:t>
      </w:r>
      <w:r>
        <w:rPr>
          <w:b/>
        </w:rPr>
        <w:t>çıktı</w:t>
      </w:r>
      <w:r>
        <w:t xml:space="preserve"> geçer. Teslim Edilen Çıktılar'ın içine gömülü metodoloji unsurları için Müşteri'ye, çıktıyı amacına uygun kullanmasına yetecek kadar, münhasır olmayan dâhilî kullanım hakkı tanınır. </w:t>
      </w:r>
      <w:r>
        <w:rPr>
          <w:i/>
        </w:rPr>
        <w:t>(Koruma süresi ve paylaşım yasağı: Ek-1 Madde 4.1.)</w:t>
      </w:r>
    </w:p>
    <w:p>
      <w:r>
        <w:rPr>
          <w:b/>
        </w:rPr>
        <w:t>7.3 — Portföy/referans hakkı:</w:t>
      </w:r>
      <w:r>
        <w:t xml:space="preserve"> Ajans'ın işi referans olarak gösterme hakkı ve sınırları </w:t>
      </w:r>
      <w:r>
        <w:rPr>
          <w:b/>
        </w:rPr>
        <w:t>Ek-1 Madde 4.4</w:t>
      </w:r>
      <w:r>
        <w:t>'te düzenlenmiştir; bu sözleşme o düzenlemeyi aynen benimser.</w:t>
      </w:r>
    </w:p>
    <w:p>
      <w:r>
        <w:rPr>
          <w:b/>
        </w:rPr>
        <w:t>7.4 — Üçüncü Taraf Varlıklar:</w:t>
      </w:r>
      <w:r>
        <w:t xml:space="preserve"> Font, stok görsel/müzik, platform (Wix) ve benzeri Üçüncü Taraf Varlıklar </w:t>
      </w:r>
      <w:r>
        <w:rPr>
          <w:b/>
        </w:rPr>
        <w:t>kendi lisans şartlarına tabidir</w:t>
      </w:r>
      <w:r>
        <w:t xml:space="preserve">; Madde 7.1'deki devir/lisans kapsamına girmez. Ajans, teslimle birlikte kullanılan Üçüncü Taraf Varlıklar'ın listesini ve lisans türlerini bildirir; devam eden lisans bedelleri (font aboneliği, Wix planı, müzik lisansı yenilemesi vb.) </w:t>
      </w:r>
      <w:r>
        <w:rPr>
          <w:b/>
        </w:rPr>
        <w:t>[Müşteri'ye aittir / Ek-2'de kalem kalem paylaştırılır]</w:t>
      </w:r>
      <w:r>
        <w:t>.</w:t>
      </w:r>
    </w:p>
    <w:p>
      <w:r>
        <w:rPr>
          <w:b/>
        </w:rPr>
        <w:t>7.5 — Hesap ve alan adı sahipliği:</w:t>
      </w:r>
      <w:r>
        <w:t xml:space="preserve"> Wix hesabı, alan adları ve sosyal medya hesapları </w:t>
      </w:r>
      <w:r>
        <w:rPr>
          <w:b/>
        </w:rPr>
        <w:t>[Müşteri adına açılır/devredilir — öneri; Ajans'a yönetici erişimi verilir]</w:t>
      </w:r>
      <w:r>
        <w:t xml:space="preserve"> → </w:t>
      </w:r>
      <w:r>
        <w:rPr>
          <w:b/>
        </w:rPr>
        <w:t>[AVUKAT R14: fesih hâlinde erişim/devir prosedürü].</w:t>
      </w:r>
    </w:p>
    <w:p>
      <w:r>
        <w:rPr>
          <w:b/>
        </w:rPr>
        <w:t>7.6 — Ajans'ın önceden var olan varlıkları:</w:t>
      </w:r>
      <w:r>
        <w:t xml:space="preserve"> Ajans'ın bu işten önce sahip olduğu her türlü varlık (marka, yöntem, kod, tasarım kütüphanesi) Ajans'ta kalır.</w:t>
      </w:r>
    </w:p>
    <w:p>
      <w:pPr>
        <w:pStyle w:val="Heading2"/>
      </w:pPr>
      <w:r>
        <w:t>8 · ABONELİK SÜRESİ, ASGARİ TAAHHÜT, YENİLEME ⭐</w:t>
      </w:r>
    </w:p>
    <w:p>
      <w:r>
        <w:rPr>
          <w:i/>
        </w:rPr>
        <w:t>(Ek-1'in imza ön-şartı olan iki kalemden ikincisi — Ek-1 Tasarım Notu 6: münhasırlık ekonomisi bu maddeye dayanır.)</w:t>
      </w:r>
    </w:p>
    <w:p>
      <w:r>
        <w:rPr>
          <w:b/>
        </w:rPr>
        <w:t>8.1 — Asgari taahhüt:</w:t>
      </w:r>
      <w:r>
        <w:t xml:space="preserve"> Müşteri, Abonelik için </w:t>
      </w:r>
      <w:r>
        <w:rPr>
          <w:b/>
        </w:rPr>
        <w:t>12 (on iki) ay</w:t>
      </w:r>
      <w:r>
        <w:t xml:space="preserve"> </w:t>
      </w:r>
      <w:r>
        <w:rPr>
          <w:i/>
        </w:rPr>
        <w:t>(✅ AYHAN KARARI, 8 Tem 2026)</w:t>
      </w:r>
      <w:r>
        <w:t xml:space="preserve"> asgari süre taahhüt eder ("Asgari Taahhüt Süresi"). Ek-1'deki münhasırlık, bu taahhüdün karşılığıdır.</w:t>
      </w:r>
    </w:p>
    <w:p>
      <w:r>
        <w:rPr>
          <w:b/>
        </w:rPr>
        <w:t>8.2 — Fiyatlama bağı:</w:t>
      </w:r>
      <w:r>
        <w:t xml:space="preserve"> Tek Seferlik İşler'in Ek-2'deki bedeli, Asgari Taahhüt Süresi'ne bağlı </w:t>
      </w:r>
      <w:r>
        <w:rPr>
          <w:b/>
        </w:rPr>
        <w:t>paket fiyatıdır</w:t>
      </w:r>
      <w:r>
        <w:t xml:space="preserve">; taahhütsüz liste bedeli Ek-2'de ayrıca gösterilir </w:t>
      </w:r>
      <w:r>
        <w:rPr>
          <w:i/>
        </w:rPr>
        <w:t>([LİSTE BEDELİ] vs [PAKET BEDELİ])</w:t>
      </w:r>
      <w:r>
        <w:t>. Bu bağ, tek seferlik teslimlerin (kimlik + web + jest kalemleri) değer transferinin 1-2 aylık abonelikle karşılıksız kalmasını önler.</w:t>
      </w:r>
    </w:p>
    <w:p>
      <w:r>
        <w:rPr>
          <w:b/>
        </w:rPr>
        <w:t>8.3 — Erken çıkış: GÜÇLENDİRİLMİŞ MODEL</w:t>
      </w:r>
      <w:r>
        <w:t xml:space="preserve"> </w:t>
      </w:r>
      <w:r>
        <w:rPr>
          <w:i/>
        </w:rPr>
        <w:t>(✅ AYHAN KARARI, 8 Tem 2026 — Denetmen U2 üzerine güçlendirildi)</w:t>
      </w:r>
      <w:r>
        <w:t>. Müşteri, Asgari Taahhüt Süresi dolmadan Aboneliği (Madde 9.5'teki haklı neden hâli dışında) sona erdirirse:</w:t>
      </w:r>
    </w:p>
    <w:p>
      <w:pPr>
        <w:ind w:left="340"/>
      </w:pPr>
      <w:r>
        <w:t xml:space="preserve">a) Teslim edilmiş jest kalemler için </w:t>
      </w:r>
      <w:r>
        <w:rPr>
          <w:b/>
        </w:rPr>
        <w:t>Liste Bedeli ile Paket Bedeli arasındaki fark</w:t>
      </w:r>
      <w:r>
        <w:t xml:space="preserve"> faturalanır (Ek-2 §D — bugünkü tabloyla 30.000 TL); </w:t>
      </w:r>
      <w:r>
        <w:rPr>
          <w:b/>
        </w:rPr>
        <w:t>ve</w:t>
      </w:r>
    </w:p>
    <w:p>
      <w:pPr>
        <w:ind w:left="340"/>
      </w:pPr>
      <w:r>
        <w:t xml:space="preserve">b) </w:t>
      </w:r>
      <w:r>
        <w:rPr>
          <w:b/>
        </w:rPr>
        <w:t>Erken çıkış bedeli olarak en az 3 (üç) aylık abonelik bedeli</w:t>
      </w:r>
      <w:r>
        <w:t xml:space="preserve"> ödenir </w:t>
      </w:r>
      <w:r>
        <w:rPr>
          <w:i/>
        </w:rPr>
        <w:t>(aylık bedel üzerinden — Ek-2 §B; kalan taahhüt süresi 3 aydan az olsa dahi taban 3 aydır)</w:t>
      </w:r>
      <w:r>
        <w:t>.</w:t>
      </w:r>
    </w:p>
    <w:p>
      <w:r>
        <w:t xml:space="preserve">→ </w:t>
      </w:r>
      <w:r>
        <w:rPr>
          <w:b/>
        </w:rPr>
        <w:t>[AVUKAT R11 revize: (a)+(b) birlikte talebinin hukuki nitelemesi (bedel mi cezai şart mı), TBK 182 indirim riski ve Ek-1 M.9.1 cezai şartıyla üst üste binmenin yazımı].</w:t>
      </w:r>
      <w:r>
        <w:t xml:space="preserve"> Erken çıkışla birlikte Ek-1 Madde 3.1 münhasırlığı sona erer (Ek-1 Madde 8.2 rejimi işler).</w:t>
      </w:r>
    </w:p>
    <w:p>
      <w:r>
        <w:rPr>
          <w:b/>
        </w:rPr>
        <w:t>8.4 — Yenileme:</w:t>
      </w:r>
      <w:r>
        <w:t xml:space="preserve"> Asgari Taahhüt Süresi sonunda Abonelik </w:t>
      </w:r>
      <w:r>
        <w:rPr>
          <w:b/>
        </w:rPr>
        <w:t>[aylık / 12'şer aylık]</w:t>
      </w:r>
      <w:r>
        <w:t xml:space="preserve"> dönemlerle kendiliğinden yenilenir; taraflardan biri dönem sonundan </w:t>
      </w:r>
      <w:r>
        <w:rPr>
          <w:b/>
        </w:rPr>
        <w:t>[60] gün</w:t>
      </w:r>
      <w:r>
        <w:t xml:space="preserve"> önce yazılı bildirimle sonlandırabilir. </w:t>
      </w:r>
      <w:r>
        <w:rPr>
          <w:b/>
        </w:rPr>
        <w:t>Bildirim süresine uyulmaksızın yapılan iptal/terk hâlinde Müşteri, 3 (üç) aylık abonelik bedelini öder</w:t>
      </w:r>
      <w:r>
        <w:t xml:space="preserve"> </w:t>
      </w:r>
      <w:r>
        <w:rPr>
          <w:i/>
        </w:rPr>
        <w:t>(✅ AYHAN, 8 Tem — aylık bedel üzerinden; Madde 8.3.b ile aynı taban, aynı fiile iki kez uygulanmaz → AVUKAT R11)</w:t>
      </w:r>
      <w:r>
        <w:t xml:space="preserve">. Yenileme dönemlerinde aylık bedel </w:t>
      </w:r>
      <w:r>
        <w:rPr>
          <w:b/>
        </w:rPr>
        <w:t>[TÜFE / TÜFE-ÜFE ortalaması — AVUKAT R10 ile endeks seçimi]</w:t>
      </w:r>
      <w:r>
        <w:t xml:space="preserve"> ile güncellenir </w:t>
      </w:r>
      <w:r>
        <w:rPr>
          <w:i/>
        </w:rPr>
        <w:t>(para birimi TL — Madde 3.2)</w:t>
      </w:r>
      <w:r>
        <w:t>.</w:t>
      </w:r>
    </w:p>
    <w:p>
      <w:r>
        <w:rPr>
          <w:b/>
        </w:rPr>
        <w:t>8.5 — Kapsam esnekliği:</w:t>
      </w:r>
      <w:r>
        <w:t xml:space="preserve"> Aylık içerik adedi/karması, aylık strateji toplantısında bir sonraki ay için karşılıklı yazılı mutabakatla ayarlanabilir; toplam aylık bedel değişmedikçe Madde 2.4 prosedürü gerekmez.</w:t>
      </w:r>
    </w:p>
    <w:p>
      <w:pPr>
        <w:pStyle w:val="Heading2"/>
      </w:pPr>
      <w:r>
        <w:t>9 · SÜRE VE FESİH</w:t>
      </w:r>
    </w:p>
    <w:p>
      <w:r>
        <w:rPr>
          <w:b/>
        </w:rPr>
        <w:t>9.1 —</w:t>
      </w:r>
      <w:r>
        <w:t xml:space="preserve"> Bu sözleşme imza tarihinde yürürlüğe girer; Tek Seferlik İşler'in teslimi + Abonelik süresi (yenilemeler dâhil) boyunca yürürlükte kalır.</w:t>
      </w:r>
    </w:p>
    <w:p>
      <w:r>
        <w:rPr>
          <w:b/>
        </w:rPr>
        <w:t>9.2 —</w:t>
      </w:r>
      <w:r>
        <w:t xml:space="preserve"> Sözleşmenin sona ermesi Ek-1'in kendi sürelerine göre devam eden hükümlerini (Ek-1 Madde 8.2) etkilemez; Madde 5.3 (sorumluluk ayrımı), 7 (IP), 10 (sorumluluk sınırı) ve Gizlilik hükümleri nitelikleri gereği sona ermeden sonra da uygulanır.</w:t>
      </w:r>
    </w:p>
    <w:p>
      <w:r>
        <w:rPr>
          <w:b/>
        </w:rPr>
        <w:t>9.3 — Tek Seferlik İşler'de yarıda kesilme:</w:t>
      </w:r>
      <w:r>
        <w:t xml:space="preserve"> Müşteri, D1 işleri devam ederken sözleşmeyi (haklı neden olmaksızın) sona erdirirse, o ana kadar tamamlanan kalemler + devam eden kalemlerin gerçekleşen kısmı </w:t>
      </w:r>
      <w:r>
        <w:rPr>
          <w:b/>
        </w:rPr>
        <w:t>[hakediş yöntemi — Ek-2 ödeme planındaki kırılıma göre]</w:t>
      </w:r>
      <w:r>
        <w:t xml:space="preserve"> faturalanır; ödenmeyen kalemlerin hakları Madde 7.1 gereği Ajans'ta kalır.</w:t>
      </w:r>
    </w:p>
    <w:p>
      <w:r>
        <w:rPr>
          <w:b/>
        </w:rPr>
        <w:t>9.4 — Ajans'ın işi bırakması:</w:t>
      </w:r>
      <w:r>
        <w:t xml:space="preserve"> Ajans, haklı neden olmaksızın işi bırakırsa Müşteri'nin ödediği ancak teslim edilmeyen kalem bedelleri iade edilir → </w:t>
      </w:r>
      <w:r>
        <w:rPr>
          <w:b/>
        </w:rPr>
        <w:t>[AVUKAT: iade mekaniği + tazminat sınırı Madde 10 ile ilişkisi].</w:t>
      </w:r>
    </w:p>
    <w:p>
      <w:r>
        <w:rPr>
          <w:b/>
        </w:rPr>
        <w:t>9.5 — Haklı nedenle fesih:</w:t>
      </w:r>
      <w:r>
        <w:t xml:space="preserve"> Bir tarafın esaslı ihlali, yazılı ihtara rağmen </w:t>
      </w:r>
      <w:r>
        <w:rPr>
          <w:b/>
        </w:rPr>
        <w:t>[15] gün</w:t>
      </w:r>
      <w:r>
        <w:t xml:space="preserve"> içinde giderilmezse diğer taraf sözleşmeyi haklı nedenle feshedebilir (Ek-1 Madde 8.3 ile aynı mekanik). Müşteri'nin haklı nedenle feshinde Madde 8.3 erken çıkış bedeli uygulanmaz; Ajans'ın haklı nedenle feshinde (ör. Madde 3.4.d ödeme temerrüdü) uygulanır.</w:t>
      </w:r>
    </w:p>
    <w:p>
      <w:r>
        <w:rPr>
          <w:b/>
        </w:rPr>
        <w:t>9.6 — Fesih sonrası devir-teslim:</w:t>
      </w:r>
      <w:r>
        <w:t xml:space="preserve"> Fesih hâlinde Ajans, bedeli ödenmiş Teslim Edilen Çıktılar'ı ve Madde 7.5 hesap erişimlerini </w:t>
      </w:r>
      <w:r>
        <w:rPr>
          <w:b/>
        </w:rPr>
        <w:t>[30] gün</w:t>
      </w:r>
      <w:r>
        <w:t xml:space="preserve"> içinde devreder; Müşteri, Ajans Metodolojisi'ne ait erişim/materyali iade eder veya imha ettiğini yazılı bildirir.</w:t>
      </w:r>
    </w:p>
    <w:p>
      <w:pPr>
        <w:pStyle w:val="Heading2"/>
      </w:pPr>
      <w:r>
        <w:t>10 · SORUMLULUK SINIRI</w:t>
      </w:r>
    </w:p>
    <w:p>
      <w:r>
        <w:rPr>
          <w:b/>
        </w:rPr>
        <w:t>10.1 —</w:t>
      </w:r>
      <w:r>
        <w:t xml:space="preserve"> Ajans'ın bu sözleşmeden doğan toplam sorumluluğu, sorumluluğu doğuran olaydan önceki </w:t>
      </w:r>
      <w:r>
        <w:rPr>
          <w:b/>
        </w:rPr>
        <w:t>[12] ayda Müşteri'nin fiilen ödediği bedellerle</w:t>
      </w:r>
      <w:r>
        <w:t xml:space="preserve"> sınırlıdır → </w:t>
      </w:r>
      <w:r>
        <w:rPr>
          <w:b/>
        </w:rPr>
        <w:t>[AVUKAT R12: sınırın TBK 115/116 karşısında yazımı].</w:t>
      </w:r>
    </w:p>
    <w:p>
      <w:r>
        <w:rPr>
          <w:b/>
        </w:rPr>
        <w:t>10.2 —</w:t>
      </w:r>
      <w:r>
        <w:t xml:space="preserve"> Hiçbir taraf, diğerinin dolaylı zararlarından (kâr kaybı, itibar kaybı, veri kaybı, iş kesintisi) sorumlu değildir; kast ve ağır kusur hâlleri saklıdır.</w:t>
      </w:r>
    </w:p>
    <w:p>
      <w:r>
        <w:rPr>
          <w:b/>
        </w:rPr>
        <w:t>10.3 —</w:t>
      </w:r>
      <w:r>
        <w:t xml:space="preserve"> Sağlık mevzuatı kaynaklı idari yaptırım ve cezaların sorumluluk dağılımı Madde 5.3'te düzenlenmiştir; Madde 10.1'deki sınır, Müşteri'nin Madde 5.3'e aykırı yayınlarından doğan cezaları Ajans'a yansıtmasına dayanak yapılamaz.</w:t>
      </w:r>
    </w:p>
    <w:p>
      <w:r>
        <w:rPr>
          <w:b/>
        </w:rPr>
        <w:t>10.4 —</w:t>
      </w:r>
      <w:r>
        <w:t xml:space="preserve"> Ek-1 Madde 9'daki cezai şart rejimi saklıdır; bu madde onu daraltmaz → </w:t>
      </w:r>
      <w:r>
        <w:rPr>
          <w:b/>
        </w:rPr>
        <w:t>[AVUKAT: cezai şart ile sorumluluk sınırının çakışma yazımı].</w:t>
      </w:r>
    </w:p>
    <w:p>
      <w:pPr>
        <w:pStyle w:val="Heading2"/>
      </w:pPr>
      <w:r>
        <w:t>11 · MÜCBİR SEBEP</w:t>
      </w:r>
    </w:p>
    <w:p>
      <w:r>
        <w:t xml:space="preserve">Tarafların kontrolü dışında, öngörülemeyen ve önlenemeyen olaylar (doğal afet, savaş, salgın, genel ağ/altyapı kesintileri, kapsamlı mevzuat değişikliği ile edimin ifasının imkânsızlaşması vb.) süresince yükümlülükler askıya alınır; mücbir sebep </w:t>
      </w:r>
      <w:r>
        <w:rPr>
          <w:b/>
        </w:rPr>
        <w:t>[60] günü</w:t>
      </w:r>
      <w:r>
        <w:t xml:space="preserve"> aşarsa taraflar sözleşmeyi tazminatsız sona erdirme hakkını müzakere eder. Ödeme borçları, doğmuş edimler için mücbir sebep kapsamında sayılmaz → </w:t>
      </w:r>
      <w:r>
        <w:rPr>
          <w:b/>
        </w:rPr>
        <w:t>[AVUKAT: mevzuat değişikliği hâlinin ayrı "uyarlama" maddesi olarak yazılıp yazılmayacağı — medikal sektörde gerçek risk].</w:t>
      </w:r>
    </w:p>
    <w:p>
      <w:pPr>
        <w:pStyle w:val="Heading2"/>
      </w:pPr>
      <w:r>
        <w:t>12 · UYUŞMAZLIK VE UYGULANACAK HUKUK</w:t>
      </w:r>
    </w:p>
    <w:p>
      <w:r>
        <w:rPr>
          <w:b/>
        </w:rPr>
        <w:t>12.1 —</w:t>
      </w:r>
      <w:r>
        <w:t xml:space="preserve"> Bu sözleşme Türk hukukuna tabidir.</w:t>
      </w:r>
    </w:p>
    <w:p>
      <w:r>
        <w:rPr>
          <w:b/>
        </w:rPr>
        <w:t>12.2 —</w:t>
      </w:r>
      <w:r>
        <w:t xml:space="preserve"> Taraflar, uyuşmazlıkları önce iyi niyetli müzakereyle, olmadı </w:t>
      </w:r>
      <w:r>
        <w:rPr>
          <w:b/>
        </w:rPr>
        <w:t>[arabuluculuk — TTK kapsamında ticari davalarda dava şartı arabuluculuğun zaten geçerli olup olmadığı ve sözleşmeye ayrıca yazılıp yazılmayacağı: AVUKAT R16]</w:t>
      </w:r>
      <w:r>
        <w:t xml:space="preserve"> yoluyla çözer; sonuç alınamazsa </w:t>
      </w:r>
      <w:r>
        <w:rPr>
          <w:b/>
        </w:rPr>
        <w:t>[İstanbul ([...]) mahkemeleri ve icra daireleri]</w:t>
      </w:r>
      <w:r>
        <w:t xml:space="preserve"> yetkilidir </w:t>
      </w:r>
      <w:r>
        <w:rPr>
          <w:i/>
        </w:rPr>
        <w:t>(Ek-1 Madde 10.4 ile aynı yer seçilir — iki belge farklı yetki yeri gösteremez)</w:t>
      </w:r>
      <w:r>
        <w:t>.</w:t>
      </w:r>
    </w:p>
    <w:p>
      <w:pPr>
        <w:pStyle w:val="Heading2"/>
      </w:pPr>
      <w:r>
        <w:t>13 · GENEL HÜKÜMLER</w:t>
      </w:r>
    </w:p>
    <w:p>
      <w:r>
        <w:rPr>
          <w:b/>
        </w:rPr>
        <w:t>13.1 —</w:t>
      </w:r>
      <w:r>
        <w:t xml:space="preserve"> Taraflar bağımsız tacir/işletmedir; bu sözleşme istihdam, ortaklık, acentelik doğurmaz (Ek-1 Madde 10.1 ile aynı).</w:t>
      </w:r>
    </w:p>
    <w:p>
      <w:r>
        <w:rPr>
          <w:b/>
        </w:rPr>
        <w:t>13.2 —</w:t>
      </w:r>
      <w:r>
        <w:t xml:space="preserve"> Değişiklikler yazılı ve imzalı olmadıkça geçersizdir.</w:t>
      </w:r>
    </w:p>
    <w:p>
      <w:r>
        <w:rPr>
          <w:b/>
        </w:rPr>
        <w:t>13.3 —</w:t>
      </w:r>
      <w:r>
        <w:t xml:space="preserve"> Kısmi geçersizlik diğer hükümleri etkilemez; geçersiz hüküm amacına en yakın geçerli hükümle ikame edilir.</w:t>
      </w:r>
    </w:p>
    <w:p>
      <w:r>
        <w:rPr>
          <w:b/>
        </w:rPr>
        <w:t>13.4 —</w:t>
      </w:r>
      <w:r>
        <w:t xml:space="preserve"> Taraflar diğerinin yazılı izni olmadan sözleşmeyi devredemez.</w:t>
      </w:r>
    </w:p>
    <w:p>
      <w:r>
        <w:rPr>
          <w:b/>
        </w:rPr>
        <w:t>13.5 —</w:t>
      </w:r>
      <w:r>
        <w:t xml:space="preserve"> Bildirimler [yazılı — e-posta adresleri: Ajans […] / Müşteri […]] yapılır; adres değişikliği bildirilmedikçe eski adrese bildirim geçerlidir.</w:t>
      </w:r>
    </w:p>
    <w:p>
      <w:pPr>
        <w:pStyle w:val="Heading2"/>
      </w:pPr>
      <w:r>
        <w:t>14 · EKLER</w:t>
      </w:r>
    </w:p>
    <w:p>
      <w:r>
        <w:rPr>
          <w:b/>
        </w:rPr>
        <w:t>14.1 —</w:t>
      </w:r>
      <w:r>
        <w:t xml:space="preserve"> Aşağıdaki ekler bu sözleşmenin ayrılmaz parçasıdır:</w:t>
      </w:r>
    </w:p>
    <w:p>
      <w:pPr>
        <w:pStyle w:val="ListBullet"/>
      </w:pPr>
      <w:r>
        <w:rPr>
          <w:b/>
        </w:rPr>
        <w:t>Ek-1:</w:t>
      </w:r>
      <w:r>
        <w:t xml:space="preserve"> Karşılıklı Rekabet Yasağı, Münhasırlık ve Gizlilik Protokolü (v0.2 taslağından nihaileşecek metin) — </w:t>
      </w:r>
      <w:r>
        <w:rPr>
          <w:i/>
        </w:rPr>
        <w:t>bu sözleşmeyle aynı anda imzalanır.</w:t>
      </w:r>
    </w:p>
    <w:p>
      <w:pPr>
        <w:pStyle w:val="ListBullet"/>
      </w:pPr>
      <w:r>
        <w:rPr>
          <w:b/>
        </w:rPr>
        <w:t>Ek-2:</w:t>
      </w:r>
      <w:r>
        <w:t xml:space="preserve"> Fiyat Teklif Formu + iş kalemi listesi (</w:t>
      </w:r>
      <w:r>
        <w:rPr>
          <w:rFonts w:ascii="Courier New" w:hAnsi="Courier New"/>
        </w:rPr>
        <w:t>ek-2-fiyat-teklif-formu-ozgur-irmak.md</w:t>
      </w:r>
      <w:r>
        <w:t xml:space="preserve"> — onaylı bedeller işli; ödeme planı + aylık içerik adedi Ayhan onayıyla kesinleşir).</w:t>
      </w:r>
    </w:p>
    <w:p>
      <w:pPr>
        <w:pStyle w:val="ListBullet"/>
      </w:pPr>
      <w:r>
        <w:rPr>
          <w:b/>
        </w:rPr>
        <w:t>Ek-3:</w:t>
      </w:r>
      <w:r>
        <w:t xml:space="preserve"> Veri İşleme Protokolü — </w:t>
      </w:r>
      <w:r>
        <w:rPr>
          <w:i/>
        </w:rPr>
        <w:t>[ayrıca hazırlanacak; ilk hasta-içerikli çalışma öncesi imza ön şartı — Madde 6.2].</w:t>
      </w:r>
    </w:p>
    <w:p>
      <w:r>
        <w:rPr>
          <w:b/>
        </w:rPr>
        <w:t>14.2 — Öncelik sırası:</w:t>
      </w:r>
      <w:r>
        <w:t xml:space="preserve"> Çelişki hâlinde: (1) rekabet/münhasırlık/gizlilik/metodoloji konularında </w:t>
      </w:r>
      <w:r>
        <w:rPr>
          <w:b/>
        </w:rPr>
        <w:t>Ek-1</w:t>
      </w:r>
      <w:r>
        <w:t xml:space="preserve">, (2) bedel/termin/adet konularında </w:t>
      </w:r>
      <w:r>
        <w:rPr>
          <w:b/>
        </w:rPr>
        <w:t>Ek-2</w:t>
      </w:r>
      <w:r>
        <w:t xml:space="preserve">, (3) diğer tüm konularda </w:t>
      </w:r>
      <w:r>
        <w:rPr>
          <w:b/>
        </w:rPr>
        <w:t>bu Ana Sözleşme</w:t>
      </w:r>
      <w:r>
        <w:t xml:space="preserve"> üstün gelir → </w:t>
      </w:r>
      <w:r>
        <w:rPr>
          <w:b/>
        </w:rPr>
        <w:t>[AVUKAT: öncelik kurgusunun teyidi].</w:t>
      </w:r>
    </w:p>
    <w:p>
      <w:pPr>
        <w:ind w:left="397"/>
      </w:pPr>
      <w:r>
        <w:rPr>
          <w:i/>
          <w:sz w:val="19"/>
        </w:rPr>
        <w:t xml:space="preserve">⚠️ </w:t>
      </w:r>
      <w:r>
        <w:rPr>
          <w:b/>
          <w:i/>
          <w:sz w:val="19"/>
        </w:rPr>
        <w:t>İMZA ÖNCESİ SON KONTROL:</w:t>
      </w:r>
      <w:r>
        <w:rPr>
          <w:i/>
          <w:sz w:val="19"/>
        </w:rPr>
        <w:t xml:space="preserve"> Bu nüsha, avukat incelemesi tamamlanıp Z-listesi (Denetmen raporu) kapanmadan İMZALANAMAZ. İmza anında: taraf kimlik/yetki bilgileri dolu · Ek-1 kesinleşmiş · Ek-2 bedel ve ödeme planı kilitli · yetki yeri iki belgede aynı olmalıdır.</w:t>
      </w:r>
    </w:p>
    <w:p>
      <w:r>
        <w:rPr>
          <w:b/>
        </w:rPr>
        <w:t>Ajans adına</w:t>
      </w:r>
      <w:r>
        <w:t xml:space="preserve"> — Ayhan Erden · İmza/Tarih: ______________</w:t>
      </w:r>
    </w:p>
    <w:p>
      <w:r>
        <w:rPr>
          <w:b/>
        </w:rPr>
        <w:t>Müşteri adına</w:t>
      </w:r>
      <w:r>
        <w:t xml:space="preserve"> — [YETKİLİ AD-SOYAD/UNVAN] · İmza/Tarih: ______________</w:t>
      </w:r>
    </w:p>
    <w:p>
      <w:pPr>
        <w:pStyle w:val="Heading2"/>
      </w:pPr>
      <w:r>
        <w:t>⚖️ AVUKAT GÜNDEMİ EKLERİ (R1-R8'in devamı — bu sözleşmeye özel)</w:t>
      </w:r>
    </w:p>
    <w:p>
      <w:pPr>
        <w:pStyle w:val="ListBullet"/>
      </w:pPr>
      <w:r>
        <w:rPr>
          <w:b/>
        </w:rPr>
        <w:t>R9. IP modeli seçimi (M.7.1):</w:t>
      </w:r>
      <w:r>
        <w:t xml:space="preserve"> Devir (FSEK m.52 yazılı şekil şartı + mali hakların tek tek sayılması) mı, münhasır lisans mı? Manevi hakların kullanım yetkisi yazımı; logo için ayrıca </w:t>
      </w:r>
      <w:r>
        <w:rPr>
          <w:b/>
        </w:rPr>
        <w:t>marka tescili</w:t>
      </w:r>
      <w:r>
        <w:t xml:space="preserve"> kimin adına/ne zaman yapılacak (tescil öncesi devir/lisans kurgusu).</w:t>
      </w:r>
    </w:p>
    <w:p>
      <w:pPr>
        <w:pStyle w:val="ListBullet"/>
      </w:pPr>
      <w:r>
        <w:rPr>
          <w:b/>
        </w:rPr>
        <w:t>R10. Para birimi (M.3.2, M.8.4):</w:t>
      </w:r>
      <w:r>
        <w:t xml:space="preserve"> Türkiye-yerleşik iki taraf arasında döviz/dövize-endeksli hizmet bedeli 32 sayılı Karar kısıtına takılır mı; istisna kapsamı var mı; değilse hukuken sağlam döviz-korumalı alternatif (yıllık endeksleme, kur bandı) nasıl yazılır?</w:t>
      </w:r>
    </w:p>
    <w:p>
      <w:pPr>
        <w:pStyle w:val="ListBullet"/>
      </w:pPr>
      <w:r>
        <w:rPr>
          <w:b/>
        </w:rPr>
        <w:t>R11. Asgari taahhüt + erken çıkış bedeli (M.8.3):</w:t>
      </w:r>
      <w:r>
        <w:t xml:space="preserve"> Fark faturası ve kalan-dönem-yüzdesi modellerinden hangisi hukuken sağlam; cezai şart olarak mı bedel olarak mı nitelenir; TBK 182 indirim riski; Ek-1 M.9.1 cezai şartıyla üst üste binme (aynı fiil iki yaptırım) engellenmeli.</w:t>
      </w:r>
    </w:p>
    <w:p>
      <w:pPr>
        <w:pStyle w:val="ListBullet"/>
      </w:pPr>
      <w:r>
        <w:rPr>
          <w:b/>
        </w:rPr>
        <w:t>R12. Sorumluluk mimarisi (M.5.3, M.10):</w:t>
      </w:r>
      <w:r>
        <w:t xml:space="preserve"> Sorumluluk sınırı ve idari ceza ayrımının TBK 115/116 karşısında geçerli yazımı; "Müşteri onayı olmadan yayın" ispat yükü ve onay kayıtlarının delil düzeni (yazılı onay formatı).</w:t>
      </w:r>
    </w:p>
    <w:p>
      <w:pPr>
        <w:pStyle w:val="ListBullet"/>
      </w:pPr>
      <w:r>
        <w:rPr>
          <w:b/>
        </w:rPr>
        <w:t>R13. Kabul mekaniği (M.4.3) ve yazılı şekil (M.2.4):</w:t>
      </w:r>
      <w:r>
        <w:t xml:space="preserve"> [10] iş günü sessiz kabul hükmü tacirler arasında geçerli mi; e-posta teyidinin "yazılı" sayılması için delil sözleşmesi maddesi gerekir mi?</w:t>
      </w:r>
    </w:p>
    <w:p>
      <w:pPr>
        <w:pStyle w:val="ListBullet"/>
      </w:pPr>
      <w:r>
        <w:rPr>
          <w:b/>
        </w:rPr>
        <w:t>R14. Hesap/alan adı sahipliği (M.7.5):</w:t>
      </w:r>
      <w:r>
        <w:t xml:space="preserve"> Wix aboneliği, alan adları ve sosyal hesapların Müşteri adına kurulması + Ajans erişim yetkisi + fesihte devir prosedürünün yazımı; Wix plan bedelinin taraf dağılımı.</w:t>
      </w:r>
    </w:p>
    <w:p>
      <w:pPr>
        <w:pStyle w:val="ListBullet"/>
      </w:pPr>
      <w:r>
        <w:rPr>
          <w:b/>
        </w:rPr>
        <w:t>R15. KVKK katmanı (M.6):</w:t>
      </w:r>
      <w:r>
        <w:t xml:space="preserve"> Ek-3 Veri İşleme Protokolü kapsam/format; VERBİS ve aydınlatma yükümlülüklerinin taraflara dağılımı; Ajans'ın "veri işleyen" sıfatına hiç girmeyecek şekilde iş akışı kurulabilir mi?</w:t>
      </w:r>
    </w:p>
    <w:p>
      <w:pPr>
        <w:pStyle w:val="ListBullet"/>
      </w:pPr>
      <w:r>
        <w:rPr>
          <w:b/>
        </w:rPr>
        <w:t>R16. Uyuşmazlık (M.12):</w:t>
      </w:r>
      <w:r>
        <w:t xml:space="preserve"> Zorunlu/dava şartı arabuluculuğun bu ilişkiye uygulanırlığı; sözleşmeye arabuluculuk kademesi yazılsın mı; yetki yeri (İstanbul?) iki belgede tek tutulacak.</w:t>
      </w:r>
    </w:p>
    <w:p>
      <w:pPr>
        <w:pStyle w:val="ListBullet"/>
      </w:pPr>
      <w:r>
        <w:rPr>
          <w:b/>
        </w:rPr>
        <w:t>R17. Ödeme planı ve hakediş (M.3.1, M.9.3):</w:t>
      </w:r>
      <w:r>
        <w:t xml:space="preserve"> D1 avans/aşama kırılımının, yarıda kesilme senaryosunda hakediş hesabına elverişli yazımı; avansın iade edilmezliği kaydı.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B2A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B2A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1B2A2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