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v="urn:schemas-microsoft-com:vml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eeg-car-01-rev-c-work-report"/>
    <w:p>
      <w:pPr>
        <w:pStyle w:val="Heading1"/>
      </w:pPr>
      <w:r>
        <w:t xml:space="preserve">EEG-CAR-01 Rev C – work report</w:t>
      </w:r>
    </w:p>
    <w:p>
      <w:pPr>
        <w:pStyle w:val="FirstParagraph"/>
      </w:pPr>
      <w:r>
        <w:rPr>
          <w:b/>
          <w:bCs/>
        </w:rPr>
        <w:t xml:space="preserve">Not a controlled document.</w:t>
      </w:r>
      <w:r>
        <w:t xml:space="preserve"> </w:t>
      </w:r>
      <w:r>
        <w:t xml:space="preserve">It is the report on the work of 8 September 2026 that</w:t>
      </w:r>
      <w:r>
        <w:t xml:space="preserve"> </w:t>
      </w:r>
      <w:r>
        <w:t xml:space="preserve">ECO-EEG-030 to ECO-EEG-033 record, and it says what was run, what the repository</w:t>
      </w:r>
      <w:r>
        <w:t xml:space="preserve"> </w:t>
      </w:r>
      <w:r>
        <w:t xml:space="preserve">contradicted, what was assumed, and what is still open.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 BY-SA 4.0</w:t>
      </w:r>
    </w:p>
    <w:p>
      <w:r>
        <w:pict>
          <v:rect style="width:0;height:1.5pt" ns2:hralign="center" ns2:hrstd="t" ns2:hr="t"/>
        </w:pict>
      </w:r>
    </w:p>
    <w:bookmarkStart w:id="15" w:name="what-was-run-and-what-it-printed"/>
    <w:p>
      <w:pPr>
        <w:pStyle w:val="Heading2"/>
      </w:pPr>
      <w:r>
        <w:t xml:space="preserve">1. What was run, and what it printed</w:t>
      </w:r>
    </w:p>
    <w:bookmarkStart w:id="9" w:name="baseline-on-the-untouched-tree"/>
    <w:p>
      <w:pPr>
        <w:pStyle w:val="Heading3"/>
      </w:pPr>
      <w:r>
        <w:t xml:space="preserve">1.1 Baseline, on the untouched tree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612"/>
        <w:gridCol w:w="5799"/>
      </w:tblGrid>
      <w:tr>
        <w:trPr>
          <w:cantSplit/>
          <w:tblHeader/>
        </w:trPr>
        <w:tc>
          <w:tcPr>
            <w:tcW w:w="3612" w:type="dxa"/>
          </w:tcPr>
          <w:p>
            <w:pPr>
              <w:pStyle w:val="Compact"/>
            </w:pPr>
            <w:r>
              <w:t xml:space="preserve">Command</w:t>
            </w:r>
          </w:p>
        </w:tc>
        <w:tc>
          <w:tcPr>
            <w:tcW w:w="5799" w:type="dxa"/>
          </w:tcPr>
          <w:p>
            <w:pPr>
              <w:pStyle w:val="Compact"/>
            </w:pPr>
            <w:r>
              <w:t xml:space="preserve">Result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tools/emit_all.py --cached</w:t>
            </w:r>
          </w:p>
        </w:tc>
        <w:tc>
          <w:tcPr>
            <w:tcW w:w="579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run.</w:t>
            </w:r>
            <w:r>
              <w:t xml:space="preserve"> </w:t>
            </w:r>
            <w:r>
              <w:t xml:space="preserve">0 violations, 145 of 145 nets connected, 3 745 segments, 552 vias, minimum clearances 0.260 / 0.285 / 0.285 / 0.275 mm. Every text output reproduced</w:t>
            </w:r>
            <w:r>
              <w:t xml:space="preserve"> </w:t>
            </w:r>
            <w:r>
              <w:rPr>
                <w:b/>
                <w:bCs/>
              </w:rPr>
              <w:t xml:space="preserve">byte for byte</w:t>
            </w:r>
            <w:r>
              <w:t xml:space="preserve"> </w:t>
            </w:r>
            <w:r>
              <w:t xml:space="preserve">against the committed files; only the PNG, PDF and zip outputs differed, on embedded timestamps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tools/simulate_production.py</w:t>
            </w:r>
          </w:p>
        </w:tc>
        <w:tc>
          <w:tcPr>
            <w:tcW w:w="579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run.</w:t>
            </w:r>
            <w:r>
              <w:t xml:space="preserve"> </w:t>
            </w:r>
            <w:r>
              <w:t xml:space="preserve">186 passed, 0 failed, 5 open –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193 / 0 / 6 the register stated. See 2.1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kicad-cli --version</w:t>
            </w:r>
          </w:p>
        </w:tc>
        <w:tc>
          <w:tcPr>
            <w:tcW w:w="579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RUN.</w:t>
            </w:r>
            <w:r>
              <w:t xml:space="preserve"> </w:t>
            </w:r>
            <w:r>
              <w:t xml:space="preserve">KiCad is not installed on this machine and could not be installed. No ERC and no DRC result is claimed anywhere in this work</w:t>
            </w:r>
          </w:p>
        </w:tc>
      </w:tr>
    </w:tbl>
    <w:p>
      <w:pPr>
        <w:pStyle w:val="BodyText"/>
      </w:pPr>
      <w:r>
        <w:t xml:space="preserve">Four Python packages had to be installed before anything would run at all:</w:t>
      </w:r>
      <w:r>
        <w:t xml:space="preserve"> </w:t>
      </w:r>
      <w:r>
        <w:rPr>
          <w:rStyle w:val="VerbatimChar"/>
        </w:rPr>
        <w:t xml:space="preserve">shapely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(present) and</w:t>
      </w:r>
      <w:r>
        <w:t xml:space="preserve"> </w:t>
      </w:r>
      <w:r>
        <w:rPr>
          <w:rStyle w:val="VerbatimChar"/>
        </w:rPr>
        <w:t xml:space="preserve">trimesh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cadquery</w:t>
      </w:r>
      <w:r>
        <w:rPr>
          <w:b/>
          <w:bCs/>
        </w:rPr>
        <w:t xml:space="preserve"> </w:t>
      </w:r>
      <w:r>
        <w:rPr>
          <w:b/>
          <w:bCs/>
        </w:rPr>
        <w:t xml:space="preserve">could not be installed</w:t>
      </w:r>
      <w:r>
        <w:t xml:space="preserve">: the</w:t>
      </w:r>
      <w:r>
        <w:t xml:space="preserve"> </w:t>
      </w:r>
      <w:r>
        <w:t xml:space="preserve">machine had 472 MB of free disk and</w:t>
      </w:r>
      <w:r>
        <w:t xml:space="preserve"> </w:t>
      </w:r>
      <w:r>
        <w:rPr>
          <w:rStyle w:val="VerbatimChar"/>
        </w:rPr>
        <w:t xml:space="preserve">cadquery-ocp</w:t>
      </w:r>
      <w:r>
        <w:t xml:space="preserve"> </w:t>
      </w:r>
      <w:r>
        <w:t xml:space="preserve">needs several times that.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 </w:t>
      </w:r>
      <w:r>
        <w:t xml:space="preserve">imports cadquery at module scope, so it cannot even be imported here, and</w:t>
      </w:r>
      <w:r>
        <w:t xml:space="preserve"> </w:t>
      </w:r>
      <w:r>
        <w:rPr>
          <w:b/>
          <w:bCs/>
        </w:rPr>
        <w:t xml:space="preserve">no printed part was</w:t>
      </w:r>
      <w:r>
        <w:rPr>
          <w:b/>
          <w:bCs/>
        </w:rPr>
        <w:t xml:space="preserve"> </w:t>
      </w:r>
      <w:r>
        <w:rPr>
          <w:b/>
          <w:bCs/>
        </w:rPr>
        <w:t xml:space="preserve">regenerated in this work</w:t>
      </w:r>
      <w:r>
        <w:t xml:space="preserve">.</w:t>
      </w:r>
    </w:p>
    <w:bookmarkEnd w:id="9"/>
    <w:bookmarkStart w:id="10" w:name="Xcb0f792d4fa9a7c8fed0f917cac150af9d9e657"/>
    <w:p>
      <w:pPr>
        <w:pStyle w:val="Heading3"/>
      </w:pPr>
      <w:r>
        <w:t xml:space="preserve">1.2 The Rev B geometry under the new rule set</w:t>
      </w:r>
    </w:p>
    <w:p>
      <w:pPr>
        <w:pStyle w:val="FirstParagraph"/>
      </w:pPr>
      <w:r>
        <w:rPr>
          <w:rStyle w:val="VerbatimChar"/>
        </w:rPr>
        <w:t xml:space="preserve">tools/grade_revb.py</w:t>
      </w:r>
      <w:r>
        <w:t xml:space="preserve">, on the released</w:t>
      </w:r>
      <w:r>
        <w:t xml:space="preserve"> </w:t>
      </w:r>
      <w:r>
        <w:rPr>
          <w:rStyle w:val="VerbatimChar"/>
        </w:rPr>
        <w:t xml:space="preserve">kicad/EEG-CAR-01_RevB_routed.kicad_pcb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tools/routed.pkl</w:t>
      </w:r>
      <w:r>
        <w:t xml:space="preserve">, census checked first (3 745 segments, 552 vias):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2382"/>
        <w:gridCol w:w="4212"/>
        <w:gridCol w:w="2817"/>
      </w:tblGrid>
      <w:tr>
        <w:trPr>
          <w:cantSplit/>
          <w:tblHeader/>
        </w:trPr>
        <w:tc>
          <w:tcPr>
            <w:tcW w:w="2382" w:type="dxa"/>
          </w:tcPr>
          <w:p>
            <w:pPr>
              <w:pStyle w:val="Compact"/>
            </w:pPr>
            <w:r>
              <w:t xml:space="preserve">Finding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Rule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vias inside an SMD pad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67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2a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dangling track ends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2b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redundant copper loops outside a plane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221</w:t>
            </w:r>
            <w:r>
              <w:t xml:space="preserve">, on 22 nets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angle below 90 degrees between two segments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171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segments off a 0/45/90/135 degree axis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158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off-centre pad entries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299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conductors under their class minimum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322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net classes on a forbidden layer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212" w:type="dxa"/>
          </w:tcPr>
          <w:p>
            <w:pPr>
              <w:pStyle w:val="Compact"/>
            </w:pPr>
            <w:r>
              <w:t xml:space="preserve">vias on a class that forbids them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pStyle w:val="Compact"/>
            </w:pPr>
          </w:p>
        </w:tc>
        <w:tc>
          <w:tcPr>
            <w:tcW w:w="421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28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1 311</w:t>
            </w:r>
          </w:p>
        </w:tc>
      </w:tr>
    </w:tbl>
    <w:p>
      <w:pPr>
        <w:pStyle w:val="BodyText"/>
      </w:pPr>
      <w:r>
        <w:t xml:space="preserve">The Rev B DRC report is</w:t>
      </w:r>
      <w:r>
        <w:t xml:space="preserve"> </w:t>
      </w:r>
      <w:r>
        <w:rPr>
          <w:b/>
          <w:bCs/>
        </w:rPr>
        <w:t xml:space="preserve">not withdrawn</w:t>
      </w:r>
      <w:r>
        <w:t xml:space="preserve">. It measured the twelve rules it had, correctly.</w:t>
      </w:r>
    </w:p>
    <w:p>
      <w:pPr>
        <w:pStyle w:val="BodyText"/>
      </w:pPr>
      <w:r>
        <w:t xml:space="preserve">Two counts in</w:t>
      </w:r>
      <w:r>
        <w:t xml:space="preserve"> </w:t>
      </w:r>
      <w:r>
        <w:rPr>
          <w:rStyle w:val="VerbatimChar"/>
        </w:rPr>
        <w:t xml:space="preserve">tools/drc_geometry.py</w:t>
      </w:r>
      <w:r>
        <w:t xml:space="preserve"> </w:t>
      </w:r>
      <w:r>
        <w:t xml:space="preserve">were wrong before they were right, and both are recorded</w:t>
      </w:r>
      <w:r>
        <w:t xml:space="preserve"> </w:t>
      </w:r>
      <w:r>
        <w:t xml:space="preserve">in the source rather than quietly fixed. The loop check first modelled copper as touching</w:t>
      </w:r>
      <w:r>
        <w:t xml:space="preserve"> </w:t>
      </w:r>
      <w:r>
        <w:t xml:space="preserve">polygons and reported</w:t>
      </w:r>
      <w:r>
        <w:t xml:space="preserve"> </w:t>
      </w:r>
      <w:r>
        <w:rPr>
          <w:b/>
          <w:bCs/>
        </w:rPr>
        <w:t xml:space="preserve">3 356</w:t>
      </w:r>
      <w:r>
        <w:t xml:space="preserve"> </w:t>
      </w:r>
      <w:r>
        <w:t xml:space="preserve">loops, where three mutually touching polygons are not a loop;</w:t>
      </w:r>
      <w:r>
        <w:t xml:space="preserve"> </w:t>
      </w:r>
      <w:r>
        <w:t xml:space="preserve">re-modelled topologically – junctions as nodes, segments as edges, T-junctions split – it</w:t>
      </w:r>
      <w:r>
        <w:t xml:space="preserve"> </w:t>
      </w:r>
      <w:r>
        <w:t xml:space="preserve">reported</w:t>
      </w:r>
      <w:r>
        <w:t xml:space="preserve"> </w:t>
      </w:r>
      <w:r>
        <w:rPr>
          <w:b/>
          <w:bCs/>
        </w:rPr>
        <w:t xml:space="preserve">476</w:t>
      </w:r>
      <w:r>
        <w:t xml:space="preserve">; excluding degenerate edges, where a segment’s two ends land on the same via,</w:t>
      </w:r>
      <w:r>
        <w:t xml:space="preserve"> </w:t>
      </w:r>
      <w:r>
        <w:t xml:space="preserve">it reports</w:t>
      </w:r>
      <w:r>
        <w:t xml:space="preserve"> </w:t>
      </w:r>
      <w:r>
        <w:rPr>
          <w:b/>
          <w:bCs/>
        </w:rPr>
        <w:t xml:space="preserve">221</w:t>
      </w:r>
      <w:r>
        <w:t xml:space="preserve">. The first two numbers are wrong and are not quoted anywhere else.</w:t>
      </w:r>
    </w:p>
    <w:bookmarkEnd w:id="10"/>
    <w:bookmarkStart w:id="11" w:name="the-schematic-against-the-design-source"/>
    <w:p>
      <w:pPr>
        <w:pStyle w:val="Heading3"/>
      </w:pPr>
      <w:r>
        <w:t xml:space="preserve">1.3 The schematic against the design source</w:t>
      </w:r>
    </w:p>
    <w:p>
      <w:pPr>
        <w:pStyle w:val="FirstParagraph"/>
      </w:pPr>
      <w:r>
        <w:rPr>
          <w:rStyle w:val="VerbatimChar"/>
        </w:rPr>
        <w:t xml:space="preserve">tools/sch_netlist.py</w:t>
      </w:r>
      <w:r>
        <w:t xml:space="preserve"> </w:t>
      </w:r>
      <w:r>
        <w:t xml:space="preserve">parses the emitted</w:t>
      </w:r>
      <w:r>
        <w:t xml:space="preserve"> </w:t>
      </w:r>
      <w:r>
        <w:rPr>
          <w:rStyle w:val="VerbatimChar"/>
        </w:rPr>
        <w:t xml:space="preserve">.kicad_sch</w:t>
      </w:r>
      <w:r>
        <w:t xml:space="preserve"> </w:t>
      </w:r>
      <w:r>
        <w:t xml:space="preserve">files back – pin geometry from their own</w:t>
      </w:r>
      <w:r>
        <w:t xml:space="preserve"> </w:t>
      </w:r>
      <w:r>
        <w:t xml:space="preserve">embedded</w:t>
      </w:r>
      <w:r>
        <w:t xml:space="preserve"> </w:t>
      </w:r>
      <w:r>
        <w:rPr>
          <w:rStyle w:val="VerbatimChar"/>
        </w:rPr>
        <w:t xml:space="preserve">lib_symbols</w:t>
      </w:r>
      <w:r>
        <w:t xml:space="preserve">, wires, junctions, labels, hierarchical labels, power symbols – and</w:t>
      </w:r>
      <w:r>
        <w:t xml:space="preserve"> </w:t>
      </w:r>
      <w:r>
        <w:t xml:space="preserve">diffs. It does not ask the generator what it meant.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449"/>
        <w:gridCol w:w="2980"/>
        <w:gridCol w:w="2982"/>
      </w:tblGrid>
      <w:tr>
        <w:trPr>
          <w:cantSplit/>
          <w:tblHeader/>
        </w:trPr>
        <w:tc>
          <w:tcPr>
            <w:tcW w:w="3449" w:type="dxa"/>
          </w:tcPr>
          <w:p>
            <w:pPr>
              <w:pStyle w:val="Compact"/>
            </w:pPr>
          </w:p>
        </w:tc>
        <w:tc>
          <w:tcPr>
            <w:tcW w:w="298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design.py</w:t>
            </w:r>
          </w:p>
        </w:tc>
        <w:tc>
          <w:tcPr>
            <w:tcW w:w="2982" w:type="dxa"/>
          </w:tcPr>
          <w:p>
            <w:pPr>
              <w:pStyle w:val="Compact"/>
            </w:pPr>
            <w:r>
              <w:t xml:space="preserve">schematic</w:t>
            </w:r>
          </w:p>
        </w:tc>
      </w:tr>
      <w:tr>
        <w:trPr>
          <w:cantSplit/>
        </w:trPr>
        <w:tc>
          <w:tcPr>
            <w:tcW w:w="3449" w:type="dxa"/>
          </w:tcPr>
          <w:p>
            <w:pPr>
              <w:pStyle w:val="Compact"/>
            </w:pPr>
            <w:r>
              <w:t xml:space="preserve">nets</w:t>
            </w:r>
          </w:p>
        </w:tc>
        <w:tc>
          <w:tcPr>
            <w:tcW w:w="2980" w:type="dxa"/>
          </w:tcPr>
          <w:p>
            <w:pPr>
              <w:pStyle w:val="Compact"/>
            </w:pPr>
            <w:r>
              <w:t xml:space="preserve">156</w:t>
            </w:r>
          </w:p>
        </w:tc>
        <w:tc>
          <w:tcPr>
            <w:tcW w:w="298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156</w:t>
            </w:r>
          </w:p>
        </w:tc>
      </w:tr>
      <w:tr>
        <w:trPr>
          <w:cantSplit/>
        </w:trPr>
        <w:tc>
          <w:tcPr>
            <w:tcW w:w="3449" w:type="dxa"/>
          </w:tcPr>
          <w:p>
            <w:pPr>
              <w:pStyle w:val="Compact"/>
            </w:pPr>
            <w:r>
              <w:t xml:space="preserve">pins</w:t>
            </w:r>
          </w:p>
        </w:tc>
        <w:tc>
          <w:tcPr>
            <w:tcW w:w="2980" w:type="dxa"/>
          </w:tcPr>
          <w:p>
            <w:pPr>
              <w:pStyle w:val="Compact"/>
            </w:pPr>
            <w:r>
              <w:t xml:space="preserve">614</w:t>
            </w:r>
          </w:p>
        </w:tc>
        <w:tc>
          <w:tcPr>
            <w:tcW w:w="298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614</w:t>
            </w:r>
          </w:p>
        </w:tc>
      </w:tr>
      <w:tr>
        <w:trPr>
          <w:cantSplit/>
        </w:trPr>
        <w:tc>
          <w:tcPr>
            <w:tcW w:w="3449" w:type="dxa"/>
          </w:tcPr>
          <w:p>
            <w:pPr>
              <w:pStyle w:val="Compact"/>
            </w:pPr>
            <w:r>
              <w:t xml:space="preserve">structural problems</w:t>
            </w:r>
          </w:p>
        </w:tc>
        <w:tc>
          <w:tcPr>
            <w:tcW w:w="298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98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rPr>
          <w:cantSplit/>
        </w:trPr>
        <w:tc>
          <w:tcPr>
            <w:tcW w:w="3449" w:type="dxa"/>
          </w:tcPr>
          <w:p>
            <w:pPr>
              <w:pStyle w:val="Compact"/>
            </w:pPr>
            <w:r>
              <w:t xml:space="preserve">netlist differences</w:t>
            </w:r>
          </w:p>
        </w:tc>
        <w:tc>
          <w:tcPr>
            <w:tcW w:w="298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98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It found four real errors on its first run: R50, R51, R52 and R94 were wired by geometry rather</w:t>
      </w:r>
      <w:r>
        <w:t xml:space="preserve"> </w:t>
      </w:r>
      <w:r>
        <w:t xml:space="preserve">than by pin number and had pin 2 where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has pin 1, and R94/R95 were drawn as a</w:t>
      </w:r>
      <w:r>
        <w:t xml:space="preserve"> </w:t>
      </w:r>
      <w:r>
        <w:t xml:space="preserve">divider instead of two I2C pull-ups. A resistor is symmetric, so the circuit was right and the</w:t>
      </w:r>
      <w:r>
        <w:t xml:space="preserve"> </w:t>
      </w:r>
      <w:r>
        <w:t xml:space="preserve">netlist was wrong. Both are fixed and the helper that caused it now wires by pin number.</w:t>
      </w:r>
    </w:p>
    <w:bookmarkEnd w:id="11"/>
    <w:bookmarkStart w:id="12" w:name="erc-drc-and-the-collision-check"/>
    <w:p>
      <w:pPr>
        <w:pStyle w:val="Heading3"/>
      </w:pPr>
      <w:r>
        <w:t xml:space="preserve">1.4 ERC, DRC and the collision check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976"/>
        <w:gridCol w:w="5435"/>
      </w:tblGrid>
      <w:tr>
        <w:trPr>
          <w:cantSplit/>
          <w:tblHeader/>
        </w:trPr>
        <w:tc>
          <w:tcPr>
            <w:tcW w:w="3976" w:type="dxa"/>
          </w:tcPr>
          <w:p>
            <w:pPr>
              <w:pStyle w:val="Compact"/>
            </w:pPr>
            <w:r>
              <w:t xml:space="preserve">Check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t xml:space="preserve">State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kicad-cli sch erc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RUN.</w:t>
            </w:r>
            <w:r>
              <w:t xml:space="preserve"> </w:t>
            </w:r>
            <w:r>
              <w:t xml:space="preserve">KiCad is not installed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kicad-cli pcb drc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RUN.</w:t>
            </w:r>
            <w:r>
              <w:t xml:space="preserve"> </w:t>
            </w:r>
            <w:r>
              <w:t xml:space="preserve">Same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t xml:space="preserve">structural ERC (</w:t>
            </w:r>
            <w:r>
              <w:rPr>
                <w:rStyle w:val="VerbatimChar"/>
              </w:rPr>
              <w:t xml:space="preserve">tools/sch_netlist.py</w:t>
            </w:r>
            <w:r>
              <w:t xml:space="preserve">)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run: 0 findings.</w:t>
            </w:r>
            <w:r>
              <w:t xml:space="preserve"> </w:t>
            </w:r>
            <w:r>
              <w:t xml:space="preserve">Every pin on a net; no designator placed twice and every unit of a multi-unit part placed once; no accidental single-pin net; every power net driven by a power symbol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t xml:space="preserve">board read-back (</w:t>
            </w:r>
            <w:r>
              <w:rPr>
                <w:rStyle w:val="VerbatimChar"/>
              </w:rPr>
              <w:t xml:space="preserve">tools/emit_revc.py</w:t>
            </w:r>
            <w:r>
              <w:t xml:space="preserve">)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run: passes.</w:t>
            </w:r>
            <w:r>
              <w:t xml:space="preserve"> </w:t>
            </w:r>
            <w:r>
              <w:t xml:space="preserve">211 footprints, 636 pads, 156 nets,</w:t>
            </w:r>
            <w:r>
              <w:t xml:space="preserve"> </w:t>
            </w:r>
            <w:r>
              <w:rPr>
                <w:b/>
                <w:bCs/>
              </w:rPr>
              <w:t xml:space="preserve">0 segments, 0 vias</w:t>
            </w:r>
            <w:r>
              <w:t xml:space="preserve">, 37 locked, netlist identical to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, every rule area present under the name the</w:t>
            </w:r>
            <w:r>
              <w:t xml:space="preserve"> </w:t>
            </w:r>
            <w:r>
              <w:rPr>
                <w:rStyle w:val="VerbatimChar"/>
              </w:rPr>
              <w:t xml:space="preserve">.kicad_dru</w:t>
            </w:r>
            <w:r>
              <w:t xml:space="preserve"> </w:t>
            </w:r>
            <w:r>
              <w:t xml:space="preserve">uses, project classes and all 156 assignments complete,</w:t>
            </w:r>
            <w:r>
              <w:t xml:space="preserve"> </w:t>
            </w:r>
            <w:r>
              <w:rPr>
                <w:rStyle w:val="VerbatimChar"/>
              </w:rPr>
              <w:t xml:space="preserve">track_dangling</w:t>
            </w:r>
            <w:r>
              <w:t xml:space="preserve"> </w:t>
            </w:r>
            <w:r>
              <w:t xml:space="preserve">at error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t xml:space="preserve">footprint audit (</w:t>
            </w:r>
            <w:r>
              <w:rPr>
                <w:rStyle w:val="VerbatimChar"/>
              </w:rPr>
              <w:t xml:space="preserve">tools/footprint_audit.py</w:t>
            </w:r>
            <w:r>
              <w:t xml:space="preserve">)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run: 183 PASS, 0 FAIL, 3 OPEN, 0 UNRECOGNISED, 25 fabricated features</w:t>
            </w:r>
            <w:r>
              <w:t xml:space="preserve"> </w:t>
            </w:r>
            <w:r>
              <w:t xml:space="preserve">over all 211 designators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t xml:space="preserve">collision check (</w:t>
            </w:r>
            <w:r>
              <w:rPr>
                <w:rStyle w:val="VerbatimChar"/>
              </w:rPr>
              <w:t xml:space="preserve">tools/collision_check.py</w:t>
            </w:r>
            <w:r>
              <w:t xml:space="preserve">)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run: 15 findings. Three of its four cases are open.</w:t>
            </w:r>
            <w:r>
              <w:t xml:space="preserve"> </w:t>
            </w:r>
            <w:r>
              <w:t xml:space="preserve">See 1.5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.kicad_dru</w:t>
            </w:r>
            <w:r>
              <w:t xml:space="preserve"> </w:t>
            </w:r>
            <w:r>
              <w:t xml:space="preserve">bracket check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run: 37 rules, balanced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t xml:space="preserve">STEP structural check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run: all files closed, no dangling entity reference.</w:t>
            </w:r>
            <w:r>
              <w:t xml:space="preserve"> </w:t>
            </w:r>
            <w:r>
              <w:rPr>
                <w:b/>
                <w:bCs/>
              </w:rPr>
              <w:t xml:space="preserve">No STEP reader was available</w:t>
            </w:r>
            <w:r>
              <w:t xml:space="preserve">, so no CAD kernel has opened them</w:t>
            </w:r>
          </w:p>
        </w:tc>
      </w:tr>
      <w:tr>
        <w:trPr>
          <w:cantSplit/>
        </w:trPr>
        <w:tc>
          <w:tcPr>
            <w:tcW w:w="397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tools/simulate_production.py</w:t>
            </w:r>
            <w:r>
              <w:t xml:space="preserve">, after</w:t>
            </w:r>
          </w:p>
        </w:tc>
        <w:tc>
          <w:tcPr>
            <w:tcW w:w="5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run: 193 passed, 0 failed, 7 open</w:t>
            </w:r>
          </w:p>
        </w:tc>
      </w:tr>
    </w:tbl>
    <w:bookmarkEnd w:id="12"/>
    <w:bookmarkStart w:id="13" w:name="the-collision-check-in-full"/>
    <w:p>
      <w:pPr>
        <w:pStyle w:val="Heading3"/>
      </w:pPr>
      <w:r>
        <w:t xml:space="preserve">1.5 The collision check, in full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900"/>
        <w:gridCol w:w="5511"/>
      </w:tblGrid>
      <w:tr>
        <w:trPr>
          <w:cantSplit/>
          <w:tblHeader/>
        </w:trPr>
        <w:tc>
          <w:tcPr>
            <w:tcW w:w="3900" w:type="dxa"/>
          </w:tcPr>
          <w:p>
            <w:pPr>
              <w:pStyle w:val="Compact"/>
            </w:pPr>
            <w:r>
              <w:t xml:space="preserve">Case</w:t>
            </w:r>
          </w:p>
        </w:tc>
        <w:tc>
          <w:tcPr>
            <w:tcW w:w="5511" w:type="dxa"/>
          </w:tcPr>
          <w:p>
            <w:pPr>
              <w:pStyle w:val="Compact"/>
            </w:pPr>
            <w:r>
              <w:t xml:space="preserve">Result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pStyle w:val="Compact"/>
            </w:pPr>
            <w:r>
              <w:t xml:space="preserve">A – carrier parts against the plate underside</w:t>
            </w:r>
          </w:p>
        </w:tc>
        <w:tc>
          <w:tcPr>
            <w:tcW w:w="551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clear.</w:t>
            </w:r>
            <w:r>
              <w:t xml:space="preserve"> </w:t>
            </w:r>
            <w:r>
              <w:t xml:space="preserve">Tallest is J15 at 10.00 mm against a plate underside at 18.0 mm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pStyle w:val="Compact"/>
            </w:pPr>
            <w:r>
              <w:t xml:space="preserve">B – the DevKit against the plate opening</w:t>
            </w:r>
          </w:p>
        </w:tc>
        <w:tc>
          <w:tcPr>
            <w:tcW w:w="551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OPEN. The opening is 2 mm too short.</w:t>
            </w:r>
            <w:r>
              <w:t xml:space="preserve"> </w:t>
            </w:r>
            <w:r>
              <w:t xml:space="preserve">J6/J7 are 1x22, so the pin span is 53.34 mm and the ESP32-S3-DevKitC-1 PCB is 63.0 mm: it needs carrier Y 3.2 to 66.2 mm and MP-01’s opening runs 4.0 to 65.0 mm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pStyle w:val="Compact"/>
            </w:pPr>
            <w:r>
              <w:t xml:space="preserve">C – modules against each other and jumper reach</w:t>
            </w:r>
          </w:p>
        </w:tc>
        <w:tc>
          <w:tcPr>
            <w:tcW w:w="551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OPEN. Six of twelve cannot be placed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four cannot reach their connector within the 60 mm of ICD-EEG-006 section 3.2 from any position on the plate</w:t>
            </w:r>
            <w:r>
              <w:t xml:space="preserve"> </w:t>
            </w:r>
            <w:r>
              <w:t xml:space="preserve">– M4 to J10 is 86 mm at best, M5 to J11 is 72 mm at best. That 60 mm is a crosstalk limit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pStyle w:val="Compact"/>
            </w:pPr>
            <w:r>
              <w:t xml:space="preserve">D – plan area</w:t>
            </w:r>
          </w:p>
        </w:tc>
        <w:tc>
          <w:tcPr>
            <w:tcW w:w="551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OPEN. 17 356 mm2 of modules into 12 409 mm2 of plate: 140 % fill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Case D does not rest on the assumed envelopes.</w:t>
      </w:r>
      <w:r>
        <w:t xml:space="preserve"> </w:t>
      </w:r>
      <w:r>
        <w:t xml:space="preserve">The two ADS1299 boards alone are 7 345 mm2,</w:t>
      </w:r>
      <w:r>
        <w:t xml:space="preserve"> </w:t>
      </w:r>
      <w:r>
        <w:rPr>
          <w:b/>
          <w:bCs/>
        </w:rPr>
        <w:t xml:space="preserve">59 % of the net usable plate</w:t>
      </w:r>
      <w:r>
        <w:t xml:space="preserve">, and that figure is the Raspberry Pi HAT mechanical standard</w:t>
      </w:r>
      <w:r>
        <w:t xml:space="preserve"> </w:t>
      </w:r>
      <w:r>
        <w:t xml:space="preserve">rather than a guess: the PiEEG-8 is a Pi shield.</w:t>
      </w:r>
      <w:r>
        <w:t xml:space="preserve"> </w:t>
      </w:r>
      <w:r>
        <w:rPr>
          <w:b/>
          <w:bCs/>
        </w:rPr>
        <w:t xml:space="preserve">Halving every other envelope still leaves</w:t>
      </w:r>
      <w:r>
        <w:rPr>
          <w:b/>
          <w:bCs/>
        </w:rPr>
        <w:t xml:space="preserve"> </w:t>
      </w:r>
      <w:r>
        <w:rPr>
          <w:b/>
          <w:bCs/>
        </w:rPr>
        <w:t xml:space="preserve">12 351 mm2 against 12 409 mm2.</w:t>
      </w:r>
    </w:p>
    <w:bookmarkEnd w:id="13"/>
    <w:bookmarkStart w:id="14" w:name="reproducibility"/>
    <w:p>
      <w:pPr>
        <w:pStyle w:val="Heading3"/>
      </w:pPr>
      <w:r>
        <w:t xml:space="preserve">1.6 Reproducibility</w:t>
      </w:r>
    </w:p>
    <w:p>
      <w:pPr>
        <w:pStyle w:val="FirstParagraph"/>
      </w:pPr>
      <w:r>
        <w:t xml:space="preserve">Two consecutive runs of</w:t>
      </w:r>
      <w:r>
        <w:t xml:space="preserve"> </w:t>
      </w:r>
      <w:r>
        <w:rPr>
          <w:rStyle w:val="VerbatimChar"/>
        </w:rPr>
        <w:t xml:space="preserve">tools/emit_all.py</w:t>
      </w:r>
      <w:r>
        <w:t xml:space="preserve"> </w:t>
      </w:r>
      <w:r>
        <w:t xml:space="preserve">produce</w:t>
      </w:r>
      <w:r>
        <w:t xml:space="preserve"> </w:t>
      </w:r>
      <w:r>
        <w:rPr>
          <w:b/>
          <w:bCs/>
        </w:rPr>
        <w:t xml:space="preserve">byte-identical SHA-256 checksums across</w:t>
      </w:r>
      <w:r>
        <w:rPr>
          <w:b/>
          <w:bCs/>
        </w:rPr>
        <w:t xml:space="preserve"> </w:t>
      </w:r>
      <w:r>
        <w:rPr>
          <w:b/>
          <w:bCs/>
        </w:rPr>
        <w:t xml:space="preserve">all 51 files</w:t>
      </w:r>
      <w:r>
        <w:t xml:space="preserve"> </w:t>
      </w:r>
      <w:r>
        <w:t xml:space="preserve">of the handover set. Every uuid in the schematic is uuid5 over a fixed</w:t>
      </w:r>
      <w:r>
        <w:t xml:space="preserve"> </w:t>
      </w:r>
      <w:r>
        <w:t xml:space="preserve">namespace, so a regeneration is diffable against the last one.</w:t>
      </w:r>
    </w:p>
    <w:p>
      <w:r>
        <w:pict>
          <v:rect style="width:0;height:1.5pt" ns2:hralign="center" ns2:hrstd="t" ns2:hr="t"/>
        </w:pict>
      </w:r>
    </w:p>
    <w:bookmarkEnd w:id="14"/>
    <w:bookmarkEnd w:id="15"/>
    <w:bookmarkStart w:id="16" w:name="X5a4735264ddc270dd1c5f62d4a4fb67a632ea69"/>
    <w:p>
      <w:pPr>
        <w:pStyle w:val="Heading2"/>
      </w:pPr>
      <w:r>
        <w:t xml:space="preserve">2. Where the repository contradicted the brief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721"/>
        <w:gridCol w:w="3202"/>
        <w:gridCol w:w="4488"/>
      </w:tblGrid>
      <w:tr>
        <w:trPr>
          <w:cantSplit/>
          <w:tblHeader/>
        </w:trPr>
        <w:tc>
          <w:tcPr>
            <w:tcW w:w="1721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The brief said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t xml:space="preserve">The repository says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the simulator’s last run was</w:t>
            </w:r>
            <w:r>
              <w:t xml:space="preserve"> </w:t>
            </w:r>
            <w:r>
              <w:rPr>
                <w:b/>
                <w:bCs/>
              </w:rPr>
              <w:t xml:space="preserve">193 passed, 0 failed, 6 open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t xml:space="preserve">On this machine the untouched tree printed</w:t>
            </w:r>
            <w:r>
              <w:t xml:space="preserve"> </w:t>
            </w:r>
            <w:r>
              <w:rPr>
                <w:b/>
                <w:bCs/>
              </w:rPr>
              <w:t xml:space="preserve">186 / 0 / 5</w:t>
            </w:r>
            <w:r>
              <w:t xml:space="preserve">. Six checks need</w:t>
            </w:r>
            <w:r>
              <w:t xml:space="preserve"> </w:t>
            </w:r>
            <w:r>
              <w:rPr>
                <w:rStyle w:val="VerbatimChar"/>
              </w:rPr>
              <w:t xml:space="preserve">cadquery</w:t>
            </w:r>
            <w:r>
              <w:t xml:space="preserve"> </w:t>
            </w:r>
            <w:r>
              <w:t xml:space="preserve">and one open item needs</w:t>
            </w:r>
            <w:r>
              <w:t xml:space="preserve"> </w:t>
            </w:r>
            <w:r>
              <w:rPr>
                <w:rStyle w:val="VerbatimChar"/>
              </w:rPr>
              <w:t xml:space="preserve">trimesh</w:t>
            </w:r>
            <w:r>
              <w:t xml:space="preserve">; installing</w:t>
            </w:r>
            <w:r>
              <w:t xml:space="preserve"> </w:t>
            </w:r>
            <w:r>
              <w:rPr>
                <w:rStyle w:val="VerbatimChar"/>
              </w:rPr>
              <w:t xml:space="preserve">trimesh</w:t>
            </w:r>
            <w:r>
              <w:t xml:space="preserve"> </w:t>
            </w:r>
            <w:r>
              <w:t xml:space="preserve">gave 187 / 0 / 6, and</w:t>
            </w:r>
            <w:r>
              <w:t xml:space="preserve"> </w:t>
            </w:r>
            <w:r>
              <w:rPr>
                <w:rStyle w:val="VerbatimChar"/>
              </w:rPr>
              <w:t xml:space="preserve">cadquery</w:t>
            </w:r>
            <w:r>
              <w:t xml:space="preserve"> </w:t>
            </w:r>
            <w:r>
              <w:t xml:space="preserve">could not be installed.</w:t>
            </w:r>
            <w:r>
              <w:t xml:space="preserve"> </w:t>
            </w:r>
            <w:r>
              <w:rPr>
                <w:b/>
                <w:bCs/>
              </w:rPr>
              <w:t xml:space="preserve">The register’s 193 was obtained on a machine with cadquery.</w:t>
            </w:r>
            <w:r>
              <w:t xml:space="preserve"> </w:t>
            </w:r>
            <w:r>
              <w:t xml:space="preserve">The run behind this work prints</w:t>
            </w:r>
            <w:r>
              <w:t xml:space="preserve"> </w:t>
            </w:r>
            <w:r>
              <w:rPr>
                <w:b/>
                <w:bCs/>
              </w:rPr>
              <w:t xml:space="preserve">193 / 0 / 7</w:t>
            </w:r>
            <w:r>
              <w:t xml:space="preserve"> </w:t>
            </w:r>
            <w:r>
              <w:t xml:space="preserve">and is</w:t>
            </w:r>
            <w:r>
              <w:t xml:space="preserve"> </w:t>
            </w:r>
            <w:r>
              <w:rPr>
                <w:i/>
                <w:iCs/>
              </w:rPr>
              <w:t xml:space="preserve">not the same 193</w:t>
            </w:r>
            <w:r>
              <w:t xml:space="preserve">: six checks were added and six lost, and they cancel. A machine with cadquery would print</w:t>
            </w:r>
            <w:r>
              <w:t xml:space="preserve"> </w:t>
            </w:r>
            <w:r>
              <w:rPr>
                <w:b/>
                <w:bCs/>
              </w:rPr>
              <w:t xml:space="preserve">199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“four op-amp packages moving from SOIC to TSSOP”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Three.</w:t>
            </w:r>
            <w:r>
              <w:t xml:space="preserve"> </w:t>
            </w:r>
            <w:r>
              <w:t xml:space="preserve">U1, U2 and U3. There is no U4; U7 is the SOT-23-5 comparator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the Murata part number should be corrected</w:t>
            </w:r>
            <w:r>
              <w:t xml:space="preserve"> </w:t>
            </w:r>
            <w:r>
              <w:t xml:space="preserve">“if it does not encode 600 Ω”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t xml:space="preserve">The part number</w:t>
            </w:r>
            <w:r>
              <w:t xml:space="preserve"> </w:t>
            </w:r>
            <w:r>
              <w:rPr>
                <w:b/>
                <w:bCs/>
              </w:rPr>
              <w:t xml:space="preserve">does</w:t>
            </w:r>
            <w:r>
              <w:t xml:space="preserve"> </w:t>
            </w:r>
            <w:r>
              <w:t xml:space="preserve">encode 600 Ω – Murata’s own numbering page reads the three figures as two significant digits and a count of zeros, so</w:t>
            </w:r>
            <w:r>
              <w:t xml:space="preserve"> </w:t>
            </w:r>
            <w:r>
              <w:rPr>
                <w:rStyle w:val="VerbatimChar"/>
              </w:rPr>
              <w:t xml:space="preserve">601</w:t>
            </w:r>
            <w:r>
              <w:t xml:space="preserve"> </w:t>
            </w:r>
            <w:r>
              <w:t xml:space="preserve">is 600 Ω. The reviewer’s reading was wrong.</w:t>
            </w:r>
            <w:r>
              <w:t xml:space="preserve"> </w:t>
            </w:r>
            <w:r>
              <w:rPr>
                <w:b/>
                <w:bCs/>
              </w:rPr>
              <w:t xml:space="preserve">The defect is elsewhere and is real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is the large-current series and it is not made at 600 Ω in 1608, whose range stops at 470 Ω.</w:t>
            </w:r>
            <w:r>
              <w:t xml:space="preserve"> </w:t>
            </w:r>
            <w:r>
              <w:rPr>
                <w:rStyle w:val="VerbatimChar"/>
              </w:rPr>
              <w:t xml:space="preserve">BLM18PG601SN1D</w:t>
            </w:r>
            <w:r>
              <w:t xml:space="preserve"> </w:t>
            </w:r>
            <w:r>
              <w:t xml:space="preserve">is not a part. Corrected to</w:t>
            </w:r>
            <w:r>
              <w:t xml:space="preserve"> </w:t>
            </w:r>
            <w:r>
              <w:rPr>
                <w:rStyle w:val="VerbatimChar"/>
              </w:rPr>
              <w:t xml:space="preserve">BLM18AG601SN1D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three BOM errors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Four.</w:t>
            </w:r>
            <w:r>
              <w:t xml:space="preserve"> </w:t>
            </w:r>
            <w:r>
              <w:rPr>
                <w:rStyle w:val="VerbatimChar"/>
              </w:rPr>
              <w:t xml:space="preserve">Omron B3F-4055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12 x 12 mm</w:t>
            </w:r>
            <w:r>
              <w:t xml:space="preserve"> </w:t>
            </w:r>
            <w:r>
              <w:t xml:space="preserve">switch on a 6 x 6 mm land pattern, and at 260 gf it also misses AVL-EEG-017’s own 160 ± 50 gf window. Found by the audit the brief asked for, not by any reviewer. Corrected to</w:t>
            </w:r>
            <w:r>
              <w:t xml:space="preserve"> </w:t>
            </w:r>
            <w:r>
              <w:rPr>
                <w:rStyle w:val="VerbatimChar"/>
              </w:rPr>
              <w:t xml:space="preserve">B3F-1052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ICD-EEG-006 section 1 is the one home of the connector table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Four of its coordinates disagreed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design.py</w:t>
            </w:r>
            <w:r>
              <w:t xml:space="preserve">: J4 (41.0, 36.0 against 41.0, 50.0), J9 (66.0, 78.0 against 114.0, 62.0), J22 (30.0, 116.0 at 90° against 15.7, 73.5 at 270°) and J26 (128.0, 104.0 against 117.0, 8.0). Two moved at ECO-EEG-018 and the table never followed.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governs; the table is corrected and RUL-EEG-021 ruling 6 is added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carries 68 kΩ (ECO-EEG-024)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value</w:t>
            </w:r>
            <w:r>
              <w:t xml:space="preserve"> </w:t>
            </w:r>
            <w:r>
              <w:t xml:space="preserve">did.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, which are printed onto the fabrication and assembly drawings, still said</w:t>
            </w:r>
            <w:r>
              <w:t xml:space="preserve"> </w:t>
            </w:r>
            <w:r>
              <w:rPr>
                <w:b/>
                <w:bCs/>
              </w:rPr>
              <w:t xml:space="preserve">47 kΩ</w:t>
            </w:r>
            <w:r>
              <w:t xml:space="preserve">; also said the analogue rails arrive at</w:t>
            </w:r>
            <w:r>
              <w:t xml:space="preserve"> </w:t>
            </w:r>
            <w:r>
              <w:t xml:space="preserve">“J2 pins 11-14”</w:t>
            </w:r>
            <w:r>
              <w:t xml:space="preserve">, where J2 has ten ways and they arrive at J23; and said the keep-outs are clear</w:t>
            </w:r>
            <w:r>
              <w:t xml:space="preserve"> </w:t>
            </w:r>
            <w:r>
              <w:t xml:space="preserve">“on both layers”</w:t>
            </w:r>
            <w:r>
              <w:t xml:space="preserve"> </w:t>
            </w:r>
            <w:r>
              <w:t xml:space="preserve">on a four-layer board. All three corrected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emit</w:t>
            </w:r>
            <w:r>
              <w:t xml:space="preserve"> </w:t>
            </w:r>
            <w:r>
              <w:rPr>
                <w:rStyle w:val="VerbatimChar"/>
              </w:rPr>
              <w:t xml:space="preserve">kicad/EEG-CAR-01_RevC_unrouted.kicad_pcb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EEG-CAR-01_RevC.kicad_pro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Those two names are incompatible.</w:t>
            </w:r>
            <w:r>
              <w:t xml:space="preserve"> </w:t>
            </w:r>
            <w:r>
              <w:t xml:space="preserve">A KiCad project expects its board to share the project’s stem; a differently named board opens standalone, without the net classes, the 156 assignments or the DRC severities. The board is</w:t>
            </w:r>
            <w:r>
              <w:t xml:space="preserve"> </w:t>
            </w:r>
            <w:r>
              <w:rPr>
                <w:rStyle w:val="VerbatimChar"/>
              </w:rPr>
              <w:t xml:space="preserve">EEG-CAR-01_RevC.kicad_pcb</w:t>
            </w:r>
            <w:r>
              <w:t xml:space="preserve">. See open question 1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the rule sheet is</w:t>
            </w:r>
            <w:r>
              <w:t xml:space="preserve"> </w:t>
            </w:r>
            <w:r>
              <w:rPr>
                <w:b/>
                <w:bCs/>
              </w:rPr>
              <w:t xml:space="preserve">one page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three</w:t>
            </w:r>
            <w:r>
              <w:t xml:space="preserve">. See open question 2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five release-state paragraphs say</w:t>
            </w:r>
            <w:r>
              <w:t xml:space="preserve"> </w:t>
            </w:r>
            <w:r>
              <w:t xml:space="preserve">“released for review”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Sixteen documents did</w:t>
            </w:r>
            <w:r>
              <w:t xml:space="preserve">, sixty-two occurrences. The five named are corrected, and so are the other six live statements in the four documents this round re-issued. Eight documents it did not re-issue still carry it. See open question 3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202" w:type="dxa"/>
          </w:tcPr>
          <w:p>
            <w:pPr>
              <w:pStyle w:val="Compact"/>
            </w:pPr>
            <w:r>
              <w:t xml:space="preserve">the DRC report is the authority for the routed result</w:t>
            </w:r>
          </w:p>
        </w:tc>
        <w:tc>
          <w:tcPr>
            <w:tcW w:w="4488" w:type="dxa"/>
          </w:tcPr>
          <w:p>
            <w:pPr>
              <w:pStyle w:val="Compact"/>
            </w:pPr>
            <w:r>
              <w:t xml:space="preserve">It is, and it is authoritative</w:t>
            </w:r>
            <w:r>
              <w:t xml:space="preserve"> </w:t>
            </w:r>
            <w:r>
              <w:rPr>
                <w:b/>
                <w:bCs/>
              </w:rPr>
              <w:t xml:space="preserve">about the rule set it had</w:t>
            </w:r>
            <w:r>
              <w:t xml:space="preserve">. RUL-EEG-021 ruling 5 now says that a DRC report states the rule set it measured against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6"/>
    <w:bookmarkStart w:id="17" w:name="assumptions"/>
    <w:p>
      <w:pPr>
        <w:pStyle w:val="Heading2"/>
      </w:pPr>
      <w:r>
        <w:t xml:space="preserve">3. Assumptions</w:t>
      </w:r>
    </w:p>
    <w:p>
      <w:pPr>
        <w:pStyle w:val="FirstParagraph"/>
      </w:pPr>
      <w:r>
        <w:t xml:space="preserve">Every one is registered or flagged. None is a sign-off.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503"/>
        <w:gridCol w:w="2557"/>
        <w:gridCol w:w="2634"/>
        <w:gridCol w:w="2717"/>
      </w:tblGrid>
      <w:tr>
        <w:trPr>
          <w:cantSplit/>
          <w:tblHeader/>
        </w:trPr>
        <w:tc>
          <w:tcPr>
            <w:tcW w:w="1503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t xml:space="preserve">Assumption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t xml:space="preserve">Where it is registered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Confidence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t xml:space="preserve">The twelve module envelopes, and their placement on MP-01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ASM-EEG-023 Rev B, MECH-D6-MODULE-ENVELOPES</w:t>
            </w:r>
            <w:r>
              <w:t xml:space="preserve">, new and</w:t>
            </w:r>
            <w:r>
              <w:t xml:space="preserve"> </w:t>
            </w:r>
            <w:r>
              <w:rPr>
                <w:b/>
                <w:bCs/>
              </w:rPr>
              <w:t xml:space="preserve">blocks a build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judgement.</w:t>
            </w:r>
            <w:r>
              <w:t xml:space="preserve"> </w:t>
            </w:r>
            <w:r>
              <w:rPr>
                <w:b/>
                <w:bCs/>
              </w:rPr>
              <w:t xml:space="preserve">No vendor drawing was consulted for any of them.</w:t>
            </w:r>
            <w:r>
              <w:t xml:space="preserve"> </w:t>
            </w:r>
            <w:r>
              <w:t xml:space="preserve">Two are form-factor derived: the PiEEG-8 is a Pi HAT (65.0 x 56.5 mm) and the Pololu S13V15F5 is a 0.5 x 0.8 inch board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ELECTRODE</w:t>
            </w:r>
            <w:r>
              <w:t xml:space="preserve"> </w:t>
            </w:r>
            <w:r>
              <w:t xml:space="preserve">minimum width 0.25 mm, above the board’s 0.20 mm floor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tools/rules.py</w:t>
            </w:r>
            <w:r>
              <w:t xml:space="preserve">, flagged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; printed in LAY-EEG-034 section 5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judgement. Open question 4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ELECTRODE</w:t>
            </w:r>
            <w:r>
              <w:t xml:space="preserve"> </w:t>
            </w:r>
            <w:r>
              <w:t xml:space="preserve">on L1 only, no vias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t xml:space="preserve">same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DSN-EEG-003 section 3.3 rule 3 read literally. Open question 4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ANALOGUE_REF</w:t>
            </w:r>
            <w:r>
              <w:t xml:space="preserve"> </w:t>
            </w:r>
            <w:r>
              <w:t xml:space="preserve">minimum width 0.30 mm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t xml:space="preserve">same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impedance, not current. Open question 4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t xml:space="preserve">Pad entry within 25 % of the pad’s minor dimension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tools/rules.py</w:t>
            </w:r>
            <w:r>
              <w:t xml:space="preserve">; LAY-EEG-034 section 6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judgement: finding 4 has no number in it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t xml:space="preserve">The schematic sheet split, nine sheets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tools/emit_kicad_sch.py</w:t>
            </w:r>
            <w:r>
              <w:t xml:space="preserve">, checked to be a partition of</w:t>
            </w:r>
            <w:r>
              <w:t xml:space="preserve"> </w:t>
            </w:r>
            <w:r>
              <w:rPr>
                <w:rStyle w:val="VerbatimChar"/>
              </w:rPr>
              <w:t xml:space="preserve">design.C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judgement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t xml:space="preserve">KiCad 8 –</w:t>
            </w:r>
            <w:r>
              <w:t xml:space="preserve"> </w:t>
            </w:r>
            <w:r>
              <w:rPr>
                <w:rStyle w:val="VerbatimChar"/>
              </w:rPr>
              <w:t xml:space="preserve">(kicad_sch 20231120)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(kicad_pcb 20240108)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t xml:space="preserve">the handover README, with an offer to re-emit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assumed, as the brief instructed. Open question 5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t xml:space="preserve">Carrier component heights per footprint class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tools/mech_bodies.py</w:t>
            </w:r>
            <w:r>
              <w:t xml:space="preserve">, each with its source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datasheet, except the DIN 42802 socket at 10.00 mm, which has no qualified part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2557" w:type="dxa"/>
          </w:tcPr>
          <w:p>
            <w:pPr>
              <w:pStyle w:val="Compact"/>
            </w:pPr>
            <w:r>
              <w:t xml:space="preserve">The DevKit stands 13.6 mm and its PCB is 63.0 x 25.5 mm</w:t>
            </w:r>
          </w:p>
        </w:tc>
        <w:tc>
          <w:tcPr>
            <w:tcW w:w="2634" w:type="dxa"/>
          </w:tcPr>
          <w:p>
            <w:pPr>
              <w:pStyle w:val="Compact"/>
            </w:pPr>
            <w:r>
              <w:t xml:space="preserve">ICD-EEG-006 section 4 (</w:t>
            </w:r>
            <w:r>
              <w:rPr>
                <w:i/>
                <w:iCs/>
              </w:rPr>
              <w:t xml:space="preserve">calculated</w:t>
            </w:r>
            <w:r>
              <w:t xml:space="preserve">) and Espressif’s published outline</w:t>
            </w:r>
          </w:p>
        </w:tc>
        <w:tc>
          <w:tcPr>
            <w:tcW w:w="2717" w:type="dxa"/>
          </w:tcPr>
          <w:p>
            <w:pPr>
              <w:pStyle w:val="Compact"/>
            </w:pPr>
            <w:r>
              <w:t xml:space="preserve">derived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7"/>
    <w:bookmarkStart w:id="18" w:name="open-questions"/>
    <w:p>
      <w:pPr>
        <w:pStyle w:val="Heading2"/>
      </w:pPr>
      <w:r>
        <w:t xml:space="preserve">4. Open questions</w:t>
      </w:r>
    </w:p>
    <w:p>
      <w:pPr>
        <w:pStyle w:val="FirstParagraph"/>
      </w:pPr>
      <w:r>
        <w:rPr>
          <w:b/>
          <w:bCs/>
        </w:rPr>
        <w:t xml:space="preserve">1. The board file name.</w:t>
      </w:r>
      <w:r>
        <w:t xml:space="preserve"> </w:t>
      </w:r>
      <w:r>
        <w:t xml:space="preserve">The brief asked for</w:t>
      </w:r>
      <w:r>
        <w:t xml:space="preserve"> </w:t>
      </w:r>
      <w:r>
        <w:rPr>
          <w:rStyle w:val="VerbatimChar"/>
        </w:rPr>
        <w:t xml:space="preserve">EEG-CAR-01_RevC_unrouted.kicad_pcb</w:t>
      </w:r>
      <w:r>
        <w:t xml:space="preserve"> </w:t>
      </w:r>
      <w:r>
        <w:t xml:space="preserve">beside</w:t>
      </w:r>
      <w:r>
        <w:t xml:space="preserve"> </w:t>
      </w:r>
      <w:r>
        <w:rPr>
          <w:rStyle w:val="VerbatimChar"/>
        </w:rPr>
        <w:t xml:space="preserve">EEG-CAR-01_RevC.kicad_pro</w:t>
      </w:r>
      <w:r>
        <w:t xml:space="preserve">. A KiCad project expects board and schematic to share its stem, and</w:t>
      </w:r>
      <w:r>
        <w:t xml:space="preserve"> </w:t>
      </w:r>
      <w:r>
        <w:t xml:space="preserve">a board opened standalone loses the eight net classes, the 156 assignments and the severity that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track_dangling</w:t>
      </w:r>
      <w:r>
        <w:t xml:space="preserve"> </w:t>
      </w:r>
      <w:r>
        <w:t xml:space="preserve">an error – most of the specification.</w:t>
      </w:r>
      <w:r>
        <w:t xml:space="preserve"> </w:t>
      </w:r>
      <w:r>
        <w:rPr>
          <w:i/>
          <w:iCs/>
        </w:rPr>
        <w:t xml:space="preserve">Recommended default, and what is implemented:</w:t>
      </w:r>
      <w:r>
        <w:t xml:space="preserve"> </w:t>
      </w:r>
      <w:r>
        <w:t xml:space="preserve">the board is</w:t>
      </w:r>
      <w:r>
        <w:t xml:space="preserve"> </w:t>
      </w:r>
      <w:r>
        <w:rPr>
          <w:rStyle w:val="VerbatimChar"/>
        </w:rPr>
        <w:t xml:space="preserve">EEG-CAR-01_RevC.kicad_pcb</w:t>
      </w:r>
      <w:r>
        <w:t xml:space="preserve">, and</w:t>
      </w:r>
      <w:r>
        <w:t xml:space="preserve"> </w:t>
      </w:r>
      <w:r>
        <w:t xml:space="preserve">that it is unrouted is said in its title block, its comments, LAY-EEG-034 and the README.</w:t>
      </w:r>
    </w:p>
    <w:p>
      <w:pPr>
        <w:pStyle w:val="BodyText"/>
      </w:pPr>
      <w:r>
        <w:rPr>
          <w:b/>
          <w:bCs/>
        </w:rPr>
        <w:t xml:space="preserve">2. The rule sheet is three pages, not one.</w:t>
      </w:r>
      <w:r>
        <w:t xml:space="preserve"> </w:t>
      </w:r>
      <w:r>
        <w:t xml:space="preserve">Compressing it means dropping the derivation of</w:t>
      </w:r>
      <w:r>
        <w:t xml:space="preserve"> </w:t>
      </w:r>
      <w:r>
        <w:t xml:space="preserve">each net-class number, and a rule whose reason is invisible is a rule that gets relaxed at the</w:t>
      </w:r>
      <w:r>
        <w:t xml:space="preserve"> </w:t>
      </w:r>
      <w:r>
        <w:t xml:space="preserve">first difficulty.</w:t>
      </w:r>
      <w:r>
        <w:t xml:space="preserve"> </w:t>
      </w:r>
      <w:r>
        <w:rPr>
          <w:i/>
          <w:iCs/>
        </w:rPr>
        <w:t xml:space="preserve">Recommended default:</w:t>
      </w:r>
      <w:r>
        <w:t xml:space="preserve"> </w:t>
      </w:r>
      <w:r>
        <w:t xml:space="preserve">leave it at three. If one page is needed for the order paperwork,</w:t>
      </w:r>
      <w:r>
        <w:t xml:space="preserve"> </w:t>
      </w:r>
      <w:r>
        <w:t xml:space="preserve">sections 5 and 6 alone fit on one and the rest becomes an annex.</w:t>
      </w:r>
    </w:p>
    <w:p>
      <w:pPr>
        <w:pStyle w:val="BodyText"/>
      </w:pPr>
      <w:r>
        <w:rPr>
          <w:b/>
          <w:bCs/>
        </w:rPr>
        <w:t xml:space="preserve">3. Eight documents still say the data is</w:t>
      </w:r>
      <w:r>
        <w:rPr>
          <w:b/>
          <w:bCs/>
        </w:rPr>
        <w:t xml:space="preserve"> </w:t>
      </w:r>
      <w:r>
        <w:rPr>
          <w:b/>
          <w:bCs/>
        </w:rPr>
        <w:t xml:space="preserve">“released for review”</w:t>
      </w:r>
      <w:r>
        <w:rPr>
          <w:b/>
          <w:bCs/>
        </w:rPr>
        <w:t xml:space="preserve">.</w:t>
      </w:r>
      <w:r>
        <w:t xml:space="preserve"> </w:t>
      </w:r>
      <w:r>
        <w:t xml:space="preserve">ASM-EEG-007, PARTS-EEG-019,</w:t>
      </w:r>
      <w:r>
        <w:t xml:space="preserve"> </w:t>
      </w:r>
      <w:r>
        <w:t xml:space="preserve">QP-EEG-010, REG-EEG-012, RFQ-EEG-001, RISK-EEG-011, SVC-EEG-013 and TST-EEG-004. Three of them</w:t>
      </w:r>
      <w:r>
        <w:t xml:space="preserve"> </w:t>
      </w:r>
      <w:r>
        <w:t xml:space="preserve">are out of scope by instruction (RISK-EEG-011, REG-EEG-012 and the research documents), and</w:t>
      </w:r>
      <w:r>
        <w:t xml:space="preserve"> </w:t>
      </w:r>
      <w:r>
        <w:t xml:space="preserve">RFQ-EEG-001 additionally carries E-26’s self-contradicting switch class.</w:t>
      </w:r>
      <w:r>
        <w:t xml:space="preserve"> </w:t>
      </w:r>
      <w:r>
        <w:rPr>
          <w:i/>
          <w:iCs/>
        </w:rPr>
        <w:t xml:space="preserve">Recommended default:</w:t>
      </w:r>
      <w:r>
        <w:t xml:space="preserve"> </w:t>
      </w:r>
      <w:r>
        <w:t xml:space="preserve">one sweep ECO covering the five that are not out of scope, plus the RFQ</w:t>
      </w:r>
      <w:r>
        <w:t xml:space="preserve"> </w:t>
      </w:r>
      <w:r>
        <w:t xml:space="preserve">at its next issue. It is mechanical and it is the defect RUL-EEG-021 section C ruling 4 forbids.</w:t>
      </w:r>
    </w:p>
    <w:p>
      <w:pPr>
        <w:pStyle w:val="BodyText"/>
      </w:pPr>
      <w:r>
        <w:rPr>
          <w:b/>
          <w:bCs/>
        </w:rPr>
        <w:t xml:space="preserve">4. Four net-class numbers need your confirmation</w:t>
      </w:r>
      <w:r>
        <w:t xml:space="preserve"> </w:t>
      </w:r>
      <w:r>
        <w:t xml:space="preserve">before the order goes out, because they</w:t>
      </w:r>
      <w:r>
        <w:t xml:space="preserve"> </w:t>
      </w:r>
      <w:r>
        <w:t xml:space="preserve">constrain the contractor and they are this programme’s proposals, not transcriptions: the</w:t>
      </w:r>
      <w:r>
        <w:t xml:space="preserve"> </w:t>
      </w:r>
      <w:r>
        <w:rPr>
          <w:rStyle w:val="VerbatimChar"/>
        </w:rPr>
        <w:t xml:space="preserve">ELECTRODE</w:t>
      </w:r>
      <w:r>
        <w:t xml:space="preserve"> </w:t>
      </w:r>
      <w:r>
        <w:t xml:space="preserve">minimum width of 0.25 mm;</w:t>
      </w:r>
      <w:r>
        <w:t xml:space="preserve"> </w:t>
      </w:r>
      <w:r>
        <w:rPr>
          <w:rStyle w:val="VerbatimChar"/>
        </w:rPr>
        <w:t xml:space="preserve">ELECTRODE</w:t>
      </w:r>
      <w:r>
        <w:t xml:space="preserve"> </w:t>
      </w:r>
      <w:r>
        <w:t xml:space="preserve">restricted to L1 with</w:t>
      </w:r>
      <w:r>
        <w:t xml:space="preserve"> </w:t>
      </w:r>
      <w:r>
        <w:rPr>
          <w:b/>
          <w:bCs/>
        </w:rPr>
        <w:t xml:space="preserve">no vias at all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ANALOGUE_REF</w:t>
      </w:r>
      <w:r>
        <w:t xml:space="preserve"> </w:t>
      </w:r>
      <w:r>
        <w:t xml:space="preserve">minimum width of 0.30 mm; and the 25 % pad-entry tolerance.</w:t>
      </w:r>
      <w:r>
        <w:t xml:space="preserve"> </w:t>
      </w:r>
      <w:r>
        <w:rPr>
          <w:i/>
          <w:iCs/>
        </w:rPr>
        <w:t xml:space="preserve">Recommended default:</w:t>
      </w:r>
      <w:r>
        <w:t xml:space="preserve"> </w:t>
      </w:r>
      <w:r>
        <w:t xml:space="preserve">confirm all four. The electrode restriction is the one worth a second</w:t>
      </w:r>
      <w:r>
        <w:t xml:space="preserve"> </w:t>
      </w:r>
      <w:r>
        <w:t xml:space="preserve">look – it is DSN-EEG-003 section 3.3 rule 3 read literally and it is achievable on the present</w:t>
      </w:r>
      <w:r>
        <w:t xml:space="preserve"> </w:t>
      </w:r>
      <w:r>
        <w:t xml:space="preserve">placement, but if the contractor says it forces a respin, relaxing it is a decision and not a</w:t>
      </w:r>
      <w:r>
        <w:t xml:space="preserve"> </w:t>
      </w:r>
      <w:r>
        <w:t xml:space="preserve">concession to be made silently.</w:t>
      </w:r>
    </w:p>
    <w:p>
      <w:pPr>
        <w:pStyle w:val="BodyText"/>
      </w:pPr>
      <w:r>
        <w:rPr>
          <w:b/>
          <w:bCs/>
        </w:rPr>
        <w:t xml:space="preserve">5. Which KiCad version is JLCPCB on?</w:t>
      </w:r>
      <w:r>
        <w:t xml:space="preserve"> </w:t>
      </w:r>
      <w:r>
        <w:t xml:space="preserve">Everything is emitted for KiCad 8. Re-emitting for</w:t>
      </w:r>
      <w:r>
        <w:t xml:space="preserve"> </w:t>
      </w:r>
      <w:r>
        <w:t xml:space="preserve">another major version costs nothing because it is generated.</w:t>
      </w:r>
      <w:r>
        <w:t xml:space="preserve"> </w:t>
      </w:r>
      <w:r>
        <w:rPr>
          <w:i/>
          <w:iCs/>
        </w:rPr>
        <w:t xml:space="preserve">Recommended default:</w:t>
      </w:r>
      <w:r>
        <w:t xml:space="preserve"> </w:t>
      </w:r>
      <w:r>
        <w:t xml:space="preserve">ask Lyle He before the order and re-emit if the answer is not 8.</w:t>
      </w:r>
    </w:p>
    <w:p>
      <w:pPr>
        <w:pStyle w:val="BodyText"/>
      </w:pPr>
      <w:r>
        <w:rPr>
          <w:b/>
          <w:bCs/>
        </w:rPr>
        <w:t xml:space="preserve">6. MP-01 cannot carry twelve modules.</w:t>
      </w:r>
      <w:r>
        <w:t xml:space="preserve"> </w:t>
      </w:r>
      <w:r>
        <w:t xml:space="preserve">140 % fill, and the plate’s DevKit opening is 2 mm</w:t>
      </w:r>
      <w:r>
        <w:t xml:space="preserve"> </w:t>
      </w:r>
      <w:r>
        <w:t xml:space="preserve">short. Four routes would each move it – a larger plate; a second tier of standoffs; an ADS1299</w:t>
      </w:r>
      <w:r>
        <w:t xml:space="preserve"> </w:t>
      </w:r>
      <w:r>
        <w:t xml:space="preserve">breakout that is not a Pi HAT, which AVL-EEG-017 section 2 M1 permits under qualification even</w:t>
      </w:r>
      <w:r>
        <w:t xml:space="preserve"> </w:t>
      </w:r>
      <w:r>
        <w:t xml:space="preserve">though the</w:t>
      </w:r>
      <w:r>
        <w:t xml:space="preserve"> </w:t>
      </w:r>
      <w:r>
        <w:rPr>
          <w:i/>
          <w:iCs/>
        </w:rPr>
        <w:t xml:space="preserve">device</w:t>
      </w:r>
      <w:r>
        <w:t xml:space="preserve"> </w:t>
      </w:r>
      <w:r>
        <w:t xml:space="preserve">may not change; or moving the modules whose jumpers cannot reach onto the</w:t>
      </w:r>
      <w:r>
        <w:t xml:space="preserve"> </w:t>
      </w:r>
      <w:r>
        <w:t xml:space="preserve">carrier as fitted parts.</w:t>
      </w:r>
      <w:r>
        <w:t xml:space="preserve"> </w:t>
      </w:r>
      <w:r>
        <w:rPr>
          <w:b/>
          <w:bCs/>
        </w:rPr>
        <w:t xml:space="preserve">None is decided and none is costed.</w:t>
      </w:r>
      <w:r>
        <w:t xml:space="preserve"> </w:t>
      </w:r>
      <w:r>
        <w:rPr>
          <w:i/>
          <w:iCs/>
        </w:rPr>
        <w:t xml:space="preserve">Recommended default:</w:t>
      </w:r>
      <w:r>
        <w:t xml:space="preserve"> </w:t>
      </w:r>
      <w:r>
        <w:t xml:space="preserve">buy one of each module and measure it before deciding anything, because</w:t>
      </w:r>
      <w:r>
        <w:t xml:space="preserve"> </w:t>
      </w:r>
      <w:r>
        <w:t xml:space="preserve">ten of the twelve envelopes are assumptions. The two that are not – the ADS1299 boards – are</w:t>
      </w:r>
      <w:r>
        <w:t xml:space="preserve"> </w:t>
      </w:r>
      <w:r>
        <w:t xml:space="preserve">59 % of the plate on their own, so</w:t>
      </w:r>
      <w:r>
        <w:t xml:space="preserve"> </w:t>
      </w:r>
      <w:r>
        <w:rPr>
          <w:b/>
          <w:bCs/>
        </w:rPr>
        <w:t xml:space="preserve">the measurement most likely to settle it is the PiEEG-8’s</w:t>
      </w:r>
      <w:r>
        <w:rPr>
          <w:b/>
          <w:bCs/>
        </w:rPr>
        <w:t xml:space="preserve"> </w:t>
      </w:r>
      <w:r>
        <w:rPr>
          <w:b/>
          <w:bCs/>
        </w:rPr>
        <w:t xml:space="preserve">actual outline.</w:t>
      </w:r>
    </w:p>
    <w:p>
      <w:pPr>
        <w:pStyle w:val="BodyText"/>
      </w:pPr>
      <w:r>
        <w:rPr>
          <w:b/>
          <w:bCs/>
        </w:rPr>
        <w:t xml:space="preserve">7. Should the in-house router produce a reference route for comparison?</w:t>
      </w:r>
      <w:r>
        <w:t xml:space="preserve"> </w:t>
      </w:r>
      <w:r>
        <w:t xml:space="preserve">It was not done:</w:t>
      </w:r>
      <w:r>
        <w:t xml:space="preserve"> </w:t>
      </w:r>
      <w:r>
        <w:t xml:space="preserve">the brief puts it last and everything ahead of it took the time.</w:t>
      </w:r>
      <w:r>
        <w:t xml:space="preserve"> </w:t>
      </w:r>
      <w:r>
        <w:rPr>
          <w:i/>
          <w:iCs/>
        </w:rPr>
        <w:t xml:space="preserve">Recommended default:</w:t>
      </w:r>
      <w:r>
        <w:t xml:space="preserve"> </w:t>
      </w:r>
      <w:r>
        <w:t xml:space="preserve">no, until the contractor’s placement is in. A reference route against a</w:t>
      </w:r>
      <w:r>
        <w:t xml:space="preserve"> </w:t>
      </w:r>
      <w:r>
        <w:t xml:space="preserve">placement nobody has confirmed compares two guesses.</w:t>
      </w:r>
    </w:p>
    <w:p>
      <w:pPr>
        <w:pStyle w:val="BodyText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firmware/main/board_pins.h</w:t>
      </w:r>
      <w:r>
        <w:rPr>
          <w:b/>
          <w:bCs/>
        </w:rPr>
        <w:t xml:space="preserve"> </w:t>
      </w:r>
      <w:r>
        <w:rPr>
          <w:b/>
          <w:bCs/>
        </w:rPr>
        <w:t xml:space="preserve">is still hand-maintained</w:t>
      </w:r>
      <w:r>
        <w:t xml:space="preserve"> </w:t>
      </w:r>
      <w:r>
        <w:t xml:space="preserve">against a check in</w:t>
      </w:r>
      <w:r>
        <w:t xml:space="preserve"> </w:t>
      </w:r>
      <w:r>
        <w:rPr>
          <w:rStyle w:val="VerbatimChar"/>
        </w:rPr>
        <w:t xml:space="preserve">tools/simulate_production.py</w:t>
      </w:r>
      <w:r>
        <w:t xml:space="preserve">. Untouched here, as instructed; no pin assignment moved, so it</w:t>
      </w:r>
      <w:r>
        <w:t xml:space="preserve"> </w:t>
      </w:r>
      <w:r>
        <w:t xml:space="preserve">did not need to move.</w:t>
      </w:r>
      <w:r>
        <w:t xml:space="preserve"> </w:t>
      </w:r>
      <w:r>
        <w:rPr>
          <w:i/>
          <w:iCs/>
        </w:rPr>
        <w:t xml:space="preserve">Recommended default:</w:t>
      </w:r>
      <w:r>
        <w:t xml:space="preserve"> </w:t>
      </w:r>
      <w:r>
        <w:t xml:space="preserve">leave it until a change forces a pin move, then generate it.</w:t>
      </w:r>
    </w:p>
    <w:p>
      <w:r>
        <w:pict>
          <v:rect style="width:0;height:1.5pt" ns2:hralign="center" ns2:hrstd="t" ns2:hr="t"/>
        </w:pict>
      </w:r>
    </w:p>
    <w:bookmarkEnd w:id="18"/>
    <w:bookmarkStart w:id="19" w:name="the-handover-set"/>
    <w:p>
      <w:pPr>
        <w:pStyle w:val="Heading2"/>
      </w:pPr>
      <w:r>
        <w:t xml:space="preserve">5. The handover set</w:t>
      </w:r>
    </w:p>
    <w:p>
      <w:pPr>
        <w:pStyle w:val="FirstParagraph"/>
      </w:pPr>
      <w:r>
        <w:rPr>
          <w:rStyle w:val="VerbatimChar"/>
        </w:rPr>
        <w:t xml:space="preserve">kicad/RevC_layout_inputs/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51 files, 2.6 MB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carrying a SHA-256</w:t>
      </w:r>
      <w:r>
        <w:t xml:space="preserve"> </w:t>
      </w:r>
      <w:r>
        <w:t xml:space="preserve">and a one-line description for each. The manifest is the authority and is not reproduced here.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811"/>
        <w:gridCol w:w="5600"/>
      </w:tblGrid>
      <w:tr>
        <w:trPr>
          <w:cantSplit/>
          <w:tblHeader/>
        </w:trPr>
        <w:tc>
          <w:tcPr>
            <w:tcW w:w="3811" w:type="dxa"/>
          </w:tcPr>
          <w:p>
            <w:pPr>
              <w:pStyle w:val="Compact"/>
            </w:pPr>
            <w:r>
              <w:t xml:space="preserve">Group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t xml:space="preserve">Files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project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EEG-CAR-01_RevC.kicad_pro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schematic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EEG-CAR-01_RevC.kicad_sch</w:t>
            </w:r>
            <w:r>
              <w:t xml:space="preserve"> </w:t>
            </w:r>
            <w:r>
              <w:t xml:space="preserve">+ nine sheets,</w:t>
            </w:r>
            <w:r>
              <w:t xml:space="preserve"> </w:t>
            </w:r>
            <w:r>
              <w:rPr>
                <w:rStyle w:val="VerbatimChar"/>
              </w:rPr>
              <w:t xml:space="preserve">EEG-CAR-01.kicad_sym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board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EEG-CAR-01_RevC.kicad_pcb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EEG-CAR-01_RevC.kicad_dru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netlist and BOM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EEG-CAR-01_RevC-IPC-D-356A.ipc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EEG-CAR-01_RevC_BOM.csv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footprint_audit_RevC.md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placement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t xml:space="preserve">two provisional CPLs,</w:t>
            </w:r>
            <w:r>
              <w:t xml:space="preserve"> </w:t>
            </w:r>
            <w:r>
              <w:rPr>
                <w:rStyle w:val="VerbatimChar"/>
              </w:rPr>
              <w:t xml:space="preserve">EEG-CAR-01_RevC_outline_and_fixed_connectors.dxf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3D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t xml:space="preserve">22 footprint bodies under</w:t>
            </w:r>
            <w:r>
              <w:t xml:space="preserve"> </w:t>
            </w:r>
            <w:r>
              <w:rPr>
                <w:rStyle w:val="VerbatimChar"/>
              </w:rPr>
              <w:t xml:space="preserve">step/footprints/</w:t>
            </w:r>
            <w:r>
              <w:t xml:space="preserve">, three assembly bodies under</w:t>
            </w:r>
            <w:r>
              <w:t xml:space="preserve"> </w:t>
            </w:r>
            <w:r>
              <w:rPr>
                <w:rStyle w:val="VerbatimChar"/>
              </w:rPr>
              <w:t xml:space="preserve">step/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evidence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EEG-CAR-01_RevC_schematic_netlist_check.txt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EEG-CAR-01_RevC_collision_check.txt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rules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LAY-EEG-034_RevA_carrier_layout_rule_sheet.pdf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pStyle w:val="Compact"/>
            </w:pPr>
            <w:r>
              <w:t xml:space="preserve">covering note</w:t>
            </w:r>
          </w:p>
        </w:tc>
        <w:tc>
          <w:tcPr>
            <w:tcW w:w="56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README_layout_inputs.md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SHA256SUMS.txt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Nothing was sent.</w:t>
      </w:r>
      <w:r>
        <w:t xml:space="preserve"> </w:t>
      </w:r>
      <w:r>
        <w:t xml:space="preserve">No tool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transmits anything.</w:t>
      </w:r>
    </w:p>
    <w:p>
      <w:r>
        <w:pict>
          <v:rect style="width:0;height:1.5pt" ns2:hralign="center" ns2:hrstd="t" ns2:hr="t"/>
        </w:pict>
      </w:r>
    </w:p>
    <w:bookmarkEnd w:id="19"/>
    <w:bookmarkStart w:id="20" w:name="commits"/>
    <w:p>
      <w:pPr>
        <w:pStyle w:val="Heading2"/>
      </w:pPr>
      <w:r>
        <w:t xml:space="preserve">6. Commits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603"/>
        <w:gridCol w:w="5808"/>
      </w:tblGrid>
      <w:tr>
        <w:trPr>
          <w:cantSplit/>
          <w:tblHeader/>
        </w:trPr>
        <w:tc>
          <w:tcPr>
            <w:tcW w:w="3603" w:type="dxa"/>
          </w:tcPr>
          <w:p>
            <w:pPr>
              <w:pStyle w:val="Compact"/>
            </w:pPr>
            <w:r>
              <w:t xml:space="preserve">Commit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t xml:space="preserve">Work package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c652258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WP1</w:t>
            </w:r>
            <w:r>
              <w:t xml:space="preserve"> </w:t>
            </w:r>
            <w:r>
              <w:t xml:space="preserve">revision bookkeeping and the Rev B withdrawal ECO (ECO-EEG-030)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34feea1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WP2</w:t>
            </w:r>
            <w:r>
              <w:t xml:space="preserve"> </w:t>
            </w:r>
            <w:r>
              <w:t xml:space="preserve">BOM and footprint corrections (ECO-EEG-031)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553bec1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WP3</w:t>
            </w:r>
            <w:r>
              <w:t xml:space="preserve"> </w:t>
            </w:r>
            <w:r>
              <w:t xml:space="preserve">the seven findings encoded as rules, and Rev B regraded (ECO-EEG-032)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e15724c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WP4</w:t>
            </w:r>
            <w:r>
              <w:t xml:space="preserve"> </w:t>
            </w:r>
            <w:r>
              <w:t xml:space="preserve">the native KiCad schematic (ECO-EEG-033 part 1)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b142243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WP5</w:t>
            </w:r>
            <w:r>
              <w:t xml:space="preserve"> </w:t>
            </w:r>
            <w:r>
              <w:t xml:space="preserve">unrouted board, project file and DXF (part 2)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9e96ce1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WP6</w:t>
            </w:r>
            <w:r>
              <w:t xml:space="preserve"> </w:t>
            </w:r>
            <w:r>
              <w:t xml:space="preserve">3D bodies and the collision check (part 3)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0fb4e9d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WP7</w:t>
            </w:r>
            <w:r>
              <w:t xml:space="preserve"> </w:t>
            </w:r>
            <w:r>
              <w:t xml:space="preserve">LAY-EEG-034, the layout rule sheet (part 4)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4b87f44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WP8</w:t>
            </w:r>
            <w:r>
              <w:t xml:space="preserve"> </w:t>
            </w:r>
            <w:r>
              <w:t xml:space="preserve">the handover set and its README (part 5)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385429a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WP9</w:t>
            </w:r>
            <w:r>
              <w:t xml:space="preserve"> </w:t>
            </w:r>
            <w:r>
              <w:t xml:space="preserve">document register close-out</w:t>
            </w:r>
          </w:p>
        </w:tc>
      </w:tr>
      <w:tr>
        <w:trPr>
          <w:cantSplit/>
        </w:trPr>
        <w:tc>
          <w:tcPr>
            <w:tcW w:w="36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17c02ad</w:t>
            </w:r>
          </w:p>
        </w:tc>
        <w:tc>
          <w:tcPr>
            <w:tcW w:w="5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WP9 (cont)</w:t>
            </w:r>
            <w:r>
              <w:t xml:space="preserve"> </w:t>
            </w:r>
            <w:r>
              <w:t xml:space="preserve">release-state statements in the four re-issued documents</w:t>
            </w:r>
          </w:p>
        </w:tc>
      </w:tr>
    </w:tbl>
    <w:p>
      <w:pPr>
        <w:pStyle w:val="BodyText"/>
      </w:pPr>
      <w:r>
        <w:t xml:space="preserve">Documents advanced a letter: DSN-EEG-003 to</w:t>
      </w:r>
      <w:r>
        <w:t xml:space="preserve"> </w:t>
      </w:r>
      <w:r>
        <w:rPr>
          <w:b/>
          <w:bCs/>
        </w:rPr>
        <w:t xml:space="preserve">D</w:t>
      </w:r>
      <w:r>
        <w:t xml:space="preserve">; ECO-EEG-016, ICD-EEG-006, JIG-EEG-009 and</w:t>
      </w:r>
      <w:r>
        <w:t xml:space="preserve"> </w:t>
      </w:r>
      <w:r>
        <w:t xml:space="preserve">AVL-EEG-017 to</w:t>
      </w:r>
      <w:r>
        <w:t xml:space="preserve"> </w:t>
      </w:r>
      <w:r>
        <w:rPr>
          <w:b/>
          <w:bCs/>
        </w:rPr>
        <w:t xml:space="preserve">C</w:t>
      </w:r>
      <w:r>
        <w:t xml:space="preserve">; FW-EEG-001 to</w:t>
      </w:r>
      <w:r>
        <w:t xml:space="preserve"> </w:t>
      </w:r>
      <w:r>
        <w:rPr>
          <w:b/>
          <w:bCs/>
        </w:rPr>
        <w:t xml:space="preserve">D</w:t>
      </w:r>
      <w:r>
        <w:t xml:space="preserve">; ASM-EEG-023 and RUL-EEG-021 to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b/>
          <w:bCs/>
        </w:rPr>
        <w:t xml:space="preserve">LAY-EEG-034</w:t>
      </w:r>
      <w:r>
        <w:rPr>
          <w:b/>
          <w:bCs/>
        </w:rPr>
        <w:t xml:space="preserve"> </w:t>
      </w:r>
      <w:r>
        <w:rPr>
          <w:b/>
          <w:bCs/>
        </w:rPr>
        <w:t xml:space="preserve">is new at Rev A.</w:t>
      </w:r>
      <w:r>
        <w:t xml:space="preserve"> </w:t>
      </w:r>
      <w:r>
        <w:t xml:space="preserve">218 citations and 24 file names followed, by</w:t>
      </w:r>
      <w:r>
        <w:t xml:space="preserve"> </w:t>
      </w:r>
      <w:r>
        <w:rPr>
          <w:rStyle w:val="VerbatimChar"/>
        </w:rPr>
        <w:t xml:space="preserve">tools/revision_bump.py</w:t>
      </w:r>
      <w:r>
        <w:t xml:space="preserve">.</w:t>
      </w:r>
    </w:p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b/>
          <w:bCs/>
        </w:rPr>
        <w:t xml:space="preserve">Nothing in this package has been manufactured or measured. No safety engineer has reviewed</w:t>
      </w:r>
      <w:r>
        <w:rPr>
          <w:b/>
          <w:bCs/>
        </w:rPr>
        <w:t xml:space="preserve"> </w:t>
      </w:r>
      <w:r>
        <w:rPr>
          <w:b/>
          <w:bCs/>
        </w:rPr>
        <w:t xml:space="preserve">this design. No layout engineer has seen Rev C, because Rev C has no layout yet.</w:t>
      </w:r>
    </w:p>
    <w:bookmarkEnd w:id="20"/>
    <w:bookmarkEnd w:id="21"/>
    <w:sectPr>
      <w:pgSz w:h="16838" w:w="11906"/>
      <w:pgMar w:bottom="1134" w:footer="720" w:gutter="0" w:header="720" w:left="1247" w:right="1247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cstheme="majorBidi" w:eastAsiaTheme="majorEastAsia" w:hAnsiTheme="majorHAns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12212E"/>
      <w:sz w:val="30"/>
      <w:szCs w:val="30"/>
      <w:rFonts w:asciiTheme="majorHAnsi" w:cstheme="majorBidi" w:eastAsiaTheme="majorEastAsia" w:hAnsiTheme="majorHAns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1B4F72"/>
      <w:sz w:val="25"/>
      <w:szCs w:val="25"/>
      <w:rFonts w:asciiTheme="majorHAnsi" w:cstheme="majorBidi" w:eastAsiaTheme="majorEastAsia" w:hAnsiTheme="majorHAns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1B4F72"/>
      <w:sz w:val="22"/>
      <w:szCs w:val="22"/>
      <w:rFonts w:cstheme="majorBidi" w:eastAsiaTheme="majorEastAsi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2026-09-08T14:32:53Z</dcterms:created>
  <dcterms:modified xsi:type="dcterms:W3CDTF">2026-09-08T14:32:53Z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