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7" w:name="Xfdaa5786b40d646ff4f457c8f6b9d5676f55be4"/>
    <w:p>
      <w:pPr>
        <w:pStyle w:val="Heading1"/>
      </w:pPr>
      <w:r>
        <w:t xml:space="preserve">Carrier Layout Rule Sheet – EEG-CAR-01 Rev C</w:t>
      </w:r>
    </w:p>
    <w:p>
      <w:pPr>
        <w:pStyle w:val="FirstParagraph"/>
      </w:pPr>
      <w:r>
        <w:rPr>
          <w:b/>
          <w:bCs/>
        </w:rPr>
        <w:t xml:space="preserve">Document:</w:t>
      </w:r>
      <w:r>
        <w:t xml:space="preserve"> </w:t>
      </w:r>
      <w:r>
        <w:t xml:space="preserve">LAY-EEG-034</w:t>
      </w:r>
      <w:r>
        <w:t xml:space="preserve"> </w:t>
      </w:r>
      <w:r>
        <w:rPr>
          <w:b/>
          <w:bCs/>
        </w:rPr>
        <w:t xml:space="preserve">Revision:</w:t>
      </w:r>
      <w:r>
        <w:t xml:space="preserve"> </w:t>
      </w:r>
      <w:r>
        <w:t xml:space="preserve">A</w:t>
      </w:r>
      <w:r>
        <w:t xml:space="preserve"> </w:t>
      </w:r>
      <w:r>
        <w:rPr>
          <w:b/>
          <w:bCs/>
        </w:rPr>
        <w:t xml:space="preserve">Date:</w:t>
      </w:r>
      <w:r>
        <w:t xml:space="preserve"> </w:t>
      </w:r>
      <w:r>
        <w:t xml:space="preserve">8 September 2026</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C, then RFQ-EEG-001 Rev E, then ICD-EEG-006 Rev B.</w:t>
      </w:r>
      <w:r>
        <w:t xml:space="preserve"> </w:t>
      </w:r>
      <w:r>
        <w:rPr>
          <w:b/>
          <w:bCs/>
        </w:rPr>
        <w:t xml:space="preserve">Generated by:</w:t>
      </w:r>
      <w:r>
        <w:t xml:space="preserve"> </w:t>
      </w:r>
      <w:r>
        <w:rPr>
          <w:rStyle w:val="VerbatimChar"/>
        </w:rPr>
        <w:t xml:space="preserve">tools/emit_rule_sheet.py</w:t>
      </w:r>
      <w:r>
        <w:t xml:space="preserve"> </w:t>
      </w:r>
      <w:r>
        <w:t xml:space="preserve">from</w:t>
      </w:r>
      <w:r>
        <w:t xml:space="preserve"> </w:t>
      </w:r>
      <w:r>
        <w:rPr>
          <w:rStyle w:val="VerbatimChar"/>
        </w:rPr>
        <w:t xml:space="preserve">tools/rules.py</w:t>
      </w:r>
      <w:r>
        <w:t xml:space="preserve">. The tables are not typed.</w:t>
      </w:r>
    </w:p>
    <w:bookmarkStart w:id="9" w:name="scope-and-precedence"/>
    <w:p>
      <w:pPr>
        <w:pStyle w:val="Heading2"/>
      </w:pPr>
      <w:r>
        <w:t xml:space="preserve">1. Scope and precedence</w:t>
      </w:r>
    </w:p>
    <w:p>
      <w:pPr>
        <w:pStyle w:val="FirstParagraph"/>
      </w:pPr>
      <w:r>
        <w:t xml:space="preserve">This sheet is the rule set for the placement and routing of</w:t>
      </w:r>
      <w:r>
        <w:t xml:space="preserve"> </w:t>
      </w:r>
      <w:r>
        <w:rPr>
          <w:b/>
          <w:bCs/>
        </w:rPr>
        <w:t xml:space="preserve">EEG-CAR-01 Rev C</w:t>
      </w:r>
      <w:r>
        <w:t xml:space="preserve">, and it is</w:t>
      </w:r>
      <w:r>
        <w:t xml:space="preserve"> </w:t>
      </w:r>
      <w:r>
        <w:rPr>
          <w:b/>
          <w:bCs/>
        </w:rPr>
        <w:t xml:space="preserve">part of the order specification</w:t>
      </w:r>
      <w:r>
        <w:t xml:space="preserve">. A departure from it is a layout error and is corrected at no charge, not a change request.</w:t>
      </w:r>
    </w:p>
    <w:p>
      <w:pPr>
        <w:pStyle w:val="BodyText"/>
      </w:pPr>
      <w:r>
        <w:rPr>
          <w:rStyle w:val="VerbatimChar"/>
        </w:rPr>
        <w:t xml:space="preserve">tools/design.py</w:t>
      </w:r>
      <w:r>
        <w:t xml:space="preserve"> </w:t>
      </w:r>
      <w:r>
        <w:t xml:space="preserve">governs. Where this sheet and</w:t>
      </w:r>
      <w:r>
        <w:t xml:space="preserve"> </w:t>
      </w:r>
      <w:r>
        <w:rPr>
          <w:rStyle w:val="VerbatimChar"/>
        </w:rPr>
        <w:t xml:space="preserve">design.py</w:t>
      </w:r>
      <w:r>
        <w:t xml:space="preserve"> </w:t>
      </w:r>
      <w:r>
        <w:t xml:space="preserve">disagree,</w:t>
      </w:r>
      <w:r>
        <w:t xml:space="preserve"> </w:t>
      </w:r>
      <w:r>
        <w:rPr>
          <w:rStyle w:val="VerbatimChar"/>
        </w:rPr>
        <w:t xml:space="preserve">design.py</w:t>
      </w:r>
      <w:r>
        <w:t xml:space="preserve"> </w:t>
      </w:r>
      <w:r>
        <w:t xml:space="preserve">is right and this sheet is regenerated. Where this sheet and</w:t>
      </w:r>
      <w:r>
        <w:t xml:space="preserve"> </w:t>
      </w:r>
      <w:r>
        <w:rPr>
          <w:rStyle w:val="VerbatimChar"/>
        </w:rPr>
        <w:t xml:space="preserve">kicad/EEG-CAR-01_RevC.kicad_dru</w:t>
      </w:r>
      <w:r>
        <w:t xml:space="preserve"> </w:t>
      </w:r>
      <w:r>
        <w:t xml:space="preserve">disagree, both are wrong until regenerated: they come from one source,</w:t>
      </w:r>
      <w:r>
        <w:t xml:space="preserve"> </w:t>
      </w:r>
      <w:r>
        <w:rPr>
          <w:rStyle w:val="VerbatimChar"/>
        </w:rPr>
        <w:t xml:space="preserve">tools/rules.py</w:t>
      </w:r>
      <w:r>
        <w:t xml:space="preserve">.</w:t>
      </w:r>
    </w:p>
    <w:p>
      <w:pPr>
        <w:pStyle w:val="BodyText"/>
      </w:pPr>
      <w:r>
        <w:rPr>
          <w:b/>
          <w:bCs/>
        </w:rPr>
        <w:t xml:space="preserve">Nothing in this package has been manufactured or measured, and no safety engineer has reviewed this design.</w:t>
      </w:r>
    </w:p>
    <w:bookmarkEnd w:id="9"/>
    <w:bookmarkStart w:id="10" w:name="board-and-stack-up"/>
    <w:p>
      <w:pPr>
        <w:pStyle w:val="Heading2"/>
      </w:pPr>
      <w:r>
        <w:t xml:space="preserve">2. Board and stack-up</w:t>
      </w:r>
    </w:p>
    <w:p>
      <w:pPr>
        <w:pStyle w:val="FirstParagraph"/>
      </w:pPr>
      <w:r>
        <w:t xml:space="preserve">The full specification is</w:t>
      </w:r>
      <w:r>
        <w:t xml:space="preserve"> </w:t>
      </w:r>
      <w:r>
        <w:rPr>
          <w:b/>
          <w:bCs/>
        </w:rPr>
        <w:t xml:space="preserve">DSN-EEG-003 Rev C section 3.2</w:t>
      </w:r>
      <w:r>
        <w:t xml:space="preserve"> </w:t>
      </w:r>
      <w:r>
        <w:t xml:space="preserve">and is not restated. The four lines a layout engineer needs:</w:t>
      </w:r>
    </w:p>
    <w:p>
      <w:pPr>
        <w:pStyle w:val="Compact"/>
        <w:numPr>
          <w:ilvl w:val="0"/>
          <w:numId w:val="1001"/>
        </w:numPr>
      </w:pPr>
      <w:r>
        <w:rPr>
          <w:b/>
          <w:bCs/>
        </w:rPr>
        <w:t xml:space="preserve">150.0 x 130.0 mm</w:t>
      </w:r>
      <w:r>
        <w:t xml:space="preserve">, rectangular, no cut-outs, no slots.</w:t>
      </w:r>
    </w:p>
    <w:p>
      <w:pPr>
        <w:pStyle w:val="Compact"/>
        <w:numPr>
          <w:ilvl w:val="0"/>
          <w:numId w:val="1001"/>
        </w:numPr>
      </w:pPr>
      <w:r>
        <w:rPr>
          <w:b/>
          <w:bCs/>
        </w:rPr>
        <w:t xml:space="preserve">Four layers</w:t>
      </w:r>
      <w:r>
        <w:t xml:space="preserve">: L1 signal, L2 reference plane, L3 reference plane, L4 signal. 1.60 mm +/- 10 % finished, FR-4 Tg &gt;= 150 C, 1 oz outer and 0.5 oz inner copper, ENIG.</w:t>
      </w:r>
    </w:p>
    <w:p>
      <w:pPr>
        <w:pStyle w:val="Compact"/>
        <w:numPr>
          <w:ilvl w:val="0"/>
          <w:numId w:val="1001"/>
        </w:numPr>
      </w:pPr>
      <w:r>
        <w:rPr>
          <w:b/>
          <w:bCs/>
        </w:rPr>
        <w:t xml:space="preserve">Through vias only</w:t>
      </w:r>
      <w:r>
        <w:t xml:space="preserve">, 0.60 mm pad on a 0.30 mm finished hole, tented both sides. No blind, buried, back-drilled, filled or plugged via anywhere.</w:t>
      </w:r>
    </w:p>
    <w:p>
      <w:pPr>
        <w:pStyle w:val="Compact"/>
        <w:numPr>
          <w:ilvl w:val="0"/>
          <w:numId w:val="1001"/>
        </w:numPr>
      </w:pPr>
      <w:r>
        <w:t xml:space="preserve">Board floor</w:t>
      </w:r>
      <w:r>
        <w:t xml:space="preserve"> </w:t>
      </w:r>
      <w:r>
        <w:rPr>
          <w:b/>
          <w:bCs/>
        </w:rPr>
        <w:t xml:space="preserve">0.20 mm track / 0.20 mm clearance</w:t>
      </w:r>
      <w:r>
        <w:t xml:space="preserve">, 0.25 mm copper to the board edge, 2.00 mm copper to a non-plated hole. Section 5 is stricter per class and section 5 wins.</w:t>
      </w:r>
    </w:p>
    <w:bookmarkEnd w:id="10"/>
    <w:bookmarkStart w:id="11" w:name="zoning-and-star-points"/>
    <w:p>
      <w:pPr>
        <w:pStyle w:val="Heading2"/>
      </w:pPr>
      <w:r>
        <w:t xml:space="preserve">3. Zoning and star points</w:t>
      </w:r>
    </w:p>
    <w:p>
      <w:pPr>
        <w:pStyle w:val="FirstParagraph"/>
      </w:pPr>
      <w:r>
        <w:rPr>
          <w:b/>
          <w:bCs/>
        </w:rPr>
        <w:t xml:space="preserve">DSN-EEG-003 Rev C section 3.3 rules 1 and 2</w:t>
      </w:r>
      <w:r>
        <w:t xml:space="preserve">, cited and not restated. In this sheet’s terms:</w:t>
      </w:r>
    </w:p>
    <w:p>
      <w:pPr>
        <w:pStyle w:val="Compact"/>
        <w:numPr>
          <w:ilvl w:val="0"/>
          <w:numId w:val="1002"/>
        </w:numPr>
      </w:pPr>
      <w:r>
        <w:t xml:space="preserve">The board is two zones split at</w:t>
      </w:r>
      <w:r>
        <w:t xml:space="preserve"> </w:t>
      </w:r>
      <w:r>
        <w:rPr>
          <w:b/>
          <w:bCs/>
        </w:rPr>
        <w:t xml:space="preserve">x = 62.0 mm</w:t>
      </w:r>
      <w:r>
        <w:t xml:space="preserve">: analogue left, digital right. No digital-class net may be routed into the analogue zone and no analogue-class net out of it.</w:t>
      </w:r>
      <w:r>
        <w:t xml:space="preserve"> </w:t>
      </w:r>
      <w:r>
        <w:rPr>
          <w:b/>
          <w:bCs/>
        </w:rPr>
        <w:t xml:space="preserve">One signal crosses by design</w:t>
      </w:r>
      <w:r>
        <w:t xml:space="preserve"> </w:t>
      </w:r>
      <w:r>
        <w:t xml:space="preserve">–</w:t>
      </w:r>
      <w:r>
        <w:t xml:space="preserve"> </w:t>
      </w:r>
      <w:r>
        <w:rPr>
          <w:rStyle w:val="VerbatimChar"/>
        </w:rPr>
        <w:t xml:space="preserve">CMP_RAW</w:t>
      </w:r>
      <w:r>
        <w:t xml:space="preserve">, the comparator output, which must reach a 3.3 V GPIO and does so through R83 and the D23 clamp.</w:t>
      </w:r>
    </w:p>
    <w:p>
      <w:pPr>
        <w:pStyle w:val="Compact"/>
        <w:numPr>
          <w:ilvl w:val="0"/>
          <w:numId w:val="1002"/>
        </w:numPr>
      </w:pPr>
      <w:r>
        <w:rPr>
          <w:rStyle w:val="VerbatimChar"/>
        </w:rPr>
        <w:t xml:space="preserve">AGND_REF</w:t>
      </w:r>
      <w:r>
        <w:t xml:space="preserve"> </w:t>
      </w:r>
      <w:r>
        <w:t xml:space="preserve">is the analogue</w:t>
      </w:r>
      <w:r>
        <w:t xml:space="preserve"> </w:t>
      </w:r>
      <w:r>
        <w:rPr>
          <w:b/>
          <w:bCs/>
        </w:rPr>
        <w:t xml:space="preserve">0 V mid-rail and is not ground</w:t>
      </w:r>
      <w:r>
        <w:t xml:space="preserve">. It is poured on L2 and L3 over the whole analogue zone;</w:t>
      </w:r>
      <w:r>
        <w:t xml:space="preserve"> </w:t>
      </w:r>
      <w:r>
        <w:rPr>
          <w:rStyle w:val="VerbatimChar"/>
        </w:rPr>
        <w:t xml:space="preserve">DGND</w:t>
      </w:r>
      <w:r>
        <w:t xml:space="preserve"> </w:t>
      </w:r>
      <w:r>
        <w:t xml:space="preserve">is poured over the digital zone on the same two layers. L1 and L4 carry signals, which is why the board has four layers.</w:t>
      </w:r>
    </w:p>
    <w:p>
      <w:pPr>
        <w:pStyle w:val="Compact"/>
        <w:numPr>
          <w:ilvl w:val="0"/>
          <w:numId w:val="1002"/>
        </w:numPr>
      </w:pPr>
      <w:r>
        <w:rPr>
          <w:rStyle w:val="VerbatimChar"/>
          <w:b/>
          <w:bCs/>
        </w:rPr>
        <w:t xml:space="preserve">AGND_REF</w:t>
      </w:r>
      <w:r>
        <w:rPr>
          <w:b/>
          <w:bCs/>
        </w:rPr>
        <w:t xml:space="preserve"> </w:t>
      </w:r>
      <w:r>
        <w:rPr>
          <w:b/>
          <w:bCs/>
        </w:rPr>
        <w:t xml:space="preserve">joins</w:t>
      </w:r>
      <w:r>
        <w:rPr>
          <w:b/>
          <w:bCs/>
        </w:rPr>
        <w:t xml:space="preserve"> </w:t>
      </w:r>
      <w:r>
        <w:rPr>
          <w:rStyle w:val="VerbatimChar"/>
          <w:b/>
          <w:bCs/>
        </w:rPr>
        <w:t xml:space="preserve">DGND</w:t>
      </w:r>
      <w:r>
        <w:rPr>
          <w:b/>
          <w:bCs/>
        </w:rPr>
        <w:t xml:space="preserve"> </w:t>
      </w:r>
      <w:r>
        <w:rPr>
          <w:b/>
          <w:bCs/>
        </w:rPr>
        <w:t xml:space="preserve">at R90 and nowhere else.</w:t>
      </w:r>
      <w:r>
        <w:rPr>
          <w:b/>
          <w:bCs/>
        </w:rPr>
        <w:t xml:space="preserve"> </w:t>
      </w:r>
      <w:r>
        <w:rPr>
          <w:rStyle w:val="VerbatimChar"/>
          <w:b/>
          <w:bCs/>
        </w:rPr>
        <w:t xml:space="preserve">HARN_SHIELD</w:t>
      </w:r>
      <w:r>
        <w:rPr>
          <w:b/>
          <w:bCs/>
        </w:rPr>
        <w:t xml:space="preserve"> </w:t>
      </w:r>
      <w:r>
        <w:rPr>
          <w:b/>
          <w:bCs/>
        </w:rPr>
        <w:t xml:space="preserve">joins</w:t>
      </w:r>
      <w:r>
        <w:rPr>
          <w:b/>
          <w:bCs/>
        </w:rPr>
        <w:t xml:space="preserve"> </w:t>
      </w:r>
      <w:r>
        <w:rPr>
          <w:rStyle w:val="VerbatimChar"/>
          <w:b/>
          <w:bCs/>
        </w:rPr>
        <w:t xml:space="preserve">DGND</w:t>
      </w:r>
      <w:r>
        <w:rPr>
          <w:b/>
          <w:bCs/>
        </w:rPr>
        <w:t xml:space="preserve"> </w:t>
      </w:r>
      <w:r>
        <w:rPr>
          <w:b/>
          <w:bCs/>
        </w:rPr>
        <w:t xml:space="preserve">at R91 and nowhere else.</w:t>
      </w:r>
      <w:r>
        <w:t xml:space="preserve"> </w:t>
      </w:r>
      <w:r>
        <w:t xml:space="preserve">Both are 0 R 0603 parts and neither may become a copper bridge: each has to lift for a leakage measurement and refit. A second path of any kind, on any layer, is a layout error.</w:t>
      </w:r>
    </w:p>
    <w:bookmarkEnd w:id="11"/>
    <w:bookmarkStart w:id="12" w:name="isolation-keep-out"/>
    <w:p>
      <w:pPr>
        <w:pStyle w:val="Heading2"/>
      </w:pPr>
      <w:r>
        <w:t xml:space="preserve">4. Isolation keep-out</w:t>
      </w:r>
    </w:p>
    <w:p>
      <w:pPr>
        <w:pStyle w:val="FirstParagraph"/>
      </w:pPr>
      <w:r>
        <w:rPr>
          <w:b/>
          <w:bCs/>
        </w:rPr>
        <w:t xml:space="preserve">DSN-EEG-003 Rev C section 3.3 rule 4.</w:t>
      </w:r>
      <w:r>
        <w:t xml:space="preserve"> </w:t>
      </w:r>
      <w:r>
        <w:t xml:space="preserve">The strip</w:t>
      </w:r>
      <w:r>
        <w:t xml:space="preserve"> </w:t>
      </w:r>
      <w:r>
        <w:rPr>
          <w:b/>
          <w:bCs/>
        </w:rPr>
        <w:t xml:space="preserve">x &gt;= 141.0 mm, y = 2.0 to 22.0 mm</w:t>
      </w:r>
      <w:r>
        <w:t xml:space="preserve"> </w:t>
      </w:r>
      <w:r>
        <w:t xml:space="preserve">carries</w:t>
      </w:r>
      <w:r>
        <w:t xml:space="preserve"> </w:t>
      </w:r>
      <w:r>
        <w:rPr>
          <w:b/>
          <w:bCs/>
        </w:rPr>
        <w:t xml:space="preserve">no copper on any of the four layers</w:t>
      </w:r>
      <w:r>
        <w:t xml:space="preserve">, and no via, no pad and no footprint. It is</w:t>
      </w:r>
      <w:r>
        <w:t xml:space="preserve"> </w:t>
      </w:r>
      <w:r>
        <w:rPr>
          <w:rStyle w:val="VerbatimChar"/>
        </w:rPr>
        <w:t xml:space="preserve">ISOLATION_KEEPOUT</w:t>
      </w:r>
      <w:r>
        <w:t xml:space="preserve"> </w:t>
      </w:r>
      <w:r>
        <w:t xml:space="preserve">in the board file and in the</w:t>
      </w:r>
      <w:r>
        <w:t xml:space="preserve"> </w:t>
      </w:r>
      <w:r>
        <w:rPr>
          <w:rStyle w:val="VerbatimChar"/>
        </w:rPr>
        <w:t xml:space="preserve">.kicad_dru</w:t>
      </w:r>
      <w:r>
        <w:t xml:space="preserve">.</w:t>
      </w:r>
    </w:p>
    <w:p>
      <w:pPr>
        <w:pStyle w:val="BodyText"/>
      </w:pPr>
      <w:r>
        <w:t xml:space="preserve">The 2.5 kV barrier itself is</w:t>
      </w:r>
      <w:r>
        <w:t xml:space="preserve"> </w:t>
      </w:r>
      <w:r>
        <w:rPr>
          <w:b/>
          <w:bCs/>
        </w:rPr>
        <w:t xml:space="preserve">on the purchased ADuM4160 module at J10</w:t>
      </w:r>
      <w:r>
        <w:t xml:space="preserve">, not on this board; nothing on the carrier is on the host side. What the carrier owes the barrier is to keep out from under the module’s host half.</w:t>
      </w:r>
      <w:r>
        <w:t xml:space="preserve"> </w:t>
      </w:r>
      <w:r>
        <w:rPr>
          <w:b/>
          <w:bCs/>
        </w:rPr>
        <w:t xml:space="preserve">The rule is enforced against copper EDGES and not track centrelines</w:t>
      </w:r>
      <w:r>
        <w:t xml:space="preserve">, which is what earlier revisions of this programme’s own check got wrong.</w:t>
      </w:r>
    </w:p>
    <w:bookmarkEnd w:id="12"/>
    <w:bookmarkStart w:id="13" w:name="net-classes"/>
    <w:p>
      <w:pPr>
        <w:pStyle w:val="Heading2"/>
      </w:pPr>
      <w:r>
        <w:t xml:space="preserve">5. Net classes</w:t>
      </w:r>
    </w:p>
    <w:p>
      <w:pPr>
        <w:pStyle w:val="FirstParagraph"/>
      </w:pPr>
      <w:r>
        <w:t xml:space="preserve">Eight classes over all</w:t>
      </w:r>
      <w:r>
        <w:t xml:space="preserve"> </w:t>
      </w:r>
      <w:r>
        <w:rPr>
          <w:b/>
          <w:bCs/>
        </w:rPr>
        <w:t xml:space="preserve">156</w:t>
      </w:r>
      <w:r>
        <w:t xml:space="preserve"> </w:t>
      </w:r>
      <w:r>
        <w:t xml:space="preserve">nets.</w:t>
      </w:r>
      <w:r>
        <w:t xml:space="preserve"> </w:t>
      </w:r>
      <w:r>
        <w:rPr>
          <w:b/>
          <w:bCs/>
        </w:rPr>
        <w:t xml:space="preserve">Minimum</w:t>
      </w:r>
      <w:r>
        <w:t xml:space="preserve"> </w:t>
      </w:r>
      <w:r>
        <w:t xml:space="preserve">is a floor and a conductor below it is an error;</w:t>
      </w:r>
      <w:r>
        <w:t xml:space="preserve"> </w:t>
      </w:r>
      <w:r>
        <w:rPr>
          <w:b/>
          <w:bCs/>
        </w:rPr>
        <w:t xml:space="preserve">preferred</w:t>
      </w:r>
      <w:r>
        <w:t xml:space="preserve"> </w:t>
      </w:r>
      <w:r>
        <w:t xml:space="preserve">is what to route at wherever the board allows it.</w:t>
      </w:r>
      <w:r>
        <w:t xml:space="preserve"> </w:t>
      </w:r>
      <w:r>
        <w:rPr>
          <w:rStyle w:val="VerbatimChar"/>
        </w:rPr>
        <w:t xml:space="preserve">Vias</w:t>
      </w:r>
      <w:r>
        <w:t xml:space="preserve"> </w:t>
      </w:r>
      <w:r>
        <w:t xml:space="preserve">says whether the class may have one at all.</w:t>
      </w:r>
      <w:r>
        <w:t xml:space="preserve"> </w:t>
      </w:r>
      <w:r>
        <w:rPr>
          <w:rStyle w:val="VerbatimChar"/>
        </w:rPr>
        <w:t xml:space="preserve">Confirm</w:t>
      </w:r>
      <w:r>
        <w:t xml:space="preserve"> </w:t>
      </w:r>
      <w:r>
        <w:t xml:space="preserve">names the</w:t>
      </w:r>
      <w:r>
        <w:t xml:space="preserve"> </w:t>
      </w:r>
      <w:r>
        <w:rPr>
          <w:b/>
          <w:bCs/>
        </w:rPr>
        <w:t xml:space="preserve">columns of that row</w:t>
      </w:r>
      <w:r>
        <w:t xml:space="preserve"> </w:t>
      </w:r>
      <w:r>
        <w:t xml:space="preserve">that are proposals of this programme and not transcriptions from a governing document – if one of those is unroutable, say so at the placement gate rather than relaxing it silently. Everything not named there is a requirement.</w:t>
      </w:r>
    </w:p>
    <w:tbl>
      <w:tblPr>
        <w:tblStyle w:val="TableSmall"/>
        <w:tblW w:w="5000" w:type="pct"/>
        <w:tblLayout w:type="autofit"/>
        <w:tblLook w:firstRow="1" w:lastRow="0" w:firstColumn="0" w:lastColumn="0" w:noHBand="0" w:noVBand="0" w:val="0020"/>
      </w:tblPr>
      <w:tblGrid>
        <w:gridCol w:w="1455"/>
        <w:gridCol w:w="1139"/>
        <w:gridCol w:w="1507"/>
        <w:gridCol w:w="1507"/>
        <w:gridCol w:w="1270"/>
        <w:gridCol w:w="1213"/>
        <w:gridCol w:w="1320"/>
      </w:tblGrid>
      <w:tr>
        <w:trPr>
          <w:cantSplit/>
          <w:tblHeader/>
        </w:trPr>
        <w:tc>
          <w:tcPr>
            <w:tcW w:w="1455" w:type="dxa"/>
          </w:tcPr>
          <w:p>
            <w:pPr>
              <w:pStyle w:val="Compact"/>
            </w:pPr>
            <w:r>
              <w:t xml:space="preserve">Class</w:t>
            </w:r>
          </w:p>
        </w:tc>
        <w:tc>
          <w:tcPr>
            <w:tcW w:w="1139" w:type="dxa"/>
          </w:tcPr>
          <w:p>
            <w:pPr>
              <w:pStyle w:val="Compact"/>
            </w:pPr>
            <w:r>
              <w:t xml:space="preserve">Nets</w:t>
            </w:r>
          </w:p>
        </w:tc>
        <w:tc>
          <w:tcPr>
            <w:tcW w:w="1507" w:type="dxa"/>
          </w:tcPr>
          <w:p>
            <w:pPr>
              <w:pStyle w:val="Compact"/>
            </w:pPr>
            <w:r>
              <w:t xml:space="preserve">Width min / pref (mm)</w:t>
            </w:r>
          </w:p>
        </w:tc>
        <w:tc>
          <w:tcPr>
            <w:tcW w:w="1507" w:type="dxa"/>
          </w:tcPr>
          <w:p>
            <w:pPr>
              <w:pStyle w:val="Compact"/>
            </w:pPr>
            <w:r>
              <w:t xml:space="preserve">Clearance min / pref (mm)</w:t>
            </w:r>
          </w:p>
        </w:tc>
        <w:tc>
          <w:tcPr>
            <w:tcW w:w="1270" w:type="dxa"/>
          </w:tcPr>
          <w:p>
            <w:pPr>
              <w:pStyle w:val="Compact"/>
            </w:pPr>
            <w:r>
              <w:t xml:space="preserve">Layers</w:t>
            </w:r>
          </w:p>
        </w:tc>
        <w:tc>
          <w:tcPr>
            <w:tcW w:w="1213" w:type="dxa"/>
          </w:tcPr>
          <w:p>
            <w:pPr>
              <w:pStyle w:val="Compact"/>
            </w:pPr>
            <w:r>
              <w:t xml:space="preserve">Vias</w:t>
            </w:r>
          </w:p>
        </w:tc>
        <w:tc>
          <w:tcPr>
            <w:tcW w:w="1320" w:type="dxa"/>
          </w:tcPr>
          <w:p>
            <w:pPr>
              <w:pStyle w:val="Compact"/>
            </w:pPr>
            <w:r>
              <w:t xml:space="preserve">Confirm</w:t>
            </w:r>
          </w:p>
        </w:tc>
      </w:tr>
      <w:tr>
        <w:trPr>
          <w:cantSplit/>
        </w:trPr>
        <w:tc>
          <w:tcPr>
            <w:tcW w:w="1455" w:type="dxa"/>
          </w:tcPr>
          <w:p>
            <w:pPr>
              <w:pStyle w:val="Compact"/>
            </w:pPr>
            <w:r>
              <w:rPr>
                <w:rStyle w:val="VerbatimChar"/>
              </w:rPr>
              <w:t xml:space="preserve">ELECTRODE</w:t>
            </w:r>
          </w:p>
        </w:tc>
        <w:tc>
          <w:tcPr>
            <w:tcW w:w="1139" w:type="dxa"/>
          </w:tcPr>
          <w:p>
            <w:pPr>
              <w:pStyle w:val="Compact"/>
            </w:pPr>
            <w:r>
              <w:t xml:space="preserve">32</w:t>
            </w:r>
          </w:p>
        </w:tc>
        <w:tc>
          <w:tcPr>
            <w:tcW w:w="1507" w:type="dxa"/>
          </w:tcPr>
          <w:p>
            <w:pPr>
              <w:pStyle w:val="Compact"/>
            </w:pPr>
            <w:r>
              <w:t xml:space="preserve">0.25 / 0.30</w:t>
            </w:r>
          </w:p>
        </w:tc>
        <w:tc>
          <w:tcPr>
            <w:tcW w:w="1507" w:type="dxa"/>
          </w:tcPr>
          <w:p>
            <w:pPr>
              <w:pStyle w:val="Compact"/>
            </w:pPr>
            <w:r>
              <w:t xml:space="preserve">0.35 / 0.40</w:t>
            </w:r>
          </w:p>
        </w:tc>
        <w:tc>
          <w:tcPr>
            <w:tcW w:w="1270" w:type="dxa"/>
          </w:tcPr>
          <w:p>
            <w:pPr>
              <w:pStyle w:val="Compact"/>
            </w:pPr>
            <w:r>
              <w:t xml:space="preserve">F.Cu</w:t>
            </w:r>
          </w:p>
        </w:tc>
        <w:tc>
          <w:tcPr>
            <w:tcW w:w="1213" w:type="dxa"/>
          </w:tcPr>
          <w:p>
            <w:pPr>
              <w:pStyle w:val="Compact"/>
            </w:pPr>
            <w:r>
              <w:t xml:space="preserve">NO</w:t>
            </w:r>
          </w:p>
        </w:tc>
        <w:tc>
          <w:tcPr>
            <w:tcW w:w="1320" w:type="dxa"/>
          </w:tcPr>
          <w:p>
            <w:pPr>
              <w:pStyle w:val="Compact"/>
            </w:pPr>
            <w:r>
              <w:rPr>
                <w:b/>
                <w:bCs/>
              </w:rPr>
              <w:t xml:space="preserve">width</w:t>
            </w:r>
          </w:p>
        </w:tc>
      </w:tr>
      <w:tr>
        <w:trPr>
          <w:cantSplit/>
        </w:trPr>
        <w:tc>
          <w:tcPr>
            <w:tcW w:w="1455" w:type="dxa"/>
          </w:tcPr>
          <w:p>
            <w:pPr>
              <w:pStyle w:val="Compact"/>
            </w:pPr>
            <w:r>
              <w:rPr>
                <w:rStyle w:val="VerbatimChar"/>
              </w:rPr>
              <w:t xml:space="preserve">ANALOGUE_REF</w:t>
            </w:r>
          </w:p>
        </w:tc>
        <w:tc>
          <w:tcPr>
            <w:tcW w:w="1139" w:type="dxa"/>
          </w:tcPr>
          <w:p>
            <w:pPr>
              <w:pStyle w:val="Compact"/>
            </w:pPr>
            <w:r>
              <w:t xml:space="preserve">5</w:t>
            </w:r>
          </w:p>
        </w:tc>
        <w:tc>
          <w:tcPr>
            <w:tcW w:w="1507" w:type="dxa"/>
          </w:tcPr>
          <w:p>
            <w:pPr>
              <w:pStyle w:val="Compact"/>
            </w:pPr>
            <w:r>
              <w:t xml:space="preserve">0.30 / 0.40</w:t>
            </w:r>
          </w:p>
        </w:tc>
        <w:tc>
          <w:tcPr>
            <w:tcW w:w="1507" w:type="dxa"/>
          </w:tcPr>
          <w:p>
            <w:pPr>
              <w:pStyle w:val="Compact"/>
            </w:pPr>
            <w:r>
              <w:t xml:space="preserve">0.20 / 0.30</w:t>
            </w:r>
          </w:p>
        </w:tc>
        <w:tc>
          <w:tcPr>
            <w:tcW w:w="1270" w:type="dxa"/>
          </w:tcPr>
          <w:p>
            <w:pPr>
              <w:pStyle w:val="Compact"/>
            </w:pPr>
            <w:r>
              <w:t xml:space="preserve">any</w:t>
            </w:r>
          </w:p>
        </w:tc>
        <w:tc>
          <w:tcPr>
            <w:tcW w:w="1213" w:type="dxa"/>
          </w:tcPr>
          <w:p>
            <w:pPr>
              <w:pStyle w:val="Compact"/>
            </w:pPr>
            <w:r>
              <w:t xml:space="preserve">yes</w:t>
            </w:r>
          </w:p>
        </w:tc>
        <w:tc>
          <w:tcPr>
            <w:tcW w:w="1320" w:type="dxa"/>
          </w:tcPr>
          <w:p>
            <w:pPr>
              <w:pStyle w:val="Compact"/>
            </w:pPr>
            <w:r>
              <w:rPr>
                <w:b/>
                <w:bCs/>
              </w:rPr>
              <w:t xml:space="preserve">width</w:t>
            </w:r>
          </w:p>
        </w:tc>
      </w:tr>
      <w:tr>
        <w:trPr>
          <w:cantSplit/>
        </w:trPr>
        <w:tc>
          <w:tcPr>
            <w:tcW w:w="1455" w:type="dxa"/>
          </w:tcPr>
          <w:p>
            <w:pPr>
              <w:pStyle w:val="Compact"/>
            </w:pPr>
            <w:r>
              <w:rPr>
                <w:rStyle w:val="VerbatimChar"/>
              </w:rPr>
              <w:t xml:space="preserve">POWER</w:t>
            </w:r>
          </w:p>
        </w:tc>
        <w:tc>
          <w:tcPr>
            <w:tcW w:w="1139" w:type="dxa"/>
          </w:tcPr>
          <w:p>
            <w:pPr>
              <w:pStyle w:val="Compact"/>
            </w:pPr>
            <w:r>
              <w:t xml:space="preserve">8</w:t>
            </w:r>
          </w:p>
        </w:tc>
        <w:tc>
          <w:tcPr>
            <w:tcW w:w="1507" w:type="dxa"/>
          </w:tcPr>
          <w:p>
            <w:pPr>
              <w:pStyle w:val="Compact"/>
            </w:pPr>
            <w:r>
              <w:t xml:space="preserve">0.40 / 0.80</w:t>
            </w:r>
          </w:p>
        </w:tc>
        <w:tc>
          <w:tcPr>
            <w:tcW w:w="1507" w:type="dxa"/>
          </w:tcPr>
          <w:p>
            <w:pPr>
              <w:pStyle w:val="Compact"/>
            </w:pPr>
            <w:r>
              <w:t xml:space="preserve">0.20 / 0.30</w:t>
            </w:r>
          </w:p>
        </w:tc>
        <w:tc>
          <w:tcPr>
            <w:tcW w:w="1270" w:type="dxa"/>
          </w:tcPr>
          <w:p>
            <w:pPr>
              <w:pStyle w:val="Compact"/>
            </w:pPr>
            <w:r>
              <w:t xml:space="preserve">any</w:t>
            </w:r>
          </w:p>
        </w:tc>
        <w:tc>
          <w:tcPr>
            <w:tcW w:w="1213" w:type="dxa"/>
          </w:tcPr>
          <w:p>
            <w:pPr>
              <w:pStyle w:val="Compact"/>
            </w:pPr>
            <w:r>
              <w:t xml:space="preserve">yes</w:t>
            </w:r>
          </w:p>
        </w:tc>
        <w:tc>
          <w:tcPr>
            <w:tcW w:w="1320" w:type="dxa"/>
          </w:tcPr>
          <w:p>
            <w:pPr>
              <w:pStyle w:val="Compact"/>
            </w:pPr>
            <w:r>
              <w:t xml:space="preserve">no</w:t>
            </w:r>
          </w:p>
        </w:tc>
      </w:tr>
      <w:tr>
        <w:trPr>
          <w:cantSplit/>
        </w:trPr>
        <w:tc>
          <w:tcPr>
            <w:tcW w:w="1455" w:type="dxa"/>
          </w:tcPr>
          <w:p>
            <w:pPr>
              <w:pStyle w:val="Compact"/>
            </w:pPr>
            <w:r>
              <w:rPr>
                <w:rStyle w:val="VerbatimChar"/>
              </w:rPr>
              <w:t xml:space="preserve">USB</w:t>
            </w:r>
          </w:p>
        </w:tc>
        <w:tc>
          <w:tcPr>
            <w:tcW w:w="1139" w:type="dxa"/>
          </w:tcPr>
          <w:p>
            <w:pPr>
              <w:pStyle w:val="Compact"/>
            </w:pPr>
            <w:r>
              <w:t xml:space="preserve">2</w:t>
            </w:r>
          </w:p>
        </w:tc>
        <w:tc>
          <w:tcPr>
            <w:tcW w:w="1507" w:type="dxa"/>
          </w:tcPr>
          <w:p>
            <w:pPr>
              <w:pStyle w:val="Compact"/>
            </w:pPr>
            <w:r>
              <w:t xml:space="preserve">0.30 / 0.30</w:t>
            </w:r>
          </w:p>
        </w:tc>
        <w:tc>
          <w:tcPr>
            <w:tcW w:w="1507" w:type="dxa"/>
          </w:tcPr>
          <w:p>
            <w:pPr>
              <w:pStyle w:val="Compact"/>
            </w:pPr>
            <w:r>
              <w:t xml:space="preserve">0.35 / 0.35</w:t>
            </w:r>
          </w:p>
        </w:tc>
        <w:tc>
          <w:tcPr>
            <w:tcW w:w="1270" w:type="dxa"/>
          </w:tcPr>
          <w:p>
            <w:pPr>
              <w:pStyle w:val="Compact"/>
            </w:pPr>
            <w:r>
              <w:t xml:space="preserve">F.Cu</w:t>
            </w:r>
          </w:p>
        </w:tc>
        <w:tc>
          <w:tcPr>
            <w:tcW w:w="1213" w:type="dxa"/>
          </w:tcPr>
          <w:p>
            <w:pPr>
              <w:pStyle w:val="Compact"/>
            </w:pPr>
            <w:r>
              <w:t xml:space="preserve">NO</w:t>
            </w:r>
          </w:p>
        </w:tc>
        <w:tc>
          <w:tcPr>
            <w:tcW w:w="1320" w:type="dxa"/>
          </w:tcPr>
          <w:p>
            <w:pPr>
              <w:pStyle w:val="Compact"/>
            </w:pPr>
            <w:r>
              <w:t xml:space="preserve">no</w:t>
            </w:r>
          </w:p>
        </w:tc>
      </w:tr>
      <w:tr>
        <w:trPr>
          <w:cantSplit/>
        </w:trPr>
        <w:tc>
          <w:tcPr>
            <w:tcW w:w="1455" w:type="dxa"/>
          </w:tcPr>
          <w:p>
            <w:pPr>
              <w:pStyle w:val="Compact"/>
            </w:pPr>
            <w:r>
              <w:rPr>
                <w:rStyle w:val="VerbatimChar"/>
              </w:rPr>
              <w:t xml:space="preserve">ANALOGUE</w:t>
            </w:r>
          </w:p>
        </w:tc>
        <w:tc>
          <w:tcPr>
            <w:tcW w:w="1139" w:type="dxa"/>
          </w:tcPr>
          <w:p>
            <w:pPr>
              <w:pStyle w:val="Compact"/>
            </w:pPr>
            <w:r>
              <w:t xml:space="preserve">42</w:t>
            </w:r>
          </w:p>
        </w:tc>
        <w:tc>
          <w:tcPr>
            <w:tcW w:w="1507" w:type="dxa"/>
          </w:tcPr>
          <w:p>
            <w:pPr>
              <w:pStyle w:val="Compact"/>
            </w:pPr>
            <w:r>
              <w:t xml:space="preserve">0.25 / 0.25</w:t>
            </w:r>
          </w:p>
        </w:tc>
        <w:tc>
          <w:tcPr>
            <w:tcW w:w="1507" w:type="dxa"/>
          </w:tcPr>
          <w:p>
            <w:pPr>
              <w:pStyle w:val="Compact"/>
            </w:pPr>
            <w:r>
              <w:t xml:space="preserve">0.20 / 0.30</w:t>
            </w:r>
          </w:p>
        </w:tc>
        <w:tc>
          <w:tcPr>
            <w:tcW w:w="1270" w:type="dxa"/>
          </w:tcPr>
          <w:p>
            <w:pPr>
              <w:pStyle w:val="Compact"/>
            </w:pPr>
            <w:r>
              <w:t xml:space="preserve">any</w:t>
            </w:r>
          </w:p>
        </w:tc>
        <w:tc>
          <w:tcPr>
            <w:tcW w:w="1213" w:type="dxa"/>
          </w:tcPr>
          <w:p>
            <w:pPr>
              <w:pStyle w:val="Compact"/>
            </w:pPr>
            <w:r>
              <w:t xml:space="preserve">yes</w:t>
            </w:r>
          </w:p>
        </w:tc>
        <w:tc>
          <w:tcPr>
            <w:tcW w:w="1320" w:type="dxa"/>
          </w:tcPr>
          <w:p>
            <w:pPr>
              <w:pStyle w:val="Compact"/>
            </w:pPr>
            <w:r>
              <w:t xml:space="preserve">no</w:t>
            </w:r>
          </w:p>
        </w:tc>
      </w:tr>
      <w:tr>
        <w:trPr>
          <w:cantSplit/>
        </w:trPr>
        <w:tc>
          <w:tcPr>
            <w:tcW w:w="1455" w:type="dxa"/>
          </w:tcPr>
          <w:p>
            <w:pPr>
              <w:pStyle w:val="Compact"/>
            </w:pPr>
            <w:r>
              <w:rPr>
                <w:rStyle w:val="VerbatimChar"/>
              </w:rPr>
              <w:t xml:space="preserve">LED_DRIVE</w:t>
            </w:r>
          </w:p>
        </w:tc>
        <w:tc>
          <w:tcPr>
            <w:tcW w:w="1139" w:type="dxa"/>
          </w:tcPr>
          <w:p>
            <w:pPr>
              <w:pStyle w:val="Compact"/>
            </w:pPr>
            <w:r>
              <w:t xml:space="preserve">16</w:t>
            </w:r>
          </w:p>
        </w:tc>
        <w:tc>
          <w:tcPr>
            <w:tcW w:w="1507" w:type="dxa"/>
          </w:tcPr>
          <w:p>
            <w:pPr>
              <w:pStyle w:val="Compact"/>
            </w:pPr>
            <w:r>
              <w:t xml:space="preserve">0.25 / 0.30</w:t>
            </w:r>
          </w:p>
        </w:tc>
        <w:tc>
          <w:tcPr>
            <w:tcW w:w="1507" w:type="dxa"/>
          </w:tcPr>
          <w:p>
            <w:pPr>
              <w:pStyle w:val="Compact"/>
            </w:pPr>
            <w:r>
              <w:t xml:space="preserve">0.20 / 0.25</w:t>
            </w:r>
          </w:p>
        </w:tc>
        <w:tc>
          <w:tcPr>
            <w:tcW w:w="1270" w:type="dxa"/>
          </w:tcPr>
          <w:p>
            <w:pPr>
              <w:pStyle w:val="Compact"/>
            </w:pPr>
            <w:r>
              <w:t xml:space="preserve">any</w:t>
            </w:r>
          </w:p>
        </w:tc>
        <w:tc>
          <w:tcPr>
            <w:tcW w:w="1213" w:type="dxa"/>
          </w:tcPr>
          <w:p>
            <w:pPr>
              <w:pStyle w:val="Compact"/>
            </w:pPr>
            <w:r>
              <w:t xml:space="preserve">yes</w:t>
            </w:r>
          </w:p>
        </w:tc>
        <w:tc>
          <w:tcPr>
            <w:tcW w:w="1320" w:type="dxa"/>
          </w:tcPr>
          <w:p>
            <w:pPr>
              <w:pStyle w:val="Compact"/>
            </w:pPr>
            <w:r>
              <w:t xml:space="preserve">no</w:t>
            </w:r>
          </w:p>
        </w:tc>
      </w:tr>
      <w:tr>
        <w:trPr>
          <w:cantSplit/>
        </w:trPr>
        <w:tc>
          <w:tcPr>
            <w:tcW w:w="1455" w:type="dxa"/>
          </w:tcPr>
          <w:p>
            <w:pPr>
              <w:pStyle w:val="Compact"/>
            </w:pPr>
            <w:r>
              <w:rPr>
                <w:rStyle w:val="VerbatimChar"/>
              </w:rPr>
              <w:t xml:space="preserve">DIGITAL</w:t>
            </w:r>
          </w:p>
        </w:tc>
        <w:tc>
          <w:tcPr>
            <w:tcW w:w="1139" w:type="dxa"/>
          </w:tcPr>
          <w:p>
            <w:pPr>
              <w:pStyle w:val="Compact"/>
            </w:pPr>
            <w:r>
              <w:t xml:space="preserve">21</w:t>
            </w:r>
          </w:p>
        </w:tc>
        <w:tc>
          <w:tcPr>
            <w:tcW w:w="1507" w:type="dxa"/>
          </w:tcPr>
          <w:p>
            <w:pPr>
              <w:pStyle w:val="Compact"/>
            </w:pPr>
            <w:r>
              <w:t xml:space="preserve">0.20 / 0.25</w:t>
            </w:r>
          </w:p>
        </w:tc>
        <w:tc>
          <w:tcPr>
            <w:tcW w:w="1507" w:type="dxa"/>
          </w:tcPr>
          <w:p>
            <w:pPr>
              <w:pStyle w:val="Compact"/>
            </w:pPr>
            <w:r>
              <w:t xml:space="preserve">0.20 / 0.25</w:t>
            </w:r>
          </w:p>
        </w:tc>
        <w:tc>
          <w:tcPr>
            <w:tcW w:w="1270" w:type="dxa"/>
          </w:tcPr>
          <w:p>
            <w:pPr>
              <w:pStyle w:val="Compact"/>
            </w:pPr>
            <w:r>
              <w:t xml:space="preserve">any</w:t>
            </w:r>
          </w:p>
        </w:tc>
        <w:tc>
          <w:tcPr>
            <w:tcW w:w="1213" w:type="dxa"/>
          </w:tcPr>
          <w:p>
            <w:pPr>
              <w:pStyle w:val="Compact"/>
            </w:pPr>
            <w:r>
              <w:t xml:space="preserve">yes</w:t>
            </w:r>
          </w:p>
        </w:tc>
        <w:tc>
          <w:tcPr>
            <w:tcW w:w="1320" w:type="dxa"/>
          </w:tcPr>
          <w:p>
            <w:pPr>
              <w:pStyle w:val="Compact"/>
            </w:pPr>
            <w:r>
              <w:t xml:space="preserve">no</w:t>
            </w:r>
          </w:p>
        </w:tc>
      </w:tr>
      <w:tr>
        <w:trPr>
          <w:cantSplit/>
        </w:trPr>
        <w:tc>
          <w:tcPr>
            <w:tcW w:w="1455" w:type="dxa"/>
          </w:tcPr>
          <w:p>
            <w:pPr>
              <w:pStyle w:val="Compact"/>
            </w:pPr>
            <w:r>
              <w:rPr>
                <w:rStyle w:val="VerbatimChar"/>
              </w:rPr>
              <w:t xml:space="preserve">DEFAULT</w:t>
            </w:r>
          </w:p>
        </w:tc>
        <w:tc>
          <w:tcPr>
            <w:tcW w:w="1139" w:type="dxa"/>
          </w:tcPr>
          <w:p>
            <w:pPr>
              <w:pStyle w:val="Compact"/>
            </w:pPr>
            <w:r>
              <w:t xml:space="preserve">30</w:t>
            </w:r>
          </w:p>
        </w:tc>
        <w:tc>
          <w:tcPr>
            <w:tcW w:w="1507" w:type="dxa"/>
          </w:tcPr>
          <w:p>
            <w:pPr>
              <w:pStyle w:val="Compact"/>
            </w:pPr>
            <w:r>
              <w:t xml:space="preserve">0.20 / 0.25</w:t>
            </w:r>
          </w:p>
        </w:tc>
        <w:tc>
          <w:tcPr>
            <w:tcW w:w="1507" w:type="dxa"/>
          </w:tcPr>
          <w:p>
            <w:pPr>
              <w:pStyle w:val="Compact"/>
            </w:pPr>
            <w:r>
              <w:t xml:space="preserve">0.20 / 0.25</w:t>
            </w:r>
          </w:p>
        </w:tc>
        <w:tc>
          <w:tcPr>
            <w:tcW w:w="1270" w:type="dxa"/>
          </w:tcPr>
          <w:p>
            <w:pPr>
              <w:pStyle w:val="Compact"/>
            </w:pPr>
            <w:r>
              <w:t xml:space="preserve">any</w:t>
            </w:r>
          </w:p>
        </w:tc>
        <w:tc>
          <w:tcPr>
            <w:tcW w:w="1213" w:type="dxa"/>
          </w:tcPr>
          <w:p>
            <w:pPr>
              <w:pStyle w:val="Compact"/>
            </w:pPr>
            <w:r>
              <w:t xml:space="preserve">yes</w:t>
            </w:r>
          </w:p>
        </w:tc>
        <w:tc>
          <w:tcPr>
            <w:tcW w:w="1320" w:type="dxa"/>
          </w:tcPr>
          <w:p>
            <w:pPr>
              <w:pStyle w:val="Compact"/>
            </w:pPr>
            <w:r>
              <w:t xml:space="preserve">no</w:t>
            </w:r>
          </w:p>
        </w:tc>
      </w:tr>
    </w:tbl>
    <w:p>
      <w:pPr>
        <w:pStyle w:val="BodyText"/>
      </w:pPr>
      <w:r>
        <w:rPr>
          <w:rStyle w:val="VerbatimChar"/>
          <w:b/>
          <w:bCs/>
        </w:rPr>
        <w:t xml:space="preserve">ELECTRODE</w:t>
      </w:r>
      <w:r>
        <w:t xml:space="preserve"> </w:t>
      </w:r>
      <w:r>
        <w:t xml:space="preserve">– every column of that row except width is a requirement transcribed from DSN-EEG-003 section 3.3 rule 3, and is not open for confirmation.</w:t>
      </w:r>
    </w:p>
    <w:p>
      <w:pPr>
        <w:pStyle w:val="BodyText"/>
      </w:pPr>
      <w:r>
        <w:t xml:space="preserve">Where the numbers come from:</w:t>
      </w:r>
    </w:p>
    <w:p>
      <w:pPr>
        <w:pStyle w:val="Compact"/>
        <w:numPr>
          <w:ilvl w:val="0"/>
          <w:numId w:val="1003"/>
        </w:numPr>
      </w:pPr>
      <w:r>
        <w:rPr>
          <w:rStyle w:val="VerbatimChar"/>
          <w:b/>
          <w:bCs/>
        </w:rPr>
        <w:t xml:space="preserve">ELECTRODE</w:t>
      </w:r>
      <w:r>
        <w:t xml:space="preserve"> </w:t>
      </w:r>
      <w:r>
        <w:t xml:space="preserve">– Patient-connected.</w:t>
      </w:r>
      <w:r>
        <w:t xml:space="preserve"> </w:t>
      </w:r>
      <w:r>
        <w:rPr>
          <w:b/>
          <w:bCs/>
        </w:rPr>
        <w:t xml:space="preserve">The clearance, the layer and the via restriction are requirements, not proposals.</w:t>
      </w:r>
      <w:r>
        <w:t xml:space="preserve"> </w:t>
      </w:r>
      <w:r>
        <w:t xml:space="preserve">DSN-EEG-003 section 3.3 rule 3 reads: every electrode net is routed on L1 with the reference plane continuous beneath it, at 0.35 mm clearance to any other net rather than 0.20 mm. The 0.35 mm is transcribed from that sentence and from the electrode-net clearance row of section 3.2; L1-only is transcribed from it word for word; and the via prohibition follows from both halves of it, because a net routed wholly on L1 has no via to place and a via would break the plane it is routed over. It is achievable – the harness socket J14, the R/D/C protection rows and the module sockets J2/J4/J23/J29 are all on the top side.</w:t>
      </w:r>
      <w:r>
        <w:t xml:space="preserve"> </w:t>
      </w:r>
      <w:r>
        <w:rPr>
          <w:b/>
          <w:bCs/>
        </w:rPr>
        <w:t xml:space="preserve">What IS a proposal is the width pair</w:t>
      </w:r>
      <w:r>
        <w:t xml:space="preserve">, and only that: no governing document fixes a width for these nets. Section 3.2 gives the board a 0.20 mm floor and a 0.25 mm preferred width and says nothing about the electrode class. The 0.25 mm minimum is set above the board floor because Rev B only reached 0.20 mm on these nets by relaxing, and a patient-connected conductor is the last place to spend the last 0.05 mm. Current is not the constraint: these carry microamperes.</w:t>
      </w:r>
    </w:p>
    <w:p>
      <w:pPr>
        <w:pStyle w:val="Compact"/>
        <w:numPr>
          <w:ilvl w:val="0"/>
          <w:numId w:val="1003"/>
        </w:numPr>
      </w:pPr>
      <w:r>
        <w:rPr>
          <w:rStyle w:val="VerbatimChar"/>
          <w:b/>
          <w:bCs/>
        </w:rPr>
        <w:t xml:space="preserve">ANALOGUE_REF</w:t>
      </w:r>
      <w:r>
        <w:t xml:space="preserve"> </w:t>
      </w:r>
      <w:r>
        <w:t xml:space="preserve">– AGND_REF, AVDD, AVSS and the module-2 pair. About 10 mA per rail (ICD-EEG-006 section 2.1), so 0.20 mm would carry it four times over: the width is for source impedance and for the mid-rail’s noise, not for current. 0.40 mm preferred is what the Rev B router already aimed at.</w:t>
      </w:r>
    </w:p>
    <w:p>
      <w:pPr>
        <w:pStyle w:val="Compact"/>
        <w:numPr>
          <w:ilvl w:val="0"/>
          <w:numId w:val="1003"/>
        </w:numPr>
      </w:pPr>
      <w:r>
        <w:rPr>
          <w:rStyle w:val="VerbatimChar"/>
          <w:b/>
          <w:bCs/>
        </w:rPr>
        <w:t xml:space="preserve">POWER</w:t>
      </w:r>
      <w:r>
        <w:t xml:space="preserve"> </w:t>
      </w:r>
      <w:r>
        <w:t xml:space="preserve">– VSYS, VBAT, V5V, VBUS_CHG, VBUS_IN, DVDD3V3, VDD_ISO, DGND. The worst case is about 610 mA at J13 (ICD-EEG-006 section 2.7, calculated). On 35 um outer copper at a 10 C rise, IPC-2221 gives about 1.29 A for 0.40 mm and about 0.89 A for 0.25 mm, so 0.40 mm is the floor with margin and 0.80 mm is the preferred width the Rev B router already used.</w:t>
      </w:r>
    </w:p>
    <w:p>
      <w:pPr>
        <w:pStyle w:val="Compact"/>
        <w:numPr>
          <w:ilvl w:val="0"/>
          <w:numId w:val="1003"/>
        </w:numPr>
      </w:pPr>
      <w:r>
        <w:rPr>
          <w:rStyle w:val="VerbatimChar"/>
          <w:b/>
          <w:bCs/>
        </w:rPr>
        <w:t xml:space="preserve">USB</w:t>
      </w:r>
      <w:r>
        <w:t xml:space="preserve"> </w:t>
      </w:r>
      <w:r>
        <w:t xml:space="preserve">– DSN-EEG-003 section 3.3 rule 5, transcribed and not proposed: a 0.30 mm pair on 0.35 mm spacing on L1 directly over the DGND plane on L2, about 95 ohm differential. The width is the impedance, so it is a fixed value and not a minimum; a via would move the reference and is not permitted.</w:t>
      </w:r>
    </w:p>
    <w:p>
      <w:pPr>
        <w:pStyle w:val="Compact"/>
        <w:numPr>
          <w:ilvl w:val="0"/>
          <w:numId w:val="1003"/>
        </w:numPr>
      </w:pPr>
      <w:r>
        <w:rPr>
          <w:rStyle w:val="VerbatimChar"/>
          <w:b/>
          <w:bCs/>
        </w:rPr>
        <w:t xml:space="preserve">ANALOGUE</w:t>
      </w:r>
      <w:r>
        <w:t xml:space="preserve"> </w:t>
      </w:r>
      <w:r>
        <w:t xml:space="preserve">– Envelope-detector nodes, the microphone and headphone paths, the comparator. Signal nets at high impedance; 0.25 mm is the board’s preferred width and there is no reason for these to be narrower than that.</w:t>
      </w:r>
    </w:p>
    <w:p>
      <w:pPr>
        <w:pStyle w:val="Compact"/>
        <w:numPr>
          <w:ilvl w:val="0"/>
          <w:numId w:val="1003"/>
        </w:numPr>
      </w:pPr>
      <w:r>
        <w:rPr>
          <w:rStyle w:val="VerbatimChar"/>
          <w:b/>
          <w:bCs/>
        </w:rPr>
        <w:t xml:space="preserve">LED_DRIVE</w:t>
      </w:r>
      <w:r>
        <w:t xml:space="preserve"> </w:t>
      </w:r>
      <w:r>
        <w:t xml:space="preserve">– 1.3 mA per site and 10.4 mA on the LED_V common (ICD-EEG-006 section 2.11, calculated), so current is nowhere near the constraint. These run to a harness connector and out of the box, which is the reason not to route them at the 0.20 mm floor.</w:t>
      </w:r>
    </w:p>
    <w:p>
      <w:pPr>
        <w:pStyle w:val="Compact"/>
        <w:numPr>
          <w:ilvl w:val="0"/>
          <w:numId w:val="1003"/>
        </w:numPr>
      </w:pPr>
      <w:r>
        <w:rPr>
          <w:rStyle w:val="VerbatimChar"/>
          <w:b/>
          <w:bCs/>
        </w:rPr>
        <w:t xml:space="preserve">DIGITAL</w:t>
      </w:r>
      <w:r>
        <w:t xml:space="preserve"> </w:t>
      </w:r>
      <w:r>
        <w:t xml:space="preserve">– SPI, I2S, I2C, SDMMC, UART and the control lines. Logic-level, milliamperes.</w:t>
      </w:r>
    </w:p>
    <w:p>
      <w:pPr>
        <w:pStyle w:val="Compact"/>
        <w:numPr>
          <w:ilvl w:val="0"/>
          <w:numId w:val="1003"/>
        </w:numPr>
      </w:pPr>
      <w:r>
        <w:rPr>
          <w:rStyle w:val="VerbatimChar"/>
          <w:b/>
          <w:bCs/>
        </w:rPr>
        <w:t xml:space="preserve">DEFAULT</w:t>
      </w:r>
      <w:r>
        <w:t xml:space="preserve"> </w:t>
      </w:r>
      <w:r>
        <w:t xml:space="preserve">– Everything the classes above do not name: test points, spare ways, no-connects, the harness screen, the button and reset lines.</w:t>
      </w:r>
    </w:p>
    <w:p>
      <w:pPr>
        <w:pStyle w:val="FirstParagraph"/>
      </w:pPr>
      <w:r>
        <w:t xml:space="preserve">The class of every net is in</w:t>
      </w:r>
      <w:r>
        <w:t xml:space="preserve"> </w:t>
      </w:r>
      <w:r>
        <w:rPr>
          <w:rStyle w:val="VerbatimChar"/>
        </w:rPr>
        <w:t xml:space="preserve">kicad/EEG-CAR-01_RevC.kicad_pro</w:t>
      </w:r>
      <w:r>
        <w:t xml:space="preserve"> </w:t>
      </w:r>
      <w:r>
        <w:t xml:space="preserve">and, in a form a person can read, in</w:t>
      </w:r>
      <w:r>
        <w:t xml:space="preserve"> </w:t>
      </w:r>
      <w:r>
        <w:rPr>
          <w:rStyle w:val="VerbatimChar"/>
        </w:rPr>
        <w:t xml:space="preserve">constraints/nets.md</w:t>
      </w:r>
      <w:r>
        <w:t xml:space="preserve">.</w:t>
      </w:r>
    </w:p>
    <w:bookmarkEnd w:id="13"/>
    <w:bookmarkStart w:id="14" w:name="geometry-rules"/>
    <w:p>
      <w:pPr>
        <w:pStyle w:val="Heading2"/>
      </w:pPr>
      <w:r>
        <w:t xml:space="preserve">6. Geometry rules</w:t>
      </w:r>
    </w:p>
    <w:p>
      <w:pPr>
        <w:pStyle w:val="FirstParagraph"/>
      </w:pPr>
      <w:r>
        <w:t xml:space="preserve">These are the seven findings an external layout engineer made against Rev B between 3 and 5 September 2026 (ECO-EEG-016 section 2, ECO-EEG-030), and they are why this sheet exists.</w:t>
      </w:r>
      <w:r>
        <w:t xml:space="preserve"> </w:t>
      </w:r>
      <w:r>
        <w:rPr>
          <w:b/>
          <w:bCs/>
        </w:rPr>
        <w:t xml:space="preserve">Six are rules; the seventh was a missing check and is section 7.</w:t>
      </w:r>
      <w:r>
        <w:t xml:space="preserve"> </w:t>
      </w:r>
      <w:r>
        <w:t xml:space="preserve">The right-hand column is not a formality: two of them KiCad cannot check, and this programme checks those itself on the geometry that comes back.</w:t>
      </w:r>
    </w:p>
    <w:tbl>
      <w:tblPr>
        <w:tblStyle w:val="Table"/>
        <w:tblW w:w="5000" w:type="pct"/>
        <w:tblLayout w:type="autofit"/>
        <w:tblLook w:firstRow="1" w:lastRow="0" w:firstColumn="0" w:lastColumn="0" w:noHBand="0" w:noVBand="0" w:val="0020"/>
      </w:tblPr>
      <w:tblGrid>
        <w:gridCol w:w="1845"/>
        <w:gridCol w:w="3874"/>
        <w:gridCol w:w="3692"/>
      </w:tblGrid>
      <w:tr>
        <w:trPr>
          <w:cantSplit/>
          <w:tblHeader/>
        </w:trPr>
        <w:tc>
          <w:tcPr>
            <w:tcW w:w="1845" w:type="dxa"/>
          </w:tcPr>
          <w:p>
            <w:pPr>
              <w:pStyle w:val="Compact"/>
            </w:pPr>
            <w:r>
              <w:t xml:space="preserve">#</w:t>
            </w:r>
          </w:p>
        </w:tc>
        <w:tc>
          <w:tcPr>
            <w:tcW w:w="3874" w:type="dxa"/>
          </w:tcPr>
          <w:p>
            <w:pPr>
              <w:pStyle w:val="Compact"/>
            </w:pPr>
            <w:r>
              <w:t xml:space="preserve">Rule</w:t>
            </w:r>
          </w:p>
        </w:tc>
        <w:tc>
          <w:tcPr>
            <w:tcW w:w="3692" w:type="dxa"/>
          </w:tcPr>
          <w:p>
            <w:pPr>
              <w:pStyle w:val="Compact"/>
            </w:pPr>
            <w:r>
              <w:t xml:space="preserve">Checked by</w:t>
            </w:r>
          </w:p>
        </w:tc>
      </w:tr>
      <w:tr>
        <w:trPr>
          <w:cantSplit/>
        </w:trPr>
        <w:tc>
          <w:tcPr>
            <w:tcW w:w="1845" w:type="dxa"/>
          </w:tcPr>
          <w:p>
            <w:pPr>
              <w:pStyle w:val="Compact"/>
            </w:pPr>
            <w:r>
              <w:t xml:space="preserve">1</w:t>
            </w:r>
          </w:p>
        </w:tc>
        <w:tc>
          <w:tcPr>
            <w:tcW w:w="3874" w:type="dxa"/>
          </w:tcPr>
          <w:p>
            <w:pPr>
              <w:pStyle w:val="Compact"/>
            </w:pPr>
            <w:r>
              <w:rPr>
                <w:b/>
                <w:bCs/>
              </w:rPr>
              <w:t xml:space="preserve">No drill inside a pad.</w:t>
            </w:r>
            <w:r>
              <w:t xml:space="preserve"> </w:t>
            </w:r>
            <w:r>
              <w:t xml:space="preserve">No via inside an SMD pad or within 0.15 mm of one, on its own net or any other</w:t>
            </w:r>
          </w:p>
        </w:tc>
        <w:tc>
          <w:tcPr>
            <w:tcW w:w="3692" w:type="dxa"/>
          </w:tcPr>
          <w:p>
            <w:pPr>
              <w:pStyle w:val="Compact"/>
            </w:pPr>
            <w:r>
              <w:t xml:space="preserve">KiCad DRC (</w:t>
            </w:r>
            <w:r>
              <w:rPr>
                <w:rStyle w:val="VerbatimChar"/>
              </w:rPr>
              <w:t xml:space="preserve">no_via_in_smd_pad</w:t>
            </w:r>
            <w:r>
              <w:t xml:space="preserve">)</w:t>
            </w:r>
            <w:r>
              <w:t xml:space="preserve"> </w:t>
            </w:r>
            <w:r>
              <w:rPr>
                <w:b/>
                <w:bCs/>
              </w:rPr>
              <w:t xml:space="preserve">and</w:t>
            </w:r>
            <w:r>
              <w:t xml:space="preserve"> </w:t>
            </w:r>
            <w:r>
              <w:t xml:space="preserve">our DRC on return</w:t>
            </w:r>
          </w:p>
        </w:tc>
      </w:tr>
      <w:tr>
        <w:trPr>
          <w:cantSplit/>
        </w:trPr>
        <w:tc>
          <w:tcPr>
            <w:tcW w:w="1845" w:type="dxa"/>
          </w:tcPr>
          <w:p>
            <w:pPr>
              <w:pStyle w:val="Compact"/>
            </w:pPr>
            <w:r>
              <w:t xml:space="preserve">2a</w:t>
            </w:r>
          </w:p>
        </w:tc>
        <w:tc>
          <w:tcPr>
            <w:tcW w:w="3874" w:type="dxa"/>
          </w:tcPr>
          <w:p>
            <w:pPr>
              <w:pStyle w:val="Compact"/>
            </w:pPr>
            <w:r>
              <w:rPr>
                <w:b/>
                <w:bCs/>
              </w:rPr>
              <w:t xml:space="preserve">No dangling track end.</w:t>
            </w:r>
            <w:r>
              <w:t xml:space="preserve"> </w:t>
            </w:r>
            <w:r>
              <w:t xml:space="preserve">Every track end lands on a pad, a via, another track or a pour</w:t>
            </w:r>
          </w:p>
        </w:tc>
        <w:tc>
          <w:tcPr>
            <w:tcW w:w="3692" w:type="dxa"/>
          </w:tcPr>
          <w:p>
            <w:pPr>
              <w:pStyle w:val="Compact"/>
            </w:pPr>
            <w:r>
              <w:t xml:space="preserve">KiCad DRC built-in</w:t>
            </w:r>
            <w:r>
              <w:t xml:space="preserve"> </w:t>
            </w:r>
            <w:r>
              <w:rPr>
                <w:rStyle w:val="VerbatimChar"/>
              </w:rPr>
              <w:t xml:space="preserve">track_dangling</w:t>
            </w:r>
            <w:r>
              <w:t xml:space="preserve">, raised to</w:t>
            </w:r>
            <w:r>
              <w:t xml:space="preserve"> </w:t>
            </w:r>
            <w:r>
              <w:rPr>
                <w:b/>
                <w:bCs/>
              </w:rPr>
              <w:t xml:space="preserve">error</w:t>
            </w:r>
            <w:r>
              <w:t xml:space="preserve"> </w:t>
            </w:r>
            <w:r>
              <w:t xml:space="preserve">in the project file,</w:t>
            </w:r>
            <w:r>
              <w:t xml:space="preserve"> </w:t>
            </w:r>
            <w:r>
              <w:rPr>
                <w:b/>
                <w:bCs/>
              </w:rPr>
              <w:t xml:space="preserve">and</w:t>
            </w:r>
            <w:r>
              <w:t xml:space="preserve"> </w:t>
            </w:r>
            <w:r>
              <w:t xml:space="preserve">our DRC on return</w:t>
            </w:r>
          </w:p>
        </w:tc>
      </w:tr>
      <w:tr>
        <w:trPr>
          <w:cantSplit/>
        </w:trPr>
        <w:tc>
          <w:tcPr>
            <w:tcW w:w="1845" w:type="dxa"/>
          </w:tcPr>
          <w:p>
            <w:pPr>
              <w:pStyle w:val="Compact"/>
            </w:pPr>
            <w:r>
              <w:t xml:space="preserve">2b</w:t>
            </w:r>
          </w:p>
        </w:tc>
        <w:tc>
          <w:tcPr>
            <w:tcW w:w="3874" w:type="dxa"/>
          </w:tcPr>
          <w:p>
            <w:pPr>
              <w:pStyle w:val="Compact"/>
            </w:pPr>
            <w:r>
              <w:rPr>
                <w:b/>
                <w:bCs/>
              </w:rPr>
              <w:t xml:space="preserve">No redundant copper path.</w:t>
            </w:r>
            <w:r>
              <w:t xml:space="preserve"> </w:t>
            </w:r>
            <w:r>
              <w:t xml:space="preserve">Not more than one copper path between the same two points on a net, outside a plane</w:t>
            </w:r>
          </w:p>
        </w:tc>
        <w:tc>
          <w:tcPr>
            <w:tcW w:w="3692" w:type="dxa"/>
          </w:tcPr>
          <w:p>
            <w:pPr>
              <w:pStyle w:val="Compact"/>
            </w:pPr>
            <w:r>
              <w:t xml:space="preserve">KiCad DRC built-ins</w:t>
            </w:r>
            <w:r>
              <w:t xml:space="preserve"> </w:t>
            </w:r>
            <w:r>
              <w:rPr>
                <w:b/>
                <w:bCs/>
              </w:rPr>
              <w:t xml:space="preserve">and</w:t>
            </w:r>
            <w:r>
              <w:t xml:space="preserve"> </w:t>
            </w:r>
            <w:r>
              <w:t xml:space="preserve">our DRC on return</w:t>
            </w:r>
          </w:p>
        </w:tc>
      </w:tr>
      <w:tr>
        <w:trPr>
          <w:cantSplit/>
        </w:trPr>
        <w:tc>
          <w:tcPr>
            <w:tcW w:w="1845" w:type="dxa"/>
          </w:tcPr>
          <w:p>
            <w:pPr>
              <w:pStyle w:val="Compact"/>
            </w:pPr>
            <w:r>
              <w:t xml:space="preserve">3</w:t>
            </w:r>
          </w:p>
        </w:tc>
        <w:tc>
          <w:tcPr>
            <w:tcW w:w="3874" w:type="dxa"/>
          </w:tcPr>
          <w:p>
            <w:pPr>
              <w:pStyle w:val="Compact"/>
            </w:pPr>
            <w:r>
              <w:rPr>
                <w:b/>
                <w:bCs/>
              </w:rPr>
              <w:t xml:space="preserve">45-degree routing.</w:t>
            </w:r>
            <w:r>
              <w:t xml:space="preserve"> </w:t>
            </w:r>
            <w:r>
              <w:t xml:space="preserve">No angle below 90 degrees between two segments of one track, and every segment on a 0, 45, 90 or 135 degree axis</w:t>
            </w:r>
          </w:p>
        </w:tc>
        <w:tc>
          <w:tcPr>
            <w:tcW w:w="3692" w:type="dxa"/>
          </w:tcPr>
          <w:p>
            <w:pPr>
              <w:pStyle w:val="Compact"/>
            </w:pPr>
            <w:r>
              <w:rPr>
                <w:b/>
                <w:bCs/>
              </w:rPr>
              <w:t xml:space="preserve">NOT CHECKABLE IN KiCad</w:t>
            </w:r>
            <w:r>
              <w:t xml:space="preserve"> </w:t>
            </w:r>
            <w:r>
              <w:t xml:space="preserve">– there is no constraint for it.</w:t>
            </w:r>
            <w:r>
              <w:t xml:space="preserve"> </w:t>
            </w:r>
            <w:r>
              <w:rPr>
                <w:b/>
                <w:bCs/>
              </w:rPr>
              <w:t xml:space="preserve">Verified by our DRC on the returned board</w:t>
            </w:r>
          </w:p>
        </w:tc>
      </w:tr>
      <w:tr>
        <w:trPr>
          <w:cantSplit/>
        </w:trPr>
        <w:tc>
          <w:tcPr>
            <w:tcW w:w="1845" w:type="dxa"/>
          </w:tcPr>
          <w:p>
            <w:pPr>
              <w:pStyle w:val="Compact"/>
            </w:pPr>
            <w:r>
              <w:t xml:space="preserve">4</w:t>
            </w:r>
          </w:p>
        </w:tc>
        <w:tc>
          <w:tcPr>
            <w:tcW w:w="3874" w:type="dxa"/>
          </w:tcPr>
          <w:p>
            <w:pPr>
              <w:pStyle w:val="Compact"/>
            </w:pPr>
            <w:r>
              <w:rPr>
                <w:b/>
                <w:bCs/>
              </w:rPr>
              <w:t xml:space="preserve">Pad-centre entry.</w:t>
            </w:r>
            <w:r>
              <w:t xml:space="preserve"> </w:t>
            </w:r>
            <w:r>
              <w:t xml:space="preserve">A track entering a pad has its centreline within 25 % of the pad’s minor dimension of the pad centre</w:t>
            </w:r>
          </w:p>
        </w:tc>
        <w:tc>
          <w:tcPr>
            <w:tcW w:w="3692" w:type="dxa"/>
          </w:tcPr>
          <w:p>
            <w:pPr>
              <w:pStyle w:val="Compact"/>
            </w:pPr>
            <w:r>
              <w:rPr>
                <w:b/>
                <w:bCs/>
              </w:rPr>
              <w:t xml:space="preserve">NOT CHECKABLE IN KiCad.</w:t>
            </w:r>
            <w:r>
              <w:t xml:space="preserve"> </w:t>
            </w:r>
            <w:r>
              <w:rPr>
                <w:b/>
                <w:bCs/>
              </w:rPr>
              <w:t xml:space="preserve">Verified by our DRC on the returned board</w:t>
            </w:r>
          </w:p>
        </w:tc>
      </w:tr>
      <w:tr>
        <w:trPr>
          <w:cantSplit/>
        </w:trPr>
        <w:tc>
          <w:tcPr>
            <w:tcW w:w="1845" w:type="dxa"/>
          </w:tcPr>
          <w:p>
            <w:pPr>
              <w:pStyle w:val="Compact"/>
            </w:pPr>
            <w:r>
              <w:t xml:space="preserve">5</w:t>
            </w:r>
          </w:p>
        </w:tc>
        <w:tc>
          <w:tcPr>
            <w:tcW w:w="3874" w:type="dxa"/>
          </w:tcPr>
          <w:p>
            <w:pPr>
              <w:pStyle w:val="Compact"/>
            </w:pPr>
            <w:r>
              <w:rPr>
                <w:b/>
                <w:bCs/>
              </w:rPr>
              <w:t xml:space="preserve">Net classes.</w:t>
            </w:r>
            <w:r>
              <w:t xml:space="preserve"> </w:t>
            </w:r>
            <w:r>
              <w:t xml:space="preserve">Section 5 above: width, clearance, permitted layers and the via rule, per class</w:t>
            </w:r>
          </w:p>
        </w:tc>
        <w:tc>
          <w:tcPr>
            <w:tcW w:w="3692" w:type="dxa"/>
          </w:tcPr>
          <w:p>
            <w:pPr>
              <w:pStyle w:val="Compact"/>
            </w:pPr>
            <w:r>
              <w:t xml:space="preserve">KiCad DRC (</w:t>
            </w:r>
            <w:r>
              <w:rPr>
                <w:rStyle w:val="VerbatimChar"/>
              </w:rPr>
              <w:t xml:space="preserve">width_*</w:t>
            </w:r>
            <w:r>
              <w:t xml:space="preserve">,</w:t>
            </w:r>
            <w:r>
              <w:t xml:space="preserve"> </w:t>
            </w:r>
            <w:r>
              <w:rPr>
                <w:rStyle w:val="VerbatimChar"/>
              </w:rPr>
              <w:t xml:space="preserve">clearance_*</w:t>
            </w:r>
            <w:r>
              <w:t xml:space="preserve">,</w:t>
            </w:r>
            <w:r>
              <w:t xml:space="preserve"> </w:t>
            </w:r>
            <w:r>
              <w:rPr>
                <w:rStyle w:val="VerbatimChar"/>
              </w:rPr>
              <w:t xml:space="preserve">layers_*</w:t>
            </w:r>
            <w:r>
              <w:t xml:space="preserve">,</w:t>
            </w:r>
            <w:r>
              <w:t xml:space="preserve"> </w:t>
            </w:r>
            <w:r>
              <w:rPr>
                <w:rStyle w:val="VerbatimChar"/>
              </w:rPr>
              <w:t xml:space="preserve">no_vias_*</w:t>
            </w:r>
            <w:r>
              <w:t xml:space="preserve">)</w:t>
            </w:r>
            <w:r>
              <w:t xml:space="preserve"> </w:t>
            </w:r>
            <w:r>
              <w:rPr>
                <w:b/>
                <w:bCs/>
              </w:rPr>
              <w:t xml:space="preserve">and</w:t>
            </w:r>
            <w:r>
              <w:t xml:space="preserve"> </w:t>
            </w:r>
            <w:r>
              <w:t xml:space="preserve">our DRC on return</w:t>
            </w:r>
          </w:p>
        </w:tc>
      </w:tr>
      <w:tr>
        <w:trPr>
          <w:cantSplit/>
        </w:trPr>
        <w:tc>
          <w:tcPr>
            <w:tcW w:w="1845" w:type="dxa"/>
          </w:tcPr>
          <w:p>
            <w:pPr>
              <w:pStyle w:val="Compact"/>
            </w:pPr>
            <w:r>
              <w:t xml:space="preserve">6</w:t>
            </w:r>
          </w:p>
        </w:tc>
        <w:tc>
          <w:tcPr>
            <w:tcW w:w="3874" w:type="dxa"/>
          </w:tcPr>
          <w:p>
            <w:pPr>
              <w:pStyle w:val="Compact"/>
            </w:pPr>
            <w:r>
              <w:rPr>
                <w:b/>
                <w:bCs/>
              </w:rPr>
              <w:t xml:space="preserve">Zoning, star points and the isolation keep-out.</w:t>
            </w:r>
            <w:r>
              <w:t xml:space="preserve"> </w:t>
            </w:r>
            <w:r>
              <w:t xml:space="preserve">Sections 3 and 4</w:t>
            </w:r>
          </w:p>
        </w:tc>
        <w:tc>
          <w:tcPr>
            <w:tcW w:w="3692" w:type="dxa"/>
          </w:tcPr>
          <w:p>
            <w:pPr>
              <w:pStyle w:val="Compact"/>
            </w:pPr>
            <w:r>
              <w:t xml:space="preserve">KiCad DRC through the rule areas</w:t>
            </w:r>
            <w:r>
              <w:t xml:space="preserve"> </w:t>
            </w:r>
            <w:r>
              <w:rPr>
                <w:b/>
                <w:bCs/>
              </w:rPr>
              <w:t xml:space="preserve">and</w:t>
            </w:r>
            <w:r>
              <w:t xml:space="preserve"> </w:t>
            </w:r>
            <w:r>
              <w:t xml:space="preserve">our DRC on return</w:t>
            </w:r>
          </w:p>
        </w:tc>
      </w:tr>
    </w:tbl>
    <w:p>
      <w:pPr>
        <w:pStyle w:val="BodyText"/>
      </w:pPr>
      <w:r>
        <w:rPr>
          <w:rStyle w:val="VerbatimChar"/>
        </w:rPr>
        <w:t xml:space="preserve">kicad/EEG-CAR-01_RevC.kicad_dru</w:t>
      </w:r>
      <w:r>
        <w:t xml:space="preserve"> </w:t>
      </w:r>
      <w:r>
        <w:t xml:space="preserve">is the machine-readable half of this table and carries 37 rules. Load it with the project; it is not optional.</w:t>
      </w:r>
    </w:p>
    <w:p>
      <w:pPr>
        <w:pStyle w:val="BodyText"/>
      </w:pPr>
      <w:r>
        <w:rPr>
          <w:b/>
          <w:bCs/>
        </w:rPr>
        <w:t xml:space="preserve">Two more, from DSN-EEG-003 section 3.3, that are not new and are easy to miss.</w:t>
      </w:r>
      <w:r>
        <w:t xml:space="preserve"> </w:t>
      </w:r>
      <w:r>
        <w:t xml:space="preserve">Rule 7:</w:t>
      </w:r>
      <w:r>
        <w:t xml:space="preserve"> </w:t>
      </w:r>
      <w:r>
        <w:rPr>
          <w:b/>
          <w:bCs/>
        </w:rPr>
        <w:t xml:space="preserve">no via inside the outline of J2, J4, J23 or J29</w:t>
      </w:r>
      <w:r>
        <w:t xml:space="preserve">, the analogue module connectors – they are</w:t>
      </w:r>
      <w:r>
        <w:t xml:space="preserve"> </w:t>
      </w:r>
      <w:r>
        <w:rPr>
          <w:rStyle w:val="VerbatimChar"/>
        </w:rPr>
        <w:t xml:space="preserve">NO_VIA_J*</w:t>
      </w:r>
      <w:r>
        <w:t xml:space="preserve"> </w:t>
      </w:r>
      <w:r>
        <w:t xml:space="preserve">rule areas in the board file. Rule 5:</w:t>
      </w:r>
      <w:r>
        <w:t xml:space="preserve"> </w:t>
      </w:r>
      <w:r>
        <w:rPr>
          <w:rStyle w:val="VerbatimChar"/>
          <w:b/>
          <w:bCs/>
        </w:rPr>
        <w:t xml:space="preserve">USB_DP</w:t>
      </w:r>
      <w:r>
        <w:rPr>
          <w:b/>
          <w:bCs/>
        </w:rPr>
        <w:t xml:space="preserve"> </w:t>
      </w:r>
      <w:r>
        <w:rPr>
          <w:b/>
          <w:bCs/>
        </w:rPr>
        <w:t xml:space="preserve">and</w:t>
      </w:r>
      <w:r>
        <w:rPr>
          <w:b/>
          <w:bCs/>
        </w:rPr>
        <w:t xml:space="preserve"> </w:t>
      </w:r>
      <w:r>
        <w:rPr>
          <w:rStyle w:val="VerbatimChar"/>
          <w:b/>
          <w:bCs/>
        </w:rPr>
        <w:t xml:space="preserve">USB_DN</w:t>
      </w:r>
      <w:r>
        <w:rPr>
          <w:b/>
          <w:bCs/>
        </w:rPr>
        <w:t xml:space="preserve"> </w:t>
      </w:r>
      <w:r>
        <w:rPr>
          <w:b/>
          <w:bCs/>
        </w:rPr>
        <w:t xml:space="preserve">are a 0.30 mm pair on 0.35 mm spacing on L1 directly over the L2 DGND plane</w:t>
      </w:r>
      <w:r>
        <w:t xml:space="preserve">, about 95 ohm differential. No coupon and no impedance report are required and none is wanted.</w:t>
      </w:r>
    </w:p>
    <w:bookmarkEnd w:id="14"/>
    <w:bookmarkStart w:id="15" w:name="placement"/>
    <w:p>
      <w:pPr>
        <w:pStyle w:val="Heading2"/>
      </w:pPr>
      <w:r>
        <w:t xml:space="preserve">7. Placement</w:t>
      </w:r>
    </w:p>
    <w:p>
      <w:pPr>
        <w:pStyle w:val="FirstParagraph"/>
      </w:pPr>
      <w:r>
        <w:rPr>
          <w:b/>
          <w:bCs/>
        </w:rPr>
        <w:t xml:space="preserve">Placement drives via count, must precede routing, and is reviewed before routing starts.</w:t>
      </w:r>
      <w:r>
        <w:t xml:space="preserve"> </w:t>
      </w:r>
      <w:r>
        <w:t xml:space="preserve">That is the reviewer’s own principle and this programme has adopted it.</w:t>
      </w:r>
    </w:p>
    <w:p>
      <w:pPr>
        <w:pStyle w:val="Compact"/>
        <w:numPr>
          <w:ilvl w:val="0"/>
          <w:numId w:val="1004"/>
        </w:numPr>
      </w:pPr>
      <w:r>
        <w:rPr>
          <w:b/>
          <w:bCs/>
        </w:rPr>
        <w:t xml:space="preserve">The thirty connectors J1 to J30 are LOCKED</w:t>
      </w:r>
      <w:r>
        <w:t xml:space="preserve">, with MH1-MH4 and FID1-FID3. The pod, the module plate MP-01 and the harness fix them and they may not move.</w:t>
      </w:r>
      <w:r>
        <w:t xml:space="preserve"> </w:t>
      </w:r>
      <w:r>
        <w:rPr>
          <w:b/>
          <w:bCs/>
        </w:rPr>
        <w:t xml:space="preserve">37 footprints are locked in</w:t>
      </w:r>
      <w:r>
        <w:rPr>
          <w:b/>
          <w:bCs/>
        </w:rPr>
        <w:t xml:space="preserve"> </w:t>
      </w:r>
      <w:r>
        <w:rPr>
          <w:rStyle w:val="VerbatimChar"/>
          <w:b/>
          <w:bCs/>
        </w:rPr>
        <w:t xml:space="preserve">kicad/EEG-CAR-01_RevC.kicad_pcb</w:t>
      </w:r>
      <w:r>
        <w:rPr>
          <w:b/>
          <w:bCs/>
        </w:rPr>
        <w:t xml:space="preserve"> </w:t>
      </w:r>
      <w:r>
        <w:rPr>
          <w:b/>
          <w:bCs/>
        </w:rPr>
        <w:t xml:space="preserve">and the lock is the specification.</w:t>
      </w:r>
      <w:r>
        <w:t xml:space="preserve"> </w:t>
      </w:r>
      <w:r>
        <w:t xml:space="preserve">Everything else sits at its Rev B coordinate, unlocked, and is yours to place.</w:t>
      </w:r>
    </w:p>
    <w:p>
      <w:pPr>
        <w:pStyle w:val="Compact"/>
        <w:numPr>
          <w:ilvl w:val="0"/>
          <w:numId w:val="1004"/>
        </w:numPr>
      </w:pPr>
      <w:r>
        <w:rPr>
          <w:b/>
          <w:bCs/>
        </w:rPr>
        <w:t xml:space="preserve">Each of the sixteen protection networks is placed in a straight line – resistor, then clamp, then filter capacitor – running from the harness towards the module</w:t>
      </w:r>
      <w:r>
        <w:t xml:space="preserve"> </w:t>
      </w:r>
      <w:r>
        <w:t xml:space="preserve">(DSN-EEG-003 section 3.3 rule 3). The schematic is drawn that way so that the intent is visible: sheet</w:t>
      </w:r>
      <w:r>
        <w:t xml:space="preserve"> </w:t>
      </w:r>
      <w:r>
        <w:rPr>
          <w:rStyle w:val="VerbatimChar"/>
        </w:rPr>
        <w:t xml:space="preserve">50_harness_input</w:t>
      </w:r>
      <w:r>
        <w:t xml:space="preserve">.</w:t>
      </w:r>
    </w:p>
    <w:p>
      <w:pPr>
        <w:pStyle w:val="Compact"/>
        <w:numPr>
          <w:ilvl w:val="0"/>
          <w:numId w:val="1004"/>
        </w:numPr>
      </w:pPr>
      <w:r>
        <w:rPr>
          <w:b/>
          <w:bCs/>
        </w:rPr>
        <w:t xml:space="preserve">Envelope decoupling within 3 mm</w:t>
      </w:r>
      <w:r>
        <w:t xml:space="preserve"> </w:t>
      </w:r>
      <w:r>
        <w:t xml:space="preserve">of pins 4 and 11 of each OPA4376.</w:t>
      </w:r>
    </w:p>
    <w:p>
      <w:pPr>
        <w:pStyle w:val="Compact"/>
        <w:numPr>
          <w:ilvl w:val="0"/>
          <w:numId w:val="1004"/>
        </w:numPr>
      </w:pPr>
      <w:r>
        <w:rPr>
          <w:b/>
          <w:bCs/>
        </w:rPr>
        <w:t xml:space="preserve">Every electrode-class net is routed on L1 with the reference plane continuous beneath it.</w:t>
      </w:r>
      <w:r>
        <w:t xml:space="preserve"> </w:t>
      </w:r>
      <w:r>
        <w:t xml:space="preserve">That is what the</w:t>
      </w:r>
      <w:r>
        <w:t xml:space="preserve"> </w:t>
      </w:r>
      <w:r>
        <w:rPr>
          <w:rStyle w:val="VerbatimChar"/>
        </w:rPr>
        <w:t xml:space="preserve">ELECTRODE</w:t>
      </w:r>
      <w:r>
        <w:t xml:space="preserve"> </w:t>
      </w:r>
      <w:r>
        <w:t xml:space="preserve">class’s L1-only, no-via row in section 5 means, and it is DSN-EEG-003 section 3.3 rule 3 read literally.</w:t>
      </w:r>
    </w:p>
    <w:p>
      <w:pPr>
        <w:pStyle w:val="Compact"/>
        <w:numPr>
          <w:ilvl w:val="0"/>
          <w:numId w:val="1004"/>
        </w:numPr>
      </w:pPr>
      <w:r>
        <w:rPr>
          <w:b/>
          <w:bCs/>
        </w:rPr>
        <w:t xml:space="preserve">The placement stage is delivered as a</w:t>
      </w:r>
      <w:r>
        <w:rPr>
          <w:b/>
          <w:bCs/>
        </w:rPr>
        <w:t xml:space="preserve"> </w:t>
      </w:r>
      <w:r>
        <w:rPr>
          <w:rStyle w:val="VerbatimChar"/>
          <w:b/>
          <w:bCs/>
        </w:rPr>
        <w:t xml:space="preserve">.kicad_pcb</w:t>
      </w:r>
      <w:r>
        <w:rPr>
          <w:b/>
          <w:bCs/>
        </w:rPr>
        <w:t xml:space="preserve"> </w:t>
      </w:r>
      <w:r>
        <w:rPr>
          <w:b/>
          <w:bCs/>
        </w:rPr>
        <w:t xml:space="preserve">with the STEP bodies loaded</w:t>
      </w:r>
      <w:r>
        <w:t xml:space="preserve">, and it passes a 3D collision check with the module bodies installed before it is delivered. The bodies are in</w:t>
      </w:r>
      <w:r>
        <w:t xml:space="preserve"> </w:t>
      </w:r>
      <w:r>
        <w:rPr>
          <w:rStyle w:val="VerbatimChar"/>
        </w:rPr>
        <w:t xml:space="preserve">mech/step/</w:t>
      </w:r>
      <w:r>
        <w:t xml:space="preserve">.</w:t>
      </w:r>
    </w:p>
    <w:p>
      <w:pPr>
        <w:pStyle w:val="Compact"/>
        <w:numPr>
          <w:ilvl w:val="0"/>
          <w:numId w:val="1004"/>
        </w:numPr>
      </w:pPr>
      <w:r>
        <w:rPr>
          <w:b/>
          <w:bCs/>
        </w:rPr>
        <w:t xml:space="preserve">We confirm the placement before routing is confirmed.</w:t>
      </w:r>
      <w:r>
        <w:t xml:space="preserve"> </w:t>
      </w:r>
      <w:r>
        <w:t xml:space="preserve">The review is a written findings list by net, pad pair and coordinate, capped at four to six hours, under RFQ-EEG-002A as re-scoped by ECO-EEG-030.</w:t>
      </w:r>
    </w:p>
    <w:p>
      <w:pPr>
        <w:pStyle w:val="FirstParagraph"/>
      </w:pPr>
      <w:r>
        <w:rPr>
          <w:b/>
          <w:bCs/>
        </w:rPr>
        <w:t xml:space="preserve">One open item that belongs to this programme and not to the layout contractor</w:t>
      </w:r>
      <w:r>
        <w:t xml:space="preserve">, stated here because a placement reviewer will meet it:</w:t>
      </w:r>
      <w:r>
        <w:t xml:space="preserve"> </w:t>
      </w:r>
      <w:r>
        <w:rPr>
          <w:rStyle w:val="VerbatimChar"/>
        </w:rPr>
        <w:t xml:space="preserve">mech/EEG-CAR-01_RevC_collision_check.txt</w:t>
      </w:r>
      <w:r>
        <w:t xml:space="preserve"> </w:t>
      </w:r>
      <w:r>
        <w:t xml:space="preserve">reports that the twelve modules do not fit on MP-01 – 17 356 mm2 of declared envelopes into 12 409 mm2 of plate – and that the plate’s DevKit opening is 2 mm shorter than the DevKit.</w:t>
      </w:r>
      <w:r>
        <w:t xml:space="preserve"> </w:t>
      </w:r>
      <w:r>
        <w:rPr>
          <w:b/>
          <w:bCs/>
        </w:rPr>
        <w:t xml:space="preserve">Neither is a carrier layout question and neither blocks this order</w:t>
      </w:r>
      <w:r>
        <w:t xml:space="preserve">; both are recorded in ASM-EEG-023 under MECH-D6-MODULE-ENVELOPES.</w:t>
      </w:r>
    </w:p>
    <w:bookmarkEnd w:id="15"/>
    <w:bookmarkStart w:id="16" w:name="deliverables-expected-back"/>
    <w:p>
      <w:pPr>
        <w:pStyle w:val="Heading2"/>
      </w:pPr>
      <w:r>
        <w:t xml:space="preserve">8. Deliverables expected back</w:t>
      </w:r>
    </w:p>
    <w:p>
      <w:pPr>
        <w:pStyle w:val="Compact"/>
        <w:numPr>
          <w:ilvl w:val="0"/>
          <w:numId w:val="1005"/>
        </w:numPr>
      </w:pPr>
      <w:r>
        <w:rPr>
          <w:b/>
          <w:bCs/>
        </w:rPr>
        <w:t xml:space="preserve">The KiCad project</w:t>
      </w:r>
      <w:r>
        <w:t xml:space="preserve">, at the version agreed at the order –</w:t>
      </w:r>
      <w:r>
        <w:t xml:space="preserve"> </w:t>
      </w:r>
      <w:r>
        <w:rPr>
          <w:rStyle w:val="VerbatimChar"/>
        </w:rPr>
        <w:t xml:space="preserve">.kicad_pro</w:t>
      </w:r>
      <w:r>
        <w:t xml:space="preserve">,</w:t>
      </w:r>
      <w:r>
        <w:t xml:space="preserve"> </w:t>
      </w:r>
      <w:r>
        <w:rPr>
          <w:rStyle w:val="VerbatimChar"/>
        </w:rPr>
        <w:t xml:space="preserve">.kicad_sch</w:t>
      </w:r>
      <w:r>
        <w:t xml:space="preserve"> </w:t>
      </w:r>
      <w:r>
        <w:t xml:space="preserve">set,</w:t>
      </w:r>
      <w:r>
        <w:t xml:space="preserve"> </w:t>
      </w:r>
      <w:r>
        <w:rPr>
          <w:rStyle w:val="VerbatimChar"/>
        </w:rPr>
        <w:t xml:space="preserve">.kicad_pcb</w:t>
      </w:r>
      <w:r>
        <w:t xml:space="preserve">, and the</w:t>
      </w:r>
      <w:r>
        <w:t xml:space="preserve"> </w:t>
      </w:r>
      <w:r>
        <w:rPr>
          <w:rStyle w:val="VerbatimChar"/>
        </w:rPr>
        <w:t xml:space="preserve">.kicad_dru</w:t>
      </w:r>
      <w:r>
        <w:t xml:space="preserve"> </w:t>
      </w:r>
      <w:r>
        <w:t xml:space="preserve">unchanged.</w:t>
      </w:r>
    </w:p>
    <w:p>
      <w:pPr>
        <w:pStyle w:val="Compact"/>
        <w:numPr>
          <w:ilvl w:val="0"/>
          <w:numId w:val="1005"/>
        </w:numPr>
      </w:pPr>
      <w:r>
        <w:rPr>
          <w:b/>
          <w:bCs/>
        </w:rPr>
        <w:t xml:space="preserve">A DRC run against this sheet</w:t>
      </w:r>
      <w:r>
        <w:t xml:space="preserve">, clean, taken before handover, with the report. Sections 5 and 6 are the rule set;</w:t>
      </w:r>
      <w:r>
        <w:t xml:space="preserve"> </w:t>
      </w:r>
      <w:r>
        <w:rPr>
          <w:rStyle w:val="VerbatimChar"/>
        </w:rPr>
        <w:t xml:space="preserve">.kicad_dru</w:t>
      </w:r>
      <w:r>
        <w:t xml:space="preserve"> </w:t>
      </w:r>
      <w:r>
        <w:t xml:space="preserve">is loaded.</w:t>
      </w:r>
    </w:p>
    <w:p>
      <w:pPr>
        <w:pStyle w:val="Compact"/>
        <w:numPr>
          <w:ilvl w:val="0"/>
          <w:numId w:val="1005"/>
        </w:numPr>
      </w:pPr>
      <w:r>
        <w:rPr>
          <w:b/>
          <w:bCs/>
        </w:rPr>
        <w:t xml:space="preserve">Gerber X2</w:t>
      </w:r>
      <w:r>
        <w:t xml:space="preserve">, one file per layer, with file attributes.</w:t>
      </w:r>
    </w:p>
    <w:p>
      <w:pPr>
        <w:pStyle w:val="Compact"/>
        <w:numPr>
          <w:ilvl w:val="0"/>
          <w:numId w:val="1005"/>
        </w:numPr>
      </w:pPr>
      <w:r>
        <w:rPr>
          <w:b/>
          <w:bCs/>
        </w:rPr>
        <w:t xml:space="preserve">Excellon 2 drill files</w:t>
      </w:r>
      <w:r>
        <w:t xml:space="preserve">, plated and non-plated separately.</w:t>
      </w:r>
    </w:p>
    <w:p>
      <w:pPr>
        <w:pStyle w:val="Compact"/>
        <w:numPr>
          <w:ilvl w:val="0"/>
          <w:numId w:val="1005"/>
        </w:numPr>
      </w:pPr>
      <w:r>
        <w:rPr>
          <w:b/>
          <w:bCs/>
        </w:rPr>
        <w:t xml:space="preserve">IPC-D-356A netlist</w:t>
      </w:r>
      <w:r>
        <w:t xml:space="preserve"> </w:t>
      </w:r>
      <w:r>
        <w:t xml:space="preserve">for the bare-board electrical test.</w:t>
      </w:r>
    </w:p>
    <w:p>
      <w:pPr>
        <w:pStyle w:val="Compact"/>
        <w:numPr>
          <w:ilvl w:val="0"/>
          <w:numId w:val="1005"/>
        </w:numPr>
      </w:pPr>
      <w:r>
        <w:rPr>
          <w:b/>
          <w:bCs/>
        </w:rPr>
        <w:t xml:space="preserve">CPL</w:t>
      </w:r>
      <w:r>
        <w:t xml:space="preserve"> </w:t>
      </w:r>
      <w:r>
        <w:t xml:space="preserve">for the surface-mount parts and, separately, the through-hole parts.</w:t>
      </w:r>
    </w:p>
    <w:p>
      <w:pPr>
        <w:pStyle w:val="Compact"/>
        <w:numPr>
          <w:ilvl w:val="0"/>
          <w:numId w:val="1005"/>
        </w:numPr>
      </w:pPr>
      <w:r>
        <w:rPr>
          <w:b/>
          <w:bCs/>
        </w:rPr>
        <w:t xml:space="preserve">Fabrication and assembly drawings.</w:t>
      </w:r>
    </w:p>
    <w:p>
      <w:pPr>
        <w:pStyle w:val="FirstParagraph"/>
      </w:pPr>
      <w:r>
        <w:t xml:space="preserve">On return, this programme runs its own DRC over the geometry – including rules 3 and 4 of section 6, which KiCad cannot check – and grades the result. The tool is</w:t>
      </w:r>
      <w:r>
        <w:t xml:space="preserve"> </w:t>
      </w:r>
      <w:r>
        <w:rPr>
          <w:rStyle w:val="VerbatimChar"/>
        </w:rPr>
        <w:t xml:space="preserve">tools/drc.py</w:t>
      </w:r>
      <w:r>
        <w:t xml:space="preserve"> </w:t>
      </w:r>
      <w:r>
        <w:t xml:space="preserve">with</w:t>
      </w:r>
      <w:r>
        <w:t xml:space="preserve"> </w:t>
      </w:r>
      <w:r>
        <w:rPr>
          <w:rStyle w:val="VerbatimChar"/>
        </w:rPr>
        <w:t xml:space="preserve">tools/drc_geometry.py</w:t>
      </w:r>
      <w:r>
        <w:t xml:space="preserve">, it is in the repository, and it is the same one that regraded Rev B and found 1 311 occurrences of these six rules in a board its own report called clean.</w:t>
      </w:r>
    </w:p>
    <w:p>
      <w:r>
        <w:pict>
          <v:rect style="width:0;height:1.5pt" ns2:hralign="center" ns2:hrstd="t" ns2:hr="t"/>
        </w:pict>
      </w:r>
    </w:p>
    <w:p>
      <w:pPr>
        <w:pStyle w:val="FirstParagraph"/>
      </w:pPr>
      <w:r>
        <w:rPr>
          <w:b/>
          <w:bCs/>
        </w:rPr>
        <w:t xml:space="preserve">Contact.</w:t>
      </w:r>
      <w:r>
        <w:t xml:space="preserve"> </w:t>
      </w:r>
      <w:r>
        <w:t xml:space="preserve">Stephane van der Aa, Founder, TI One Voice – one.witysk.org – stephane@stepvda.com – +32 493 70 16 01</w:t>
      </w:r>
    </w:p>
    <w:bookmarkEnd w:id="16"/>
    <w:bookmarkEnd w:id="17"/>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2026-09-09T03:57:30Z</dcterms:created>
  <dcterms:modified xsi:type="dcterms:W3CDTF">2026-09-09T03:57:30Z</dcterms:modified>
</cp:coreProperties>
</file>

<file path=docProps/custom.xml><?xml version="1.0" encoding="utf-8"?>
<Properties xmlns="http://schemas.openxmlformats.org/officeDocument/2006/custom-properties" xmlns:vt="http://schemas.openxmlformats.org/officeDocument/2006/docPropsVTypes"/>
</file>