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before="0" w:after="1160"/>
        <w:jc w:val="left"/>
      </w:pPr>
      <w:r>
        <w:drawing>
          <wp:inline xmlns:a="http://schemas.openxmlformats.org/drawingml/2006/main" xmlns:pic="http://schemas.openxmlformats.org/drawingml/2006/picture">
            <wp:extent cx="2834640" cy="802672"/>
            <wp:docPr id="1" name="Picture 1"/>
            <wp:cNvGraphicFramePr>
              <a:graphicFrameLocks noChangeAspect="1"/>
            </wp:cNvGraphicFramePr>
            <a:graphic>
              <a:graphicData uri="http://schemas.openxmlformats.org/drawingml/2006/picture">
                <pic:pic>
                  <pic:nvPicPr>
                    <pic:cNvPr id="0" name="dreamjob-logo-lockup.png"/>
                    <pic:cNvPicPr/>
                  </pic:nvPicPr>
                  <pic:blipFill>
                    <a:blip r:embed="rId9"/>
                    <a:stretch>
                      <a:fillRect/>
                    </a:stretch>
                  </pic:blipFill>
                  <pic:spPr>
                    <a:xfrm>
                      <a:off x="0" y="0"/>
                      <a:ext cx="2834640" cy="802672"/>
                    </a:xfrm>
                    <a:prstGeom prst="rect"/>
                  </pic:spPr>
                </pic:pic>
              </a:graphicData>
            </a:graphic>
          </wp:inline>
        </w:drawing>
      </w:r>
    </w:p>
    <w:p>
      <w:pPr>
        <w:pStyle w:val="DJTitle"/>
        <w:spacing w:after="200"/>
      </w:pPr>
      <w:r>
        <w:t>Functional Design</w:t>
      </w:r>
    </w:p>
    <w:tbl>
      <w:tblPr>
        <w:tblStyle w:val="TableGrid"/>
        <w:tblW w:type="auto" w:w="0"/>
        <w:tblLayout w:type="fixed"/>
        <w:tblLook w:firstColumn="1" w:firstRow="1" w:lastColumn="0" w:lastRow="0" w:noHBand="0" w:noVBand="1" w:val="04A0"/>
        <w:tblLayout w:type="fixed"/>
        <w:tblCellMar>
          <w:top w:w="0" w:type="dxa"/>
          <w:start w:w="0" w:type="dxa"/>
          <w:bottom w:w="0" w:type="dxa"/>
          <w:end w:w="0" w:type="dxa"/>
        </w:tblCellMar>
      </w:tblPr>
      <w:tblGrid>
        <w:gridCol w:w="979"/>
        <w:gridCol w:w="979"/>
        <w:gridCol w:w="979"/>
        <w:gridCol w:w="979"/>
        <w:gridCol w:w="979"/>
      </w:tblGrid>
      <w:tr>
        <w:tc>
          <w:tcPr>
            <w:tcW w:type="dxa" w:w="979"/>
            <w:shd w:val="clear" w:color="auto" w:fill="6D54D8"/>
            <w:tcBorders>
              <w:top w:val="single" w:sz="2" w:space="0" w:color="6D54D8"/>
              <w:left w:val="single" w:sz="2" w:space="0" w:color="6D54D8"/>
              <w:bottom w:val="single" w:sz="2" w:space="0" w:color="6D54D8"/>
              <w:right w:val="single" w:sz="2" w:space="0" w:color="6D54D8"/>
            </w:tcBorders>
          </w:tcPr>
          <w:p>
            <w:pPr>
              <w:spacing w:after="0" w:line="120" w:lineRule="exact"/>
            </w:pPr>
            <w:r>
              <w:rPr>
                <w:sz w:val="4"/>
              </w:rPr>
            </w:r>
          </w:p>
        </w:tc>
        <w:tc>
          <w:tcPr>
            <w:tcW w:type="dxa" w:w="979"/>
            <w:shd w:val="clear" w:color="auto" w:fill="2D6BC8"/>
            <w:tcBorders>
              <w:top w:val="single" w:sz="2" w:space="0" w:color="2D6BC8"/>
              <w:left w:val="single" w:sz="2" w:space="0" w:color="2D6BC8"/>
              <w:bottom w:val="single" w:sz="2" w:space="0" w:color="2D6BC8"/>
              <w:right w:val="single" w:sz="2" w:space="0" w:color="2D6BC8"/>
            </w:tcBorders>
          </w:tcPr>
          <w:p>
            <w:pPr>
              <w:spacing w:after="0" w:line="120" w:lineRule="exact"/>
            </w:pPr>
            <w:r>
              <w:rPr>
                <w:sz w:val="4"/>
              </w:rPr>
            </w:r>
          </w:p>
        </w:tc>
        <w:tc>
          <w:tcPr>
            <w:tcW w:type="dxa" w:w="979"/>
            <w:shd w:val="clear" w:color="auto" w:fill="0B7B73"/>
            <w:tcBorders>
              <w:top w:val="single" w:sz="2" w:space="0" w:color="0B7B73"/>
              <w:left w:val="single" w:sz="2" w:space="0" w:color="0B7B73"/>
              <w:bottom w:val="single" w:sz="2" w:space="0" w:color="0B7B73"/>
              <w:right w:val="single" w:sz="2" w:space="0" w:color="0B7B73"/>
            </w:tcBorders>
          </w:tcPr>
          <w:p>
            <w:pPr>
              <w:spacing w:after="0" w:line="120" w:lineRule="exact"/>
            </w:pPr>
            <w:r>
              <w:rPr>
                <w:sz w:val="4"/>
              </w:rPr>
            </w:r>
          </w:p>
        </w:tc>
        <w:tc>
          <w:tcPr>
            <w:tcW w:type="dxa" w:w="979"/>
            <w:shd w:val="clear" w:color="auto" w:fill="9F6011"/>
            <w:tcBorders>
              <w:top w:val="single" w:sz="2" w:space="0" w:color="9F6011"/>
              <w:left w:val="single" w:sz="2" w:space="0" w:color="9F6011"/>
              <w:bottom w:val="single" w:sz="2" w:space="0" w:color="9F6011"/>
              <w:right w:val="single" w:sz="2" w:space="0" w:color="9F6011"/>
            </w:tcBorders>
          </w:tcPr>
          <w:p>
            <w:pPr>
              <w:spacing w:after="0" w:line="120" w:lineRule="exact"/>
            </w:pPr>
            <w:r>
              <w:rPr>
                <w:sz w:val="4"/>
              </w:rPr>
            </w:r>
          </w:p>
        </w:tc>
        <w:tc>
          <w:tcPr>
            <w:tcW w:type="dxa" w:w="979"/>
            <w:shd w:val="clear" w:color="auto" w:fill="BC3D66"/>
            <w:tcBorders>
              <w:top w:val="single" w:sz="2" w:space="0" w:color="BC3D66"/>
              <w:left w:val="single" w:sz="2" w:space="0" w:color="BC3D66"/>
              <w:bottom w:val="single" w:sz="2" w:space="0" w:color="BC3D66"/>
              <w:right w:val="single" w:sz="2" w:space="0" w:color="BC3D66"/>
            </w:tcBorders>
          </w:tcPr>
          <w:p>
            <w:pPr>
              <w:spacing w:after="0" w:line="120" w:lineRule="exact"/>
            </w:pPr>
            <w:r>
              <w:rPr>
                <w:sz w:val="4"/>
              </w:rPr>
            </w:r>
          </w:p>
        </w:tc>
      </w:tr>
    </w:tbl>
    <w:p>
      <w:pPr>
        <w:pStyle w:val="DJTagline"/>
        <w:spacing w:before="320" w:after="4000"/>
      </w:pPr>
      <w:r>
        <w:t>Dream Job · AI-assisted job discovery and application platform</w:t>
      </w:r>
    </w:p>
    <w:tbl>
      <w:tblPr>
        <w:tblW w:type="auto" w:w="0"/>
        <w:tblLayout w:type="fixed"/>
        <w:tblLook w:firstColumn="1" w:firstRow="1" w:lastColumn="0" w:lastRow="0" w:noHBand="0" w:noVBand="1" w:val="04A0"/>
        <w:tblLayout w:type="fixed"/>
        <w:tblCellMar>
          <w:top w:w="30" w:type="dxa"/>
          <w:start w:w="0" w:type="dxa"/>
          <w:bottom w:w="30" w:type="dxa"/>
          <w:end w:w="90" w:type="dxa"/>
        </w:tblCellMar>
      </w:tblPr>
      <w:tblGrid>
        <w:gridCol w:w="1656"/>
        <w:gridCol w:w="7373"/>
      </w:tblGrid>
      <w:tr>
        <w:tc>
          <w:tcPr>
            <w:tcW w:type="dxa" w:w="1656"/>
          </w:tcPr>
          <w:p>
            <w:pPr>
              <w:pStyle w:val="DJMeta"/>
            </w:pPr>
            <w:r>
              <w:rPr>
                <w:b/>
                <w:color w:val="6B7280"/>
                <w:sz w:val="16"/>
              </w:rPr>
              <w:t>VERSION</w:t>
            </w:r>
          </w:p>
        </w:tc>
        <w:tc>
          <w:tcPr>
            <w:tcW w:type="dxa" w:w="7373"/>
          </w:tcPr>
          <w:p>
            <w:pPr>
              <w:pStyle w:val="DJMeta"/>
            </w:pPr>
            <w:r>
              <w:rPr>
                <w:color w:val="1F2430"/>
              </w:rPr>
              <w:t>1.1</w:t>
            </w:r>
          </w:p>
        </w:tc>
      </w:tr>
      <w:tr>
        <w:tc>
          <w:tcPr>
            <w:tcW w:type="dxa" w:w="1656"/>
          </w:tcPr>
          <w:p>
            <w:pPr>
              <w:pStyle w:val="DJMeta"/>
            </w:pPr>
            <w:r>
              <w:rPr>
                <w:b/>
                <w:color w:val="6B7280"/>
                <w:sz w:val="16"/>
              </w:rPr>
              <w:t>DATE</w:t>
            </w:r>
          </w:p>
        </w:tc>
        <w:tc>
          <w:tcPr>
            <w:tcW w:type="dxa" w:w="7373"/>
          </w:tcPr>
          <w:p>
            <w:pPr>
              <w:pStyle w:val="DJMeta"/>
            </w:pPr>
            <w:r>
              <w:rPr>
                <w:color w:val="1F2430"/>
              </w:rPr>
              <w:t>11 September 2026</w:t>
            </w:r>
          </w:p>
        </w:tc>
      </w:tr>
      <w:tr>
        <w:tc>
          <w:tcPr>
            <w:tcW w:type="dxa" w:w="1656"/>
          </w:tcPr>
          <w:p>
            <w:pPr>
              <w:pStyle w:val="DJMeta"/>
            </w:pPr>
            <w:r>
              <w:rPr>
                <w:b/>
                <w:color w:val="6B7280"/>
                <w:sz w:val="16"/>
              </w:rPr>
              <w:t>AUTHOR</w:t>
            </w:r>
          </w:p>
        </w:tc>
        <w:tc>
          <w:tcPr>
            <w:tcW w:type="dxa" w:w="7373"/>
          </w:tcPr>
          <w:p>
            <w:pPr>
              <w:pStyle w:val="DJMeta"/>
            </w:pPr>
            <w:r>
              <w:rPr>
                <w:color w:val="1F2430"/>
              </w:rPr>
              <w:t>Stephane van der Aa</w:t>
            </w:r>
          </w:p>
        </w:tc>
      </w:tr>
      <w:tr>
        <w:tc>
          <w:tcPr>
            <w:tcW w:type="dxa" w:w="1656"/>
          </w:tcPr>
          <w:p>
            <w:pPr>
              <w:pStyle w:val="DJMeta"/>
            </w:pPr>
            <w:r>
              <w:rPr>
                <w:b/>
                <w:color w:val="6B7280"/>
                <w:sz w:val="16"/>
              </w:rPr>
              <w:t>STATUS</w:t>
            </w:r>
          </w:p>
        </w:tc>
        <w:tc>
          <w:tcPr>
            <w:tcW w:type="dxa" w:w="7373"/>
          </w:tcPr>
          <w:p>
            <w:pPr>
              <w:pStyle w:val="DJMeta"/>
            </w:pPr>
            <w:r>
              <w:rPr>
                <w:color w:val="1F2430"/>
              </w:rPr>
              <w:t>Describes the implemented system</w:t>
            </w:r>
          </w:p>
        </w:tc>
      </w:tr>
    </w:tbl>
    <w:p>
      <w:pPr>
        <w:sectPr>
          <w:pgSz w:w="11909" w:h="16834"/>
          <w:pgMar w:top="1440" w:right="1440" w:bottom="1440" w:left="1440" w:header="864" w:footer="864" w:gutter="0"/>
          <w:cols w:space="720"/>
          <w:docGrid w:linePitch="360"/>
        </w:sectPr>
      </w:pPr>
    </w:p>
    <w:p>
      <w:pPr>
        <w:pStyle w:val="Heading1"/>
        <w:pageBreakBefore w:val="0"/>
        <w:pBdr>
          <w:bottom w:val="single" w:sz="8" w:space="6" w:color="6D54D8"/>
        </w:pBdr>
      </w:pPr>
      <w:r>
        <w:t>Document control</w:t>
      </w:r>
    </w:p>
    <w:tbl>
      <w:tblPr>
        <w:tblStyle w:val="TableGrid"/>
        <w:tblW w:type="auto" w:w="0"/>
        <w:tblLayout w:type="fixed"/>
        <w:tblLook w:firstColumn="1" w:firstRow="1" w:lastColumn="0" w:lastRow="0" w:noHBand="0" w:noVBand="1" w:val="04A0"/>
        <w:tblLayout w:type="fixed"/>
        <w:tblCellMar>
          <w:top w:w="60" w:type="dxa"/>
          <w:start w:w="110" w:type="dxa"/>
          <w:bottom w:w="60" w:type="dxa"/>
          <w:end w:w="110" w:type="dxa"/>
        </w:tblCellMar>
      </w:tblPr>
      <w:tblGrid>
        <w:gridCol w:w="2232"/>
        <w:gridCol w:w="6797"/>
      </w:tblGrid>
      <w:tr>
        <w:trPr>
          <w:cantSplit w:val="true"/>
        </w:trPr>
        <w:tc>
          <w:tcPr>
            <w:tcW w:type="dxa" w:w="2232"/>
            <w:shd w:val="clear" w:color="auto" w:fill="EEF0F5"/>
            <w:vAlign w:val="center"/>
            <w:tcBorders>
              <w:top w:val="single" w:sz="4" w:space="0" w:color="D5D8DF"/>
              <w:left w:val="single" w:sz="4" w:space="0" w:color="D5D8DF"/>
              <w:bottom w:val="single" w:sz="4" w:space="0" w:color="D5D8DF"/>
              <w:right w:val="single" w:sz="4" w:space="0" w:color="D5D8DF"/>
            </w:tcBorders>
          </w:tcPr>
          <w:p>
            <w:pPr>
              <w:pStyle w:val="DJTableHead"/>
            </w:pPr>
            <w:r>
              <w:t>Document</w:t>
            </w:r>
          </w:p>
        </w:tc>
        <w:tc>
          <w:tcPr>
            <w:tcW w:type="dxa" w:w="6797"/>
            <w:vAlign w:val="center"/>
            <w:tcBorders>
              <w:top w:val="single" w:sz="4" w:space="0" w:color="D5D8DF"/>
              <w:left w:val="single" w:sz="4" w:space="0" w:color="D5D8DF"/>
              <w:bottom w:val="single" w:sz="4" w:space="0" w:color="D5D8DF"/>
              <w:right w:val="single" w:sz="4" w:space="0" w:color="D5D8DF"/>
            </w:tcBorders>
          </w:tcPr>
          <w:p>
            <w:pPr>
              <w:pStyle w:val="DJTableText"/>
            </w:pPr>
            <w:r>
              <w:rPr/>
              <w:t>Functional Design (FDD)</w:t>
            </w:r>
          </w:p>
        </w:tc>
      </w:tr>
      <w:tr>
        <w:trPr>
          <w:cantSplit w:val="true"/>
        </w:trPr>
        <w:tc>
          <w:tcPr>
            <w:tcW w:type="dxa" w:w="2232"/>
            <w:shd w:val="clear" w:color="auto" w:fill="EEF0F5"/>
            <w:vAlign w:val="center"/>
            <w:tcBorders>
              <w:top w:val="single" w:sz="4" w:space="0" w:color="D5D8DF"/>
              <w:left w:val="single" w:sz="4" w:space="0" w:color="D5D8DF"/>
              <w:bottom w:val="single" w:sz="4" w:space="0" w:color="D5D8DF"/>
              <w:right w:val="single" w:sz="4" w:space="0" w:color="D5D8DF"/>
            </w:tcBorders>
          </w:tcPr>
          <w:p>
            <w:pPr>
              <w:pStyle w:val="DJTableHead"/>
            </w:pPr>
            <w:r>
              <w:t>Version</w:t>
            </w:r>
          </w:p>
        </w:tc>
        <w:tc>
          <w:tcPr>
            <w:tcW w:type="dxa" w:w="6797"/>
            <w:vAlign w:val="center"/>
            <w:tcBorders>
              <w:top w:val="single" w:sz="4" w:space="0" w:color="D5D8DF"/>
              <w:left w:val="single" w:sz="4" w:space="0" w:color="D5D8DF"/>
              <w:bottom w:val="single" w:sz="4" w:space="0" w:color="D5D8DF"/>
              <w:right w:val="single" w:sz="4" w:space="0" w:color="D5D8DF"/>
            </w:tcBorders>
          </w:tcPr>
          <w:p>
            <w:pPr>
              <w:pStyle w:val="DJTableText"/>
            </w:pPr>
            <w:r>
              <w:rPr/>
              <w:t>1.1</w:t>
            </w:r>
          </w:p>
        </w:tc>
      </w:tr>
      <w:tr>
        <w:trPr>
          <w:cantSplit w:val="true"/>
        </w:trPr>
        <w:tc>
          <w:tcPr>
            <w:tcW w:type="dxa" w:w="2232"/>
            <w:shd w:val="clear" w:color="auto" w:fill="EEF0F5"/>
            <w:vAlign w:val="center"/>
            <w:tcBorders>
              <w:top w:val="single" w:sz="4" w:space="0" w:color="D5D8DF"/>
              <w:left w:val="single" w:sz="4" w:space="0" w:color="D5D8DF"/>
              <w:bottom w:val="single" w:sz="4" w:space="0" w:color="D5D8DF"/>
              <w:right w:val="single" w:sz="4" w:space="0" w:color="D5D8DF"/>
            </w:tcBorders>
          </w:tcPr>
          <w:p>
            <w:pPr>
              <w:pStyle w:val="DJTableHead"/>
            </w:pPr>
            <w:r>
              <w:t>Date</w:t>
            </w:r>
          </w:p>
        </w:tc>
        <w:tc>
          <w:tcPr>
            <w:tcW w:type="dxa" w:w="6797"/>
            <w:vAlign w:val="center"/>
            <w:tcBorders>
              <w:top w:val="single" w:sz="4" w:space="0" w:color="D5D8DF"/>
              <w:left w:val="single" w:sz="4" w:space="0" w:color="D5D8DF"/>
              <w:bottom w:val="single" w:sz="4" w:space="0" w:color="D5D8DF"/>
              <w:right w:val="single" w:sz="4" w:space="0" w:color="D5D8DF"/>
            </w:tcBorders>
          </w:tcPr>
          <w:p>
            <w:pPr>
              <w:pStyle w:val="DJTableText"/>
            </w:pPr>
            <w:r>
              <w:rPr/>
              <w:t>11 September 2026</w:t>
            </w:r>
          </w:p>
        </w:tc>
      </w:tr>
      <w:tr>
        <w:trPr>
          <w:cantSplit w:val="true"/>
        </w:trPr>
        <w:tc>
          <w:tcPr>
            <w:tcW w:type="dxa" w:w="2232"/>
            <w:shd w:val="clear" w:color="auto" w:fill="EEF0F5"/>
            <w:vAlign w:val="center"/>
            <w:tcBorders>
              <w:top w:val="single" w:sz="4" w:space="0" w:color="D5D8DF"/>
              <w:left w:val="single" w:sz="4" w:space="0" w:color="D5D8DF"/>
              <w:bottom w:val="single" w:sz="4" w:space="0" w:color="D5D8DF"/>
              <w:right w:val="single" w:sz="4" w:space="0" w:color="D5D8DF"/>
            </w:tcBorders>
          </w:tcPr>
          <w:p>
            <w:pPr>
              <w:pStyle w:val="DJTableHead"/>
            </w:pPr>
            <w:r>
              <w:t>Author</w:t>
            </w:r>
          </w:p>
        </w:tc>
        <w:tc>
          <w:tcPr>
            <w:tcW w:type="dxa" w:w="6797"/>
            <w:vAlign w:val="center"/>
            <w:tcBorders>
              <w:top w:val="single" w:sz="4" w:space="0" w:color="D5D8DF"/>
              <w:left w:val="single" w:sz="4" w:space="0" w:color="D5D8DF"/>
              <w:bottom w:val="single" w:sz="4" w:space="0" w:color="D5D8DF"/>
              <w:right w:val="single" w:sz="4" w:space="0" w:color="D5D8DF"/>
            </w:tcBorders>
          </w:tcPr>
          <w:p>
            <w:pPr>
              <w:pStyle w:val="DJTableText"/>
            </w:pPr>
            <w:r>
              <w:rPr/>
              <w:t>Stephane van der Aa</w:t>
            </w:r>
          </w:p>
        </w:tc>
      </w:tr>
      <w:tr>
        <w:trPr>
          <w:cantSplit w:val="true"/>
        </w:trPr>
        <w:tc>
          <w:tcPr>
            <w:tcW w:type="dxa" w:w="2232"/>
            <w:shd w:val="clear" w:color="auto" w:fill="EEF0F5"/>
            <w:vAlign w:val="center"/>
            <w:tcBorders>
              <w:top w:val="single" w:sz="4" w:space="0" w:color="D5D8DF"/>
              <w:left w:val="single" w:sz="4" w:space="0" w:color="D5D8DF"/>
              <w:bottom w:val="single" w:sz="4" w:space="0" w:color="D5D8DF"/>
              <w:right w:val="single" w:sz="4" w:space="0" w:color="D5D8DF"/>
            </w:tcBorders>
          </w:tcPr>
          <w:p>
            <w:pPr>
              <w:pStyle w:val="DJTableHead"/>
            </w:pPr>
            <w:r>
              <w:t>Status</w:t>
            </w:r>
          </w:p>
        </w:tc>
        <w:tc>
          <w:tcPr>
            <w:tcW w:type="dxa" w:w="6797"/>
            <w:vAlign w:val="center"/>
            <w:tcBorders>
              <w:top w:val="single" w:sz="4" w:space="0" w:color="D5D8DF"/>
              <w:left w:val="single" w:sz="4" w:space="0" w:color="D5D8DF"/>
              <w:bottom w:val="single" w:sz="4" w:space="0" w:color="D5D8DF"/>
              <w:right w:val="single" w:sz="4" w:space="0" w:color="D5D8DF"/>
            </w:tcBorders>
          </w:tcPr>
          <w:p>
            <w:pPr>
              <w:pStyle w:val="DJTableText"/>
            </w:pPr>
            <w:r>
              <w:rPr/>
              <w:t>Describes the implemented system</w:t>
            </w:r>
          </w:p>
        </w:tc>
      </w:tr>
      <w:tr>
        <w:trPr>
          <w:cantSplit w:val="true"/>
        </w:trPr>
        <w:tc>
          <w:tcPr>
            <w:tcW w:type="dxa" w:w="2232"/>
            <w:shd w:val="clear" w:color="auto" w:fill="EEF0F5"/>
            <w:vAlign w:val="center"/>
            <w:tcBorders>
              <w:top w:val="single" w:sz="4" w:space="0" w:color="D5D8DF"/>
              <w:left w:val="single" w:sz="4" w:space="0" w:color="D5D8DF"/>
              <w:bottom w:val="single" w:sz="4" w:space="0" w:color="D5D8DF"/>
              <w:right w:val="single" w:sz="4" w:space="0" w:color="D5D8DF"/>
            </w:tcBorders>
          </w:tcPr>
          <w:p>
            <w:pPr>
              <w:pStyle w:val="DJTableHead"/>
            </w:pPr>
            <w:r>
              <w:t>Specifies</w:t>
            </w:r>
          </w:p>
        </w:tc>
        <w:tc>
          <w:tcPr>
            <w:tcW w:type="dxa" w:w="6797"/>
            <w:vAlign w:val="center"/>
            <w:tcBorders>
              <w:top w:val="single" w:sz="4" w:space="0" w:color="D5D8DF"/>
              <w:left w:val="single" w:sz="4" w:space="0" w:color="D5D8DF"/>
              <w:bottom w:val="single" w:sz="4" w:space="0" w:color="D5D8DF"/>
              <w:right w:val="single" w:sz="4" w:space="0" w:color="D5D8DF"/>
            </w:tcBorders>
          </w:tcPr>
          <w:p>
            <w:pPr>
              <w:pStyle w:val="DJTableText"/>
            </w:pPr>
            <w:r>
              <w:rPr/>
              <w:t>Dream Job SRS v0.3 (Dream_Job_Requirements.docx)</w:t>
            </w:r>
          </w:p>
        </w:tc>
      </w:tr>
      <w:tr>
        <w:trPr>
          <w:cantSplit w:val="true"/>
        </w:trPr>
        <w:tc>
          <w:tcPr>
            <w:tcW w:type="dxa" w:w="2232"/>
            <w:shd w:val="clear" w:color="auto" w:fill="EEF0F5"/>
            <w:vAlign w:val="center"/>
            <w:tcBorders>
              <w:top w:val="single" w:sz="4" w:space="0" w:color="D5D8DF"/>
              <w:left w:val="single" w:sz="4" w:space="0" w:color="D5D8DF"/>
              <w:bottom w:val="single" w:sz="4" w:space="0" w:color="D5D8DF"/>
              <w:right w:val="single" w:sz="4" w:space="0" w:color="D5D8DF"/>
            </w:tcBorders>
          </w:tcPr>
          <w:p>
            <w:pPr>
              <w:pStyle w:val="DJTableHead"/>
            </w:pPr>
            <w:r>
              <w:t>Companion</w:t>
            </w:r>
          </w:p>
        </w:tc>
        <w:tc>
          <w:tcPr>
            <w:tcW w:type="dxa" w:w="6797"/>
            <w:vAlign w:val="center"/>
            <w:tcBorders>
              <w:top w:val="single" w:sz="4" w:space="0" w:color="D5D8DF"/>
              <w:left w:val="single" w:sz="4" w:space="0" w:color="D5D8DF"/>
              <w:bottom w:val="single" w:sz="4" w:space="0" w:color="D5D8DF"/>
              <w:right w:val="single" w:sz="4" w:space="0" w:color="D5D8DF"/>
            </w:tcBorders>
          </w:tcPr>
          <w:p>
            <w:pPr>
              <w:pStyle w:val="DJTableText"/>
            </w:pPr>
            <w:r>
              <w:rPr/>
              <w:t>Technical Architecture · DPIA</w:t>
            </w:r>
          </w:p>
        </w:tc>
      </w:tr>
      <w:tr>
        <w:trPr>
          <w:cantSplit w:val="true"/>
        </w:trPr>
        <w:tc>
          <w:tcPr>
            <w:tcW w:type="dxa" w:w="2232"/>
            <w:shd w:val="clear" w:color="auto" w:fill="EEF0F5"/>
            <w:vAlign w:val="center"/>
            <w:tcBorders>
              <w:top w:val="single" w:sz="4" w:space="0" w:color="D5D8DF"/>
              <w:left w:val="single" w:sz="4" w:space="0" w:color="D5D8DF"/>
              <w:bottom w:val="single" w:sz="4" w:space="0" w:color="D5D8DF"/>
              <w:right w:val="single" w:sz="4" w:space="0" w:color="D5D8DF"/>
            </w:tcBorders>
          </w:tcPr>
          <w:p>
            <w:pPr>
              <w:pStyle w:val="DJTableHead"/>
            </w:pPr>
            <w:r>
              <w:t>Generated from</w:t>
            </w:r>
          </w:p>
        </w:tc>
        <w:tc>
          <w:tcPr>
            <w:tcW w:type="dxa" w:w="6797"/>
            <w:vAlign w:val="center"/>
            <w:tcBorders>
              <w:top w:val="single" w:sz="4" w:space="0" w:color="D5D8DF"/>
              <w:left w:val="single" w:sz="4" w:space="0" w:color="D5D8DF"/>
              <w:bottom w:val="single" w:sz="4" w:space="0" w:color="D5D8DF"/>
              <w:right w:val="single" w:sz="4" w:space="0" w:color="D5D8DF"/>
            </w:tcBorders>
          </w:tcPr>
          <w:p>
            <w:pPr>
              <w:pStyle w:val="DJTableText"/>
            </w:pPr>
            <w:r>
              <w:rPr/>
              <w:t>docs/Functional_Design.md by docs/build_fdd.py</w:t>
            </w:r>
          </w:p>
        </w:tc>
      </w:tr>
    </w:tbl>
    <w:p>
      <w:pPr>
        <w:spacing w:after="200"/>
      </w:pPr>
    </w:p>
    <w:p>
      <w:pPr>
        <w:pStyle w:val="DJSectionTitle"/>
        <w:spacing w:before="360"/>
        <w:pBdr>
          <w:bottom w:val="single" w:sz="8" w:space="6" w:color="6D54D8"/>
        </w:pBdr>
      </w:pPr>
      <w:r>
        <w:t>Contents</w:t>
      </w:r>
    </w:p>
    <w:p>
      <w:pPr>
        <w:spacing w:after="40"/>
      </w:pPr>
      <w:fldSimple w:instr="TOC \o &quot;1-3&quot; \h \z \u">
        <w:r>
          <w:rPr>
            <w:i w:val="true"/>
            <w:color w:val="6B7280"/>
          </w:rPr>
          <w:t xml:space="preserve">Table of contents — not yet built.</w:t>
        </w:r>
      </w:fldSimple>
    </w:p>
    <w:p>
      <w:pPr>
        <w:pStyle w:val="DJHint"/>
      </w:pPr>
      <w:r>
        <w:t>Click in the line above and press F9, or right-click and choose “Update field” → “Update entire table”, to populate it.</w:t>
      </w:r>
    </w:p>
    <w:p>
      <w:pPr>
        <w:pStyle w:val="Heading1"/>
        <w:pageBreakBefore/>
        <w:spacing w:before="0"/>
        <w:pBdr>
          <w:bottom w:val="single" w:sz="8" w:space="6" w:color="6D54D8"/>
        </w:pBdr>
      </w:pPr>
      <w:r>
        <w:rPr/>
        <w:t>1. Purpose and reading guide</w:t>
      </w:r>
    </w:p>
    <w:p>
      <w:pPr>
        <w:keepNext/>
      </w:pPr>
      <w:r>
        <w:rPr/>
        <w:t xml:space="preserve">The SRS says </w:t>
      </w:r>
      <w:r>
        <w:rPr>
          <w:i/>
        </w:rPr>
        <w:t>what</w:t>
      </w:r>
      <w:r>
        <w:rPr/>
        <w:t xml:space="preserve"> Dream Job must do. This document says </w:t>
      </w:r>
      <w:r>
        <w:rPr>
          <w:i/>
        </w:rPr>
        <w:t>how the product behaves</w:t>
      </w:r>
      <w:r>
        <w:rPr/>
        <w:t xml:space="preserve"> — the screens, the states, the decisions the system makes on its own, and the decisions it deliberately leaves to the job seeker. It is the reference for acceptance testing and for anyone who has to explain the product to a user.</w:t>
      </w:r>
    </w:p>
    <w:p>
      <w:r>
        <w:rPr/>
        <w:t>Requirement identifiers from the SRS are cited inline (FR-xxx, NFR-xxx, CR-xxx). Section 12 maps every requirement to the module that implements it.</w:t>
      </w:r>
    </w:p>
    <w:p>
      <w:r>
        <w:rPr/>
        <w:t>Where the implementation makes a judgement the SRS left open, it is called out in a box like this:</w:t>
      </w:r>
    </w:p>
    <w:p>
      <w:pPr>
        <w:spacing w:after="40"/>
      </w:pPr>
    </w:p>
    <w:tbl>
      <w:tblPr>
        <w:tblStyle w:val="TableGrid"/>
        <w:tblW w:type="auto" w:w="0"/>
        <w:jc w:val="left"/>
        <w:tblLayout w:type="fixed"/>
        <w:tblLook w:firstColumn="1" w:firstRow="1" w:lastColumn="0" w:lastRow="0" w:noHBand="0" w:noVBand="1" w:val="04A0"/>
        <w:tblLayout w:type="fixed"/>
        <w:tblCellMar>
          <w:top w:w="120" w:type="dxa"/>
          <w:start w:w="170" w:type="dxa"/>
          <w:bottom w:w="120" w:type="dxa"/>
          <w:end w:w="170" w:type="dxa"/>
        </w:tblCellMar>
      </w:tblPr>
      <w:tblGrid>
        <w:gridCol w:w="9029"/>
      </w:tblGrid>
      <w:tr>
        <w:trPr>
          <w:cantSplit w:val="true"/>
        </w:trPr>
        <w:tc>
          <w:tcPr>
            <w:tcW w:type="dxa" w:w="9029"/>
            <w:shd w:val="clear" w:color="auto" w:fill="F4F1FD"/>
            <w:tcBorders>
              <w:top w:val="single" w:sz="4" w:space="0" w:color="F4F1FD"/>
              <w:left w:val="single" w:sz="30" w:space="0" w:color="6D54D8"/>
              <w:bottom w:val="single" w:sz="4" w:space="0" w:color="F4F1FD"/>
              <w:right w:val="single" w:sz="4" w:space="0" w:color="F4F1FD"/>
            </w:tcBorders>
          </w:tcPr>
          <w:p>
            <w:pPr>
              <w:pStyle w:val="DJCallout"/>
            </w:pPr>
            <w:r>
              <w:rPr>
                <w:b/>
                <w:color w:val="6D54D8"/>
              </w:rPr>
              <w:t xml:space="preserve">Decision.  </w:t>
            </w:r>
            <w:r>
              <w:rPr/>
              <w:t>What was chosen, and why.</w:t>
            </w:r>
          </w:p>
        </w:tc>
      </w:tr>
    </w:tbl>
    <w:p>
      <w:pPr>
        <w:spacing w:after="80"/>
      </w:pPr>
    </w:p>
    <w:p>
      <w:pPr>
        <w:pStyle w:val="Heading1"/>
        <w:pBdr>
          <w:bottom w:val="single" w:sz="8" w:space="6" w:color="6D54D8"/>
        </w:pBdr>
      </w:pPr>
      <w:r>
        <w:rPr/>
        <w:t>2. The product in one page</w:t>
      </w:r>
    </w:p>
    <w:p>
      <w:pPr>
        <w:keepNext/>
      </w:pPr>
      <w:r>
        <w:rPr/>
        <w:t>Most job search tools react to what has been published. Dream Job starts from who the job seeker is and what they actually want, maps the relevant slice of the market — including companies that have not advertised — judges each company's capacity and likelihood to hire, and then removes the friction of applying.</w:t>
      </w:r>
    </w:p>
    <w:p>
      <w:r>
        <w:rPr/>
        <w:t>The system is opinionated about scope: it collects what the directives justify rather than downloading the world.</w:t>
      </w:r>
    </w:p>
    <w:p>
      <w:r>
        <w:rPr/>
        <w:t>Three properties shape every screen:</w:t>
      </w:r>
    </w:p>
    <w:p>
      <w:pPr>
        <w:pStyle w:val="DJNumber"/>
      </w:pPr>
      <w:r>
        <w:rPr>
          <w:b/>
          <w:color w:val="6D54D8"/>
        </w:rPr>
        <w:t>1.</w:t>
        <w:tab/>
      </w:r>
      <w:r>
        <w:rPr>
          <w:b/>
        </w:rPr>
        <w:t>Nothing is invented.</w:t>
      </w:r>
      <w:r>
        <w:rPr/>
        <w:t xml:space="preserve"> Every statement in a generated CV or email traces to a fact in the profile. A factual-consistency check runs before anything can be approved (FR-322, CR-405).</w:t>
      </w:r>
    </w:p>
    <w:p>
      <w:pPr>
        <w:pStyle w:val="DJNumber"/>
      </w:pPr>
      <w:r>
        <w:rPr>
          <w:b/>
          <w:color w:val="6D54D8"/>
        </w:rPr>
        <w:t>2.</w:t>
        <w:tab/>
      </w:r>
      <w:r>
        <w:rPr>
          <w:b/>
        </w:rPr>
        <w:t>Nothing is sent automatically.</w:t>
      </w:r>
      <w:r>
        <w:rPr/>
        <w:t xml:space="preserve"> Scoring is advisory; the job seeker takes every decision to apply (NFR-305). There is no path through the product in which a message reaches a stranger without a human approving it.</w:t>
      </w:r>
    </w:p>
    <w:p>
      <w:pPr>
        <w:pStyle w:val="DJNumber"/>
        <w:spacing w:after="140"/>
      </w:pPr>
      <w:r>
        <w:rPr>
          <w:b/>
          <w:color w:val="6D54D8"/>
        </w:rPr>
        <w:t>3.</w:t>
        <w:tab/>
      </w:r>
      <w:r>
        <w:rPr>
          <w:b/>
        </w:rPr>
        <w:t>Nothing is hidden.</w:t>
      </w:r>
      <w:r>
        <w:rPr/>
        <w:t xml:space="preserve"> Sub-scores, provenance, sample sizes, the AI call log, the cost so far — all of it is on screen. A user who disagrees with the ranking can see exactly what produced it.</w:t>
      </w:r>
    </w:p>
    <w:p>
      <w:pPr>
        <w:pStyle w:val="Heading1"/>
        <w:pBdr>
          <w:bottom w:val="single" w:sz="8" w:space="6" w:color="6D54D8"/>
        </w:pBdr>
      </w:pPr>
      <w:r>
        <w:rPr/>
        <w:t>3. Actors</w:t>
      </w:r>
    </w:p>
    <w:tbl>
      <w:tblPr>
        <w:tblStyle w:val="TableGrid"/>
        <w:tblW w:type="auto" w:w="0"/>
        <w:jc w:val="left"/>
        <w:tblLayout w:type="fixed"/>
        <w:tblLook w:firstColumn="1" w:firstRow="1" w:lastColumn="0" w:lastRow="0" w:noHBand="0" w:noVBand="1" w:val="04A0"/>
        <w:tblLayout w:type="fixed"/>
        <w:tblCellMar>
          <w:top w:w="60" w:type="dxa"/>
          <w:start w:w="110" w:type="dxa"/>
          <w:bottom w:w="60" w:type="dxa"/>
          <w:end w:w="110" w:type="dxa"/>
        </w:tblCellMar>
      </w:tblPr>
      <w:tblGrid>
        <w:gridCol w:w="2304"/>
        <w:gridCol w:w="6724"/>
      </w:tblGrid>
      <w:tr>
        <w:trPr>
          <w:tblHeader w:val="true"/>
          <w:cantSplit w:val="true"/>
        </w:trPr>
        <w:tc>
          <w:tcPr>
            <w:tcW w:type="dxa" w:w="2304"/>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Actor</w:t>
            </w:r>
          </w:p>
        </w:tc>
        <w:tc>
          <w:tcPr>
            <w:tcW w:type="dxa" w:w="6724"/>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Description</w:t>
            </w:r>
          </w:p>
        </w:tc>
      </w:tr>
      <w:tr>
        <w:trPr>
          <w:cantSplit w:val="true"/>
        </w:trPr>
        <w:tc>
          <w:tcPr>
            <w:tcW w:type="dxa" w:w="2304"/>
            <w:vAlign w:val="center"/>
            <w:tcBorders>
              <w:top w:val="single" w:sz="4" w:space="0" w:color="D5D8DF"/>
              <w:left w:val="single" w:sz="4" w:space="0" w:color="D5D8DF"/>
              <w:bottom w:val="single" w:sz="4" w:space="0" w:color="D5D8DF"/>
              <w:right w:val="single" w:sz="4" w:space="0" w:color="D5D8DF"/>
            </w:tcBorders>
          </w:tcPr>
          <w:p>
            <w:pPr>
              <w:pStyle w:val="DJTableText"/>
            </w:pPr>
            <w:r>
              <w:rPr>
                <w:b/>
              </w:rPr>
              <w:t>Job seeker</w:t>
            </w:r>
          </w:p>
        </w:tc>
        <w:tc>
          <w:tcPr>
            <w:tcW w:type="dxa" w:w="6724"/>
            <w:vAlign w:val="center"/>
            <w:tcBorders>
              <w:top w:val="single" w:sz="4" w:space="0" w:color="D5D8DF"/>
              <w:left w:val="single" w:sz="4" w:space="0" w:color="D5D8DF"/>
              <w:bottom w:val="single" w:sz="4" w:space="0" w:color="D5D8DF"/>
              <w:right w:val="single" w:sz="4" w:space="0" w:color="D5D8DF"/>
            </w:tcBorders>
          </w:tcPr>
          <w:p>
            <w:pPr>
              <w:pStyle w:val="DJTableText"/>
            </w:pPr>
            <w:r>
              <w:rPr/>
              <w:t>Primary user. Supplies profile and directives, reviews rankings, approves and triggers applications.</w:t>
            </w:r>
          </w:p>
        </w:tc>
      </w:tr>
      <w:tr>
        <w:trPr>
          <w:cantSplit w:val="true"/>
        </w:trPr>
        <w:tc>
          <w:tcPr>
            <w:tcW w:type="dxa" w:w="230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b/>
              </w:rPr>
              <w:t>Administrator</w:t>
            </w:r>
          </w:p>
        </w:tc>
        <w:tc>
          <w:tcPr>
            <w:tcW w:type="dxa" w:w="672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Maintains adapters, monitors campaigns, manages model selection and budgets. In a single-tenant deployment this is the same person.</w:t>
            </w:r>
          </w:p>
        </w:tc>
      </w:tr>
      <w:tr>
        <w:trPr>
          <w:cantSplit w:val="true"/>
        </w:trPr>
        <w:tc>
          <w:tcPr>
            <w:tcW w:type="dxa" w:w="2304"/>
            <w:vAlign w:val="center"/>
            <w:tcBorders>
              <w:top w:val="single" w:sz="4" w:space="0" w:color="D5D8DF"/>
              <w:left w:val="single" w:sz="4" w:space="0" w:color="D5D8DF"/>
              <w:bottom w:val="single" w:sz="4" w:space="0" w:color="D5D8DF"/>
              <w:right w:val="single" w:sz="4" w:space="0" w:color="D5D8DF"/>
            </w:tcBorders>
          </w:tcPr>
          <w:p>
            <w:pPr>
              <w:pStyle w:val="DJTableText"/>
            </w:pPr>
            <w:r>
              <w:rPr>
                <w:b/>
              </w:rPr>
              <w:t>LLM service</w:t>
            </w:r>
          </w:p>
        </w:tc>
        <w:tc>
          <w:tcPr>
            <w:tcW w:type="dxa" w:w="6724"/>
            <w:vAlign w:val="center"/>
            <w:tcBorders>
              <w:top w:val="single" w:sz="4" w:space="0" w:color="D5D8DF"/>
              <w:left w:val="single" w:sz="4" w:space="0" w:color="D5D8DF"/>
              <w:bottom w:val="single" w:sz="4" w:space="0" w:color="D5D8DF"/>
              <w:right w:val="single" w:sz="4" w:space="0" w:color="D5D8DF"/>
            </w:tcBorders>
          </w:tcPr>
          <w:p>
            <w:pPr>
              <w:pStyle w:val="DJTableText"/>
            </w:pPr>
            <w:r>
              <w:rPr/>
              <w:t>DeepSeek by default; any OpenAI-compatible endpoint, including a local one for privacy-sensitive steps (CR-409, NFR-306).</w:t>
            </w:r>
          </w:p>
        </w:tc>
      </w:tr>
      <w:tr>
        <w:trPr>
          <w:cantSplit w:val="true"/>
        </w:trPr>
        <w:tc>
          <w:tcPr>
            <w:tcW w:type="dxa" w:w="230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b/>
              </w:rPr>
              <w:t>External sources</w:t>
            </w:r>
          </w:p>
        </w:tc>
        <w:tc>
          <w:tcPr>
            <w:tcW w:type="dxa" w:w="672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Job boards, ATS portals, company directories, financial registries, company websites, compensation sites, news and event feeds.</w:t>
            </w:r>
          </w:p>
        </w:tc>
      </w:tr>
      <w:tr>
        <w:trPr>
          <w:cantSplit w:val="true"/>
        </w:trPr>
        <w:tc>
          <w:tcPr>
            <w:tcW w:type="dxa" w:w="2304"/>
            <w:vAlign w:val="center"/>
            <w:tcBorders>
              <w:top w:val="single" w:sz="4" w:space="0" w:color="D5D8DF"/>
              <w:left w:val="single" w:sz="4" w:space="0" w:color="D5D8DF"/>
              <w:bottom w:val="single" w:sz="4" w:space="0" w:color="D5D8DF"/>
              <w:right w:val="single" w:sz="4" w:space="0" w:color="D5D8DF"/>
            </w:tcBorders>
          </w:tcPr>
          <w:p>
            <w:pPr>
              <w:pStyle w:val="DJTableText"/>
            </w:pPr>
            <w:r>
              <w:rPr>
                <w:b/>
              </w:rPr>
              <w:t>Hiring contact</w:t>
            </w:r>
          </w:p>
        </w:tc>
        <w:tc>
          <w:tcPr>
            <w:tcW w:type="dxa" w:w="6724"/>
            <w:vAlign w:val="center"/>
            <w:tcBorders>
              <w:top w:val="single" w:sz="4" w:space="0" w:color="D5D8DF"/>
              <w:left w:val="single" w:sz="4" w:space="0" w:color="D5D8DF"/>
              <w:bottom w:val="single" w:sz="4" w:space="0" w:color="D5D8DF"/>
              <w:right w:val="single" w:sz="4" w:space="0" w:color="D5D8DF"/>
            </w:tcBorders>
          </w:tcPr>
          <w:p>
            <w:pPr>
              <w:pStyle w:val="DJTableText"/>
            </w:pPr>
            <w:r>
              <w:rPr/>
              <w:t>Recipient of an introduction email. Not a user, but a data subject whose rights the product must honour (NFR-302).</w:t>
            </w:r>
          </w:p>
        </w:tc>
      </w:tr>
    </w:tbl>
    <w:p>
      <w:pPr>
        <w:spacing w:after="40"/>
      </w:pPr>
    </w:p>
    <w:p>
      <w:pPr>
        <w:spacing w:after="40"/>
      </w:pPr>
    </w:p>
    <w:tbl>
      <w:tblPr>
        <w:tblStyle w:val="TableGrid"/>
        <w:tblW w:type="auto" w:w="0"/>
        <w:jc w:val="left"/>
        <w:tblLayout w:type="fixed"/>
        <w:tblLook w:firstColumn="1" w:firstRow="1" w:lastColumn="0" w:lastRow="0" w:noHBand="0" w:noVBand="1" w:val="04A0"/>
        <w:tblLayout w:type="fixed"/>
        <w:tblCellMar>
          <w:top w:w="120" w:type="dxa"/>
          <w:start w:w="170" w:type="dxa"/>
          <w:bottom w:w="120" w:type="dxa"/>
          <w:end w:w="170" w:type="dxa"/>
        </w:tblCellMar>
      </w:tblPr>
      <w:tblGrid>
        <w:gridCol w:w="9029"/>
      </w:tblGrid>
      <w:tr>
        <w:trPr>
          <w:cantSplit w:val="true"/>
        </w:trPr>
        <w:tc>
          <w:tcPr>
            <w:tcW w:type="dxa" w:w="9029"/>
            <w:shd w:val="clear" w:color="auto" w:fill="F4F1FD"/>
            <w:tcBorders>
              <w:top w:val="single" w:sz="4" w:space="0" w:color="F4F1FD"/>
              <w:left w:val="single" w:sz="30" w:space="0" w:color="6D54D8"/>
              <w:bottom w:val="single" w:sz="4" w:space="0" w:color="F4F1FD"/>
              <w:right w:val="single" w:sz="4" w:space="0" w:color="F4F1FD"/>
            </w:tcBorders>
          </w:tcPr>
          <w:p>
            <w:pPr>
              <w:pStyle w:val="DJCallout"/>
            </w:pPr>
            <w:r>
              <w:rPr>
                <w:b/>
                <w:color w:val="6D54D8"/>
              </w:rPr>
              <w:t xml:space="preserve">Decision (OQ-04).  </w:t>
            </w:r>
            <w:r>
              <w:rPr/>
              <w:t xml:space="preserve">Built as a </w:t>
            </w:r>
            <w:r>
              <w:rPr>
                <w:b/>
              </w:rPr>
              <w:t>single-node, multi-job-seeker</w:t>
            </w:r>
            <w:r>
              <w:rPr/>
              <w:t xml:space="preserve"> installation. Private data is isolated per job seeker at the query level; the knowledge base is shared. This supports a household or a small coaching practice without the operational weight of a hosted service. See §11.</w:t>
            </w:r>
          </w:p>
        </w:tc>
      </w:tr>
    </w:tbl>
    <w:p>
      <w:pPr>
        <w:spacing w:after="80"/>
      </w:pPr>
    </w:p>
    <w:p>
      <w:pPr>
        <w:pStyle w:val="Heading1"/>
        <w:pBdr>
          <w:bottom w:val="single" w:sz="8" w:space="6" w:color="6D54D8"/>
        </w:pBdr>
      </w:pPr>
      <w:r>
        <w:rPr/>
        <w:t>4. The journey</w:t>
      </w:r>
    </w:p>
    <w:p>
      <w:pPr>
        <w:keepNext/>
      </w:pPr>
      <w:r>
        <w:rPr/>
        <w:t>The SRS describes a ten-stage pipeline (§2.3). The interface groups it into the five phases users actually think in, and gives each a colour that stays fixed throughout the product:</w:t>
      </w:r>
    </w:p>
    <w:p>
      <w:pPr>
        <w:pStyle w:val="FigureImage"/>
        <w:keepNext/>
        <w:keepLines/>
      </w:pPr>
      <w:r>
        <w:drawing>
          <wp:inline xmlns:a="http://schemas.openxmlformats.org/drawingml/2006/main" xmlns:pic="http://schemas.openxmlformats.org/drawingml/2006/picture">
            <wp:extent cx="5733288" cy="2745396"/>
            <wp:docPr id="2" name="Picture 2"/>
            <wp:cNvGraphicFramePr>
              <a:graphicFrameLocks noChangeAspect="1"/>
            </wp:cNvGraphicFramePr>
            <a:graphic>
              <a:graphicData uri="http://schemas.openxmlformats.org/drawingml/2006/picture">
                <pic:pic>
                  <pic:nvPicPr>
                    <pic:cNvPr id="0" name="fdd-01-journey.png"/>
                    <pic:cNvPicPr/>
                  </pic:nvPicPr>
                  <pic:blipFill>
                    <a:blip r:embed="rId12"/>
                    <a:stretch>
                      <a:fillRect/>
                    </a:stretch>
                  </pic:blipFill>
                  <pic:spPr>
                    <a:xfrm>
                      <a:off x="0" y="0"/>
                      <a:ext cx="5733288" cy="2745396"/>
                    </a:xfrm>
                    <a:prstGeom prst="rect"/>
                  </pic:spPr>
                </pic:pic>
              </a:graphicData>
            </a:graphic>
          </wp:inline>
        </w:drawing>
      </w:r>
    </w:p>
    <w:p>
      <w:pPr>
        <w:pStyle w:val="FigureCaption"/>
        <w:keepLines/>
        <w:ind w:right="504"/>
      </w:pPr>
      <w:r>
        <w:rPr>
          <w:b/>
          <w:color w:val="6D54D8"/>
        </w:rPr>
        <w:t xml:space="preserve">Figure 1. </w:t>
      </w:r>
      <w:r>
        <w:rPr>
          <w:color w:val="6B7280"/>
        </w:rPr>
        <w:t>The five phases and the fifteen stages inside them. A phase keeps its colour on every screen it owns, so a user always knows where in the pipeline they are standing.</w:t>
      </w:r>
    </w:p>
    <w:p>
      <w:r>
        <w:rPr/>
        <w:t>Cool at the start (working out what you want), warm at the end (where messages actually leave the building).</w:t>
      </w:r>
    </w:p>
    <w:p>
      <w:r>
        <w:rPr>
          <w:b/>
        </w:rPr>
        <w:t>The "Where I am" screen</w:t>
      </w:r>
      <w:r>
        <w:rPr/>
        <w:t xml:space="preserve"> renders this as a live map. Each of the sixteen stages reports one of five states — done, running, ready, </w:t>
      </w:r>
      <w:r>
        <w:rPr>
          <w:b/>
        </w:rPr>
        <w:t>blocked and why</w:t>
      </w:r>
      <w:r>
        <w:rPr/>
        <w:t>, or not started — with real counts, and links to the screen that advances it. A blocked stage never just says "not done"; it says what would unblock it, because the commonest way to get lost in a sixteen-stage pipeline is not knowing the next move. A one-line version of the same map sits at the top of every working screen.</w:t>
      </w:r>
    </w:p>
    <w:p>
      <w:pPr>
        <w:pStyle w:val="Heading1"/>
        <w:pBdr>
          <w:bottom w:val="single" w:sz="8" w:space="6" w:color="6D54D8"/>
        </w:pBdr>
      </w:pPr>
      <w:r>
        <w:rPr/>
        <w:t>5. Phase 1 — Profile</w:t>
      </w:r>
    </w:p>
    <w:p>
      <w:pPr>
        <w:pStyle w:val="Heading2"/>
      </w:pPr>
      <w:r>
        <w:rPr/>
        <w:t>5.1 Intake (FR-102, FR-103)</w:t>
      </w:r>
    </w:p>
    <w:p>
      <w:r>
        <w:rPr/>
        <w:t>Two documents go in.</w:t>
      </w:r>
    </w:p>
    <w:p>
      <w:r>
        <w:rPr>
          <w:b/>
        </w:rPr>
        <w:t>The LinkedIn export.</w:t>
      </w:r>
      <w:r>
        <w:rPr/>
        <w:t xml:space="preserve"> The section structure of LinkedIn's "Save to PDF" is the base schema of the profile (FR-102): Contact, Summary, Top Skills, Languages, Experience, Education, Certifications, Publications, Projects, Honors, Volunteering, Recommendations. The parser is deterministic first — the export places contact details in a narrow left column that interleaves with the body text, so extraction works from word x-positions rather than reading order — with LLM extraction as the fallback for passages the splitter cannot segment.</w:t>
      </w:r>
    </w:p>
    <w:p>
      <w:r>
        <w:rPr>
          <w:b/>
        </w:rPr>
        <w:t>The CV</w:t>
      </w:r>
      <w:r>
        <w:rPr/>
        <w:t xml:space="preserve">, as PDF or DOCX. Sections, dates, employers and titles are extracted, </w:t>
      </w:r>
      <w:r>
        <w:rPr>
          <w:b/>
        </w:rPr>
        <w:t>and so is the photo</w:t>
      </w:r>
      <w:r>
        <w:rPr/>
        <w:t>, which the tailored CV needs later.</w:t>
      </w:r>
    </w:p>
    <w:p>
      <w:r>
        <w:rPr>
          <w:i/>
        </w:rPr>
        <w:t>Verified against the real documents:</w:t>
      </w:r>
      <w:r>
        <w:rPr/>
        <w:t xml:space="preserve"> the product owner's LinkedIn export and CV produce 8 experience entries, 27 top skills, 4 languages, 3 publications, a 1,163-character summary, and an extracted 300×300 photo.</w:t>
      </w:r>
    </w:p>
    <w:p>
      <w:pPr>
        <w:pStyle w:val="FigureImage"/>
        <w:keepNext/>
        <w:keepLines/>
      </w:pPr>
      <w:r>
        <w:drawing>
          <wp:inline xmlns:a="http://schemas.openxmlformats.org/drawingml/2006/main" xmlns:pic="http://schemas.openxmlformats.org/drawingml/2006/picture">
            <wp:extent cx="5733288" cy="2598167"/>
            <wp:docPr id="3" name="Picture 3"/>
            <wp:cNvGraphicFramePr>
              <a:graphicFrameLocks noChangeAspect="1"/>
            </wp:cNvGraphicFramePr>
            <a:graphic>
              <a:graphicData uri="http://schemas.openxmlformats.org/drawingml/2006/picture">
                <pic:pic>
                  <pic:nvPicPr>
                    <pic:cNvPr id="0" name="fdd-02-intake.png"/>
                    <pic:cNvPicPr/>
                  </pic:nvPicPr>
                  <pic:blipFill>
                    <a:blip r:embed="rId13"/>
                    <a:stretch>
                      <a:fillRect/>
                    </a:stretch>
                  </pic:blipFill>
                  <pic:spPr>
                    <a:xfrm>
                      <a:off x="0" y="0"/>
                      <a:ext cx="5733288" cy="2598167"/>
                    </a:xfrm>
                    <a:prstGeom prst="rect"/>
                  </pic:spPr>
                </pic:pic>
              </a:graphicData>
            </a:graphic>
          </wp:inline>
        </w:drawing>
      </w:r>
    </w:p>
    <w:p>
      <w:pPr>
        <w:pStyle w:val="FigureCaption"/>
        <w:keepLines/>
        <w:ind w:right="504"/>
      </w:pPr>
      <w:r>
        <w:rPr>
          <w:b/>
          <w:color w:val="6D54D8"/>
        </w:rPr>
        <w:t xml:space="preserve">Figure 2. </w:t>
      </w:r>
      <w:r>
        <w:rPr>
          <w:color w:val="6B7280"/>
        </w:rPr>
        <w:t>What the two source documents become, measured on the product owner's own export and CV — and where the extracted photo travels to.</w:t>
      </w:r>
    </w:p>
    <w:p>
      <w:pPr>
        <w:pStyle w:val="Heading2"/>
      </w:pPr>
      <w:r>
        <w:rPr/>
        <w:t>5.2 Conflict resolution (FR-103)</w:t>
      </w:r>
    </w:p>
    <w:p>
      <w:r>
        <w:rPr/>
        <w:t xml:space="preserve">The two documents disagree, and the system says so rather than silently picking one. Every disagreement over a date, title or employer becomes a </w:t>
      </w:r>
      <w:r>
        <w:rPr>
          <w:b/>
        </w:rPr>
        <w:t>conflict</w:t>
      </w:r>
      <w:r>
        <w:rPr/>
        <w:t xml:space="preserve"> the job seeker resolves — LinkedIn value, CV value, or a manual override.</w:t>
      </w:r>
    </w:p>
    <w:p>
      <w:r>
        <w:rPr>
          <w:i/>
        </w:rPr>
        <w:t>Verified:</w:t>
      </w:r>
      <w:r>
        <w:rPr/>
        <w:t xml:space="preserve"> the real pair produces </w:t>
      </w:r>
      <w:r>
        <w:rPr>
          <w:b/>
        </w:rPr>
        <w:t>18 conflicts</w:t>
      </w:r>
      <w:r>
        <w:rPr/>
        <w:t>, including the employer naming (</w:t>
      </w:r>
      <w:r>
        <w:rPr>
          <w:rStyle w:val="CodeInline"/>
        </w:rPr>
        <w:t>NGA Human Resources</w:t>
      </w:r>
      <w:r>
        <w:rPr/>
        <w:t xml:space="preserve"> vs </w:t>
      </w:r>
      <w:r>
        <w:rPr>
          <w:rStyle w:val="CodeInline"/>
        </w:rPr>
        <w:t>Alight Solutions (formerly NGA Human Resources)</w:t>
      </w:r>
      <w:r>
        <w:rPr/>
        <w:t xml:space="preserve">) and the strategy role's dates (LinkedIn </w:t>
      </w:r>
      <w:r>
        <w:rPr>
          <w:rStyle w:val="CodeInline"/>
        </w:rPr>
        <w:t>2014-11 → 2023-10</w:t>
      </w:r>
      <w:r>
        <w:rPr/>
        <w:t xml:space="preserve"> vs CV </w:t>
      </w:r>
      <w:r>
        <w:rPr>
          <w:rStyle w:val="CodeInline"/>
        </w:rPr>
        <w:t>2016 → 2020</w:t>
      </w:r>
      <w:r>
        <w:rPr/>
        <w:t>). Both are genuine ambiguities that would otherwise reach a CV.</w:t>
      </w:r>
    </w:p>
    <w:p>
      <w:pPr>
        <w:pStyle w:val="FigureImage"/>
        <w:keepNext/>
        <w:keepLines/>
      </w:pPr>
      <w:r>
        <w:drawing>
          <wp:inline xmlns:a="http://schemas.openxmlformats.org/drawingml/2006/main" xmlns:pic="http://schemas.openxmlformats.org/drawingml/2006/picture">
            <wp:extent cx="5733288" cy="2652981"/>
            <wp:docPr id="4" name="Picture 4"/>
            <wp:cNvGraphicFramePr>
              <a:graphicFrameLocks noChangeAspect="1"/>
            </wp:cNvGraphicFramePr>
            <a:graphic>
              <a:graphicData uri="http://schemas.openxmlformats.org/drawingml/2006/picture">
                <pic:pic>
                  <pic:nvPicPr>
                    <pic:cNvPr id="0" name="fdd-03-conflicts.png"/>
                    <pic:cNvPicPr/>
                  </pic:nvPicPr>
                  <pic:blipFill>
                    <a:blip r:embed="rId14"/>
                    <a:stretch>
                      <a:fillRect/>
                    </a:stretch>
                  </pic:blipFill>
                  <pic:spPr>
                    <a:xfrm>
                      <a:off x="0" y="0"/>
                      <a:ext cx="5733288" cy="2652981"/>
                    </a:xfrm>
                    <a:prstGeom prst="rect"/>
                  </pic:spPr>
                </pic:pic>
              </a:graphicData>
            </a:graphic>
          </wp:inline>
        </w:drawing>
      </w:r>
    </w:p>
    <w:p>
      <w:pPr>
        <w:pStyle w:val="FigureCaption"/>
        <w:keepLines/>
        <w:ind w:right="504"/>
      </w:pPr>
      <w:r>
        <w:rPr>
          <w:b/>
          <w:color w:val="6D54D8"/>
        </w:rPr>
        <w:t xml:space="preserve">Figure 3. </w:t>
      </w:r>
      <w:r>
        <w:rPr>
          <w:color w:val="6B7280"/>
        </w:rPr>
        <w:t>How the eighteen conflicts break down. Role dates dominate, and the four employer-name conflicts are one employer written two ways.</w:t>
      </w:r>
    </w:p>
    <w:p>
      <w:r>
        <w:rPr/>
        <w:t>Unresolved conflicts are shown as urgent, because everything downstream inherits them.</w:t>
      </w:r>
    </w:p>
    <w:p>
      <w:pPr>
        <w:pStyle w:val="Heading2"/>
      </w:pPr>
      <w:r>
        <w:rPr/>
        <w:t>5.3 Versions, skills, evidence, personas</w:t>
      </w:r>
    </w:p>
    <w:p>
      <w:pPr>
        <w:pStyle w:val="DJBullet"/>
      </w:pPr>
      <w:r>
        <w:rPr>
          <w:b/>
          <w:color w:val="6D54D8"/>
        </w:rPr>
        <w:t>•</w:t>
        <w:tab/>
      </w:r>
      <w:r>
        <w:rPr>
          <w:b/>
        </w:rPr>
        <w:t>Versions (FR-105).</w:t>
      </w:r>
      <w:r>
        <w:rPr/>
        <w:t xml:space="preserve"> Every save creates a new version. Campaigns record the version they used, so an old ranking stays explainable.</w:t>
      </w:r>
    </w:p>
    <w:p>
      <w:pPr>
        <w:pStyle w:val="DJBullet"/>
      </w:pPr>
      <w:r>
        <w:rPr>
          <w:b/>
          <w:color w:val="6D54D8"/>
        </w:rPr>
        <w:t>•</w:t>
        <w:tab/>
      </w:r>
      <w:r>
        <w:rPr>
          <w:b/>
        </w:rPr>
        <w:t>Skills (FR-107).</w:t>
      </w:r>
      <w:r>
        <w:rPr/>
        <w:t xml:space="preserve"> A bundled ESCO-style taxonomy of several hundred software, data and HR skills with synonyms, LLM normalisation for the rest. Proficiency, years of experience and last-used year are derived from the experience timeline. </w:t>
      </w:r>
      <w:r>
        <w:rPr>
          <w:i/>
        </w:rPr>
        <w:t>Verified:</w:t>
      </w:r>
      <w:r>
        <w:rPr/>
        <w:t xml:space="preserve"> 52 normalised skills from the real profile.</w:t>
      </w:r>
    </w:p>
    <w:p>
      <w:pPr>
        <w:pStyle w:val="DJBullet"/>
      </w:pPr>
      <w:r>
        <w:rPr>
          <w:b/>
          <w:color w:val="6D54D8"/>
        </w:rPr>
        <w:t>•</w:t>
        <w:tab/>
      </w:r>
      <w:r>
        <w:rPr>
          <w:b/>
        </w:rPr>
        <w:t>Evidence (FR-441).</w:t>
      </w:r>
      <w:r>
        <w:rPr/>
        <w:t xml:space="preserve"> Repositories, publications, talks, certificates, attached to skills and achievements, cited with verifiable links in tailored CVs.</w:t>
      </w:r>
    </w:p>
    <w:p>
      <w:pPr>
        <w:pStyle w:val="DJBullet"/>
        <w:spacing w:after="140"/>
      </w:pPr>
      <w:r>
        <w:rPr>
          <w:b/>
          <w:color w:val="6D54D8"/>
        </w:rPr>
        <w:t>•</w:t>
        <w:tab/>
      </w:r>
      <w:r>
        <w:rPr>
          <w:b/>
        </w:rPr>
        <w:t>Personas (FR-442).</w:t>
      </w:r>
      <w:r>
        <w:rPr/>
        <w:t xml:space="preserve"> One job seeker can search as an architect and as a product leader, each with its own emphasis, dream-job statement and directive defaults. The knowledge base stays common.</w:t>
      </w:r>
    </w:p>
    <w:p>
      <w:pPr>
        <w:pStyle w:val="Heading2"/>
      </w:pPr>
      <w:r>
        <w:rPr/>
        <w:t>5.4 Do not disclose (FR-106)</w:t>
      </w:r>
    </w:p>
    <w:p>
      <w:r>
        <w:rPr/>
        <w:t xml:space="preserve">Flagged fields are excluded from every generated document </w:t>
      </w:r>
      <w:r>
        <w:rPr>
          <w:b/>
        </w:rPr>
        <w:t>and stripped before any prompt leaves the machine</w:t>
      </w:r>
      <w:r>
        <w:rPr/>
        <w:t xml:space="preserve"> (CR-410). The screen states both plainly. This is the mechanism for a date of birth, a photo, or a current salary.</w:t>
      </w:r>
    </w:p>
    <w:p>
      <w:pPr>
        <w:pStyle w:val="Heading2"/>
      </w:pPr>
      <w:r>
        <w:rPr/>
        <w:t>5.5 Composite profile (FR-121–FR-127)</w:t>
      </w:r>
    </w:p>
    <w:p>
      <w:r>
        <w:rPr/>
        <w:t>An LLM synthesises the user-supplied data and verified online findings into the canonical representation used for matching and generation: narrative summary, career trajectory, core and adjacent competencies, seniority, domains, achievements, public footprint, inferred preferences, constraints.</w:t>
      </w:r>
    </w:p>
    <w:p>
      <w:r>
        <w:rPr>
          <w:b/>
        </w:rPr>
        <w:t>Every statement carries its source</w:t>
      </w:r>
      <w:r>
        <w:rPr/>
        <w:t xml:space="preserve"> — user input, LinkedIn export, CV, or a specific URL — and the screen makes each one traceable and editable (FR-125).</w:t>
      </w:r>
    </w:p>
    <w:p>
      <w:r>
        <w:rPr>
          <w:b/>
        </w:rPr>
        <w:t>Online enrichment</w:t>
      </w:r>
      <w:r>
        <w:rPr/>
        <w:t xml:space="preserve"> (FR-122) searches for the job seeker using name, employers, locations and declared handles as anchors: personal site, repositories, newsletters, publications, talks, press.</w:t>
      </w:r>
    </w:p>
    <w:p>
      <w:r>
        <w:rPr>
          <w:b/>
        </w:rPr>
        <w:t>Identity matching is the risk that matters here</w:t>
      </w:r>
      <w:r>
        <w:rPr/>
        <w:t xml:space="preserve"> (FR-123, RK-02). A namesake's career must never reach a CV. Every finding is scored on multiple independent signals, each recorded separately:</w:t>
      </w:r>
    </w:p>
    <w:tbl>
      <w:tblPr>
        <w:tblStyle w:val="TableGrid"/>
        <w:tblW w:type="auto" w:w="0"/>
        <w:jc w:val="left"/>
        <w:tblLayout w:type="fixed"/>
        <w:tblLook w:firstColumn="1" w:firstRow="1" w:lastColumn="0" w:lastRow="0" w:noHBand="0" w:noVBand="1" w:val="04A0"/>
        <w:tblLayout w:type="fixed"/>
        <w:tblCellMar>
          <w:top w:w="60" w:type="dxa"/>
          <w:start w:w="110" w:type="dxa"/>
          <w:bottom w:w="60" w:type="dxa"/>
          <w:end w:w="110" w:type="dxa"/>
        </w:tblCellMar>
      </w:tblPr>
      <w:tblGrid>
        <w:gridCol w:w="3191"/>
        <w:gridCol w:w="5838"/>
      </w:tblGrid>
      <w:tr>
        <w:trPr>
          <w:tblHeader w:val="true"/>
          <w:cantSplit w:val="true"/>
        </w:trPr>
        <w:tc>
          <w:tcPr>
            <w:tcW w:type="dxa" w:w="3191"/>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Signal</w:t>
            </w:r>
          </w:p>
        </w:tc>
        <w:tc>
          <w:tcPr>
            <w:tcW w:type="dxa" w:w="5838"/>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What it compares</w:t>
            </w:r>
          </w:p>
        </w:tc>
      </w:tr>
      <w:tr>
        <w:trPr>
          <w:cantSplit w:val="true"/>
        </w:trPr>
        <w:tc>
          <w:tcPr>
            <w:tcW w:type="dxa" w:w="3191"/>
            <w:vAlign w:val="center"/>
            <w:tcBorders>
              <w:top w:val="single" w:sz="4" w:space="0" w:color="D5D8DF"/>
              <w:left w:val="single" w:sz="4" w:space="0" w:color="D5D8DF"/>
              <w:bottom w:val="single" w:sz="4" w:space="0" w:color="D5D8DF"/>
              <w:right w:val="single" w:sz="4" w:space="0" w:color="D5D8DF"/>
            </w:tcBorders>
          </w:tcPr>
          <w:p>
            <w:pPr>
              <w:pStyle w:val="DJTableText"/>
            </w:pPr>
            <w:r>
              <w:rPr/>
              <w:t>Name variants</w:t>
            </w:r>
          </w:p>
        </w:tc>
        <w:tc>
          <w:tcPr>
            <w:tcW w:type="dxa" w:w="5838"/>
            <w:vAlign w:val="center"/>
            <w:tcBorders>
              <w:top w:val="single" w:sz="4" w:space="0" w:color="D5D8DF"/>
              <w:left w:val="single" w:sz="4" w:space="0" w:color="D5D8DF"/>
              <w:bottom w:val="single" w:sz="4" w:space="0" w:color="D5D8DF"/>
              <w:right w:val="single" w:sz="4" w:space="0" w:color="D5D8DF"/>
            </w:tcBorders>
          </w:tcPr>
          <w:p>
            <w:pPr>
              <w:pStyle w:val="DJTableText"/>
            </w:pPr>
            <w:r>
              <w:rPr/>
              <w:t>Spelling, ordering, diacritics, initials</w:t>
            </w:r>
          </w:p>
        </w:tc>
      </w:tr>
      <w:tr>
        <w:trPr>
          <w:cantSplit w:val="true"/>
        </w:trPr>
        <w:tc>
          <w:tcPr>
            <w:tcW w:type="dxa" w:w="3191"/>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Employer overlap</w:t>
            </w:r>
          </w:p>
        </w:tc>
        <w:tc>
          <w:tcPr>
            <w:tcW w:type="dxa" w:w="5838"/>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Organisations named on the page against the profile</w:t>
            </w:r>
          </w:p>
        </w:tc>
      </w:tr>
      <w:tr>
        <w:trPr>
          <w:cantSplit w:val="true"/>
        </w:trPr>
        <w:tc>
          <w:tcPr>
            <w:tcW w:type="dxa" w:w="3191"/>
            <w:vAlign w:val="center"/>
            <w:tcBorders>
              <w:top w:val="single" w:sz="4" w:space="0" w:color="D5D8DF"/>
              <w:left w:val="single" w:sz="4" w:space="0" w:color="D5D8DF"/>
              <w:bottom w:val="single" w:sz="4" w:space="0" w:color="D5D8DF"/>
              <w:right w:val="single" w:sz="4" w:space="0" w:color="D5D8DF"/>
            </w:tcBorders>
          </w:tcPr>
          <w:p>
            <w:pPr>
              <w:pStyle w:val="DJTableText"/>
            </w:pPr>
            <w:r>
              <w:rPr/>
              <w:t>Location</w:t>
            </w:r>
          </w:p>
        </w:tc>
        <w:tc>
          <w:tcPr>
            <w:tcW w:type="dxa" w:w="5838"/>
            <w:vAlign w:val="center"/>
            <w:tcBorders>
              <w:top w:val="single" w:sz="4" w:space="0" w:color="D5D8DF"/>
              <w:left w:val="single" w:sz="4" w:space="0" w:color="D5D8DF"/>
              <w:bottom w:val="single" w:sz="4" w:space="0" w:color="D5D8DF"/>
              <w:right w:val="single" w:sz="4" w:space="0" w:color="D5D8DF"/>
            </w:tcBorders>
          </w:tcPr>
          <w:p>
            <w:pPr>
              <w:pStyle w:val="DJTableText"/>
            </w:pPr>
            <w:r>
              <w:rPr/>
              <w:t>Cities and regions</w:t>
            </w:r>
          </w:p>
        </w:tc>
      </w:tr>
      <w:tr>
        <w:trPr>
          <w:cantSplit w:val="true"/>
        </w:trPr>
        <w:tc>
          <w:tcPr>
            <w:tcW w:type="dxa" w:w="3191"/>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Timeline consistency</w:t>
            </w:r>
          </w:p>
        </w:tc>
        <w:tc>
          <w:tcPr>
            <w:tcW w:type="dxa" w:w="5838"/>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Dates on the page against the career span</w:t>
            </w:r>
          </w:p>
        </w:tc>
      </w:tr>
      <w:tr>
        <w:trPr>
          <w:cantSplit w:val="true"/>
        </w:trPr>
        <w:tc>
          <w:tcPr>
            <w:tcW w:type="dxa" w:w="3191"/>
            <w:vAlign w:val="center"/>
            <w:tcBorders>
              <w:top w:val="single" w:sz="4" w:space="0" w:color="D5D8DF"/>
              <w:left w:val="single" w:sz="4" w:space="0" w:color="D5D8DF"/>
              <w:bottom w:val="single" w:sz="4" w:space="0" w:color="D5D8DF"/>
              <w:right w:val="single" w:sz="4" w:space="0" w:color="D5D8DF"/>
            </w:tcBorders>
          </w:tcPr>
          <w:p>
            <w:pPr>
              <w:pStyle w:val="DJTableText"/>
            </w:pPr>
            <w:r>
              <w:rPr/>
              <w:t>Cross-links</w:t>
            </w:r>
          </w:p>
        </w:tc>
        <w:tc>
          <w:tcPr>
            <w:tcW w:type="dxa" w:w="5838"/>
            <w:vAlign w:val="center"/>
            <w:tcBorders>
              <w:top w:val="single" w:sz="4" w:space="0" w:color="D5D8DF"/>
              <w:left w:val="single" w:sz="4" w:space="0" w:color="D5D8DF"/>
              <w:bottom w:val="single" w:sz="4" w:space="0" w:color="D5D8DF"/>
              <w:right w:val="single" w:sz="4" w:space="0" w:color="D5D8DF"/>
            </w:tcBorders>
          </w:tcPr>
          <w:p>
            <w:pPr>
              <w:pStyle w:val="DJTableText"/>
            </w:pPr>
            <w:r>
              <w:rPr/>
              <w:t>Whether the page links to a profile already confirmed</w:t>
            </w:r>
          </w:p>
        </w:tc>
      </w:tr>
      <w:tr>
        <w:trPr>
          <w:cantSplit w:val="true"/>
        </w:trPr>
        <w:tc>
          <w:tcPr>
            <w:tcW w:type="dxa" w:w="3191"/>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Photo similarity</w:t>
            </w:r>
          </w:p>
        </w:tc>
        <w:tc>
          <w:tcPr>
            <w:tcW w:type="dxa" w:w="5838"/>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Perceptual hash against the profile photo</w:t>
            </w:r>
          </w:p>
        </w:tc>
      </w:tr>
    </w:tbl>
    <w:p>
      <w:pPr>
        <w:spacing w:after="40"/>
      </w:pPr>
    </w:p>
    <w:p>
      <w:r>
        <w:rPr/>
        <w:t xml:space="preserve">Findings are classified </w:t>
      </w:r>
      <w:r>
        <w:rPr>
          <w:b/>
        </w:rPr>
        <w:t>confirmed / probable / doubtful</w:t>
      </w:r>
      <w:r>
        <w:rPr/>
        <w:t xml:space="preserve">. Only </w:t>
      </w:r>
      <w:r>
        <w:rPr>
          <w:i/>
        </w:rPr>
        <w:t>confirmed</w:t>
      </w:r>
      <w:r>
        <w:rPr/>
        <w:t xml:space="preserve"> merges automatically (FR-124). Probable and doubtful are presented with their evidence for the job seeker to confirm or reject, and </w:t>
      </w:r>
      <w:r>
        <w:rPr>
          <w:b/>
        </w:rPr>
        <w:t>a rejection is permanent</w:t>
      </w:r>
      <w:r>
        <w:rPr/>
        <w:t xml:space="preserve"> — the finding is never proposed again.</w:t>
      </w:r>
    </w:p>
    <w:p>
      <w:pPr>
        <w:pStyle w:val="FigureImage"/>
        <w:keepNext/>
        <w:keepLines/>
      </w:pPr>
      <w:r>
        <w:drawing>
          <wp:inline xmlns:a="http://schemas.openxmlformats.org/drawingml/2006/main" xmlns:pic="http://schemas.openxmlformats.org/drawingml/2006/picture">
            <wp:extent cx="5733288" cy="3654755"/>
            <wp:docPr id="5" name="Picture 5"/>
            <wp:cNvGraphicFramePr>
              <a:graphicFrameLocks noChangeAspect="1"/>
            </wp:cNvGraphicFramePr>
            <a:graphic>
              <a:graphicData uri="http://schemas.openxmlformats.org/drawingml/2006/picture">
                <pic:pic>
                  <pic:nvPicPr>
                    <pic:cNvPr id="0" name="fdd-04-identity.png"/>
                    <pic:cNvPicPr/>
                  </pic:nvPicPr>
                  <pic:blipFill>
                    <a:blip r:embed="rId15"/>
                    <a:stretch>
                      <a:fillRect/>
                    </a:stretch>
                  </pic:blipFill>
                  <pic:spPr>
                    <a:xfrm>
                      <a:off x="0" y="0"/>
                      <a:ext cx="5733288" cy="3654755"/>
                    </a:xfrm>
                    <a:prstGeom prst="rect"/>
                  </pic:spPr>
                </pic:pic>
              </a:graphicData>
            </a:graphic>
          </wp:inline>
        </w:drawing>
      </w:r>
    </w:p>
    <w:p>
      <w:pPr>
        <w:pStyle w:val="FigureCaption"/>
        <w:keepLines/>
        <w:ind w:right="504"/>
      </w:pPr>
      <w:r>
        <w:rPr>
          <w:b/>
          <w:color w:val="6D54D8"/>
        </w:rPr>
        <w:t xml:space="preserve">Figure 4. </w:t>
      </w:r>
      <w:r>
        <w:rPr>
          <w:color w:val="6B7280"/>
        </w:rPr>
        <w:t xml:space="preserve">Six independent signals decide a finding's class. Only </w:t>
      </w:r>
      <w:r>
        <w:rPr>
          <w:i/>
          <w:color w:val="6B7280"/>
        </w:rPr>
        <w:t>confirmed</w:t>
      </w:r>
      <w:r>
        <w:rPr>
          <w:color w:val="6B7280"/>
        </w:rPr>
        <w:t xml:space="preserve"> merges on its own; everything else waits for the job seeker.</w:t>
      </w:r>
    </w:p>
    <w:p>
      <w:r>
        <w:rPr/>
        <w:t>Enrichment can be switched off entirely (FR-126), in which case no request leaves the machine and the composite profile is built from the documents alone.</w:t>
      </w:r>
    </w:p>
    <w:p>
      <w:r>
        <w:rPr>
          <w:b/>
        </w:rPr>
        <w:t>Special-category data</w:t>
      </w:r>
      <w:r>
        <w:rPr/>
        <w:t xml:space="preserve"> (FR-127) is never stored — health, political opinions, religion, sexual orientation, trade-union membership.</w:t>
      </w:r>
    </w:p>
    <w:p>
      <w:pPr>
        <w:spacing w:after="40"/>
      </w:pPr>
    </w:p>
    <w:tbl>
      <w:tblPr>
        <w:tblStyle w:val="TableGrid"/>
        <w:tblW w:type="auto" w:w="0"/>
        <w:jc w:val="left"/>
        <w:tblLayout w:type="fixed"/>
        <w:tblLook w:firstColumn="1" w:firstRow="1" w:lastColumn="0" w:lastRow="0" w:noHBand="0" w:noVBand="1" w:val="04A0"/>
        <w:tblLayout w:type="fixed"/>
        <w:tblCellMar>
          <w:top w:w="120" w:type="dxa"/>
          <w:start w:w="170" w:type="dxa"/>
          <w:bottom w:w="120" w:type="dxa"/>
          <w:end w:w="170" w:type="dxa"/>
        </w:tblCellMar>
      </w:tblPr>
      <w:tblGrid>
        <w:gridCol w:w="9029"/>
      </w:tblGrid>
      <w:tr>
        <w:trPr>
          <w:cantSplit w:val="true"/>
        </w:trPr>
        <w:tc>
          <w:tcPr>
            <w:tcW w:type="dxa" w:w="9029"/>
            <w:shd w:val="clear" w:color="auto" w:fill="F4F1FD"/>
            <w:tcBorders>
              <w:top w:val="single" w:sz="4" w:space="0" w:color="F4F1FD"/>
              <w:left w:val="single" w:sz="30" w:space="0" w:color="6D54D8"/>
              <w:bottom w:val="single" w:sz="4" w:space="0" w:color="F4F1FD"/>
              <w:right w:val="single" w:sz="4" w:space="0" w:color="F4F1FD"/>
            </w:tcBorders>
          </w:tcPr>
          <w:p>
            <w:pPr>
              <w:pStyle w:val="DJCallout"/>
            </w:pPr>
            <w:r>
              <w:rPr>
                <w:b/>
                <w:color w:val="6D54D8"/>
              </w:rPr>
              <w:t xml:space="preserve">Decision.  </w:t>
            </w:r>
            <w:r>
              <w:rPr/>
              <w:t xml:space="preserve">The filter distinguishes the </w:t>
            </w:r>
            <w:r>
              <w:rPr>
                <w:i/>
              </w:rPr>
              <w:t>person</w:t>
            </w:r>
            <w:r>
              <w:rPr/>
              <w:t xml:space="preserve"> from the </w:t>
            </w:r>
            <w:r>
              <w:rPr>
                <w:i/>
              </w:rPr>
              <w:t>vocabulary</w:t>
            </w:r>
            <w:r>
              <w:rPr/>
              <w:t>. An earlier keyword sweep deleted "healthcare data company", "medical devices", "Political Science" and "human rights platform" from ordinary professional histories — protecting nobody while destroying exactly the careers that need representing. Detection now runs three tiers: an occupational sense wins outright; an assertion about a person ("diagnosed with", "member of the X party") is removed; a bare category noun is removed unless the sentence is plainly technical.</w:t>
            </w:r>
          </w:p>
        </w:tc>
      </w:tr>
    </w:tbl>
    <w:p>
      <w:pPr>
        <w:spacing w:after="80"/>
      </w:pPr>
    </w:p>
    <w:p>
      <w:pPr>
        <w:pStyle w:val="Heading2"/>
      </w:pPr>
      <w:r>
        <w:rPr/>
        <w:t>5.6 Dream job (FR-109, FR-128)</w:t>
      </w:r>
    </w:p>
    <w:p>
      <w:r>
        <w:rPr/>
        <w:t>A free-text field, in the job seeker's own words and language, with no length limit: the work itself, the organisation, the people, the impact, the conditions, and what to avoid.</w:t>
      </w:r>
    </w:p>
    <w:p>
      <w:r>
        <w:rPr/>
        <w:t xml:space="preserve">An LLM turns it into a </w:t>
      </w:r>
      <w:r>
        <w:rPr>
          <w:b/>
        </w:rPr>
        <w:t>dream job model</w:t>
      </w:r>
      <w:r>
        <w:rPr/>
        <w:t>: target roles, role families, responsibilities, company characteristics, culture and values cues, deal-breakers, and implicit preferences the job seeker did not state. It is shown for confirmation, versioned, and used as a first-class input to planning, discovery, speculative openings and scoring.</w:t>
      </w:r>
    </w:p>
    <w:p>
      <w:r>
        <w:rPr>
          <w:i/>
        </w:rPr>
        <w:t>Verified against a real statement:</w:t>
      </w:r>
      <w:r>
        <w:rPr/>
        <w:t xml:space="preserve"> deal-breakers come back structured with a </w:t>
      </w:r>
      <w:r>
        <w:rPr>
          <w:rStyle w:val="CodeInline"/>
        </w:rPr>
        <w:t>hard</w:t>
      </w:r>
      <w:r>
        <w:rPr/>
        <w:t xml:space="preserve"> flag and a </w:t>
      </w:r>
      <w:r>
        <w:rPr>
          <w:rStyle w:val="CodeInline"/>
        </w:rPr>
        <w:t>detectable_from</w:t>
      </w:r>
      <w:r>
        <w:rPr/>
        <w:t xml:space="preserve"> list naming which opportunity fields can evidence them — which is what makes them usable in scoring rather than decorative.</w:t>
      </w:r>
    </w:p>
    <w:p>
      <w:pPr>
        <w:pStyle w:val="Heading1"/>
        <w:pBdr>
          <w:bottom w:val="single" w:sz="8" w:space="6" w:color="6D54D8"/>
        </w:pBdr>
      </w:pPr>
      <w:r>
        <w:rPr/>
        <w:t>6. Phase 2 — Plan</w:t>
      </w:r>
    </w:p>
    <w:p>
      <w:pPr>
        <w:pStyle w:val="Heading2"/>
      </w:pPr>
      <w:r>
        <w:rPr/>
        <w:t>6.1 Directives (FR-141–FR-149)</w:t>
      </w:r>
    </w:p>
    <w:p>
      <w:r>
        <w:rPr/>
        <w:t xml:space="preserve">Directives bound the campaign. They are </w:t>
      </w:r>
      <w:r>
        <w:rPr>
          <w:b/>
        </w:rPr>
        <w:t>structured controls, not free text</w:t>
      </w:r>
      <w:r>
        <w:rPr/>
        <w:t xml:space="preserve"> (FR-141), because they have to translate reliably into each source's own query language. The single free-text field is "notes to the AI".</w:t>
      </w:r>
    </w:p>
    <w:tbl>
      <w:tblPr>
        <w:tblStyle w:val="TableGrid"/>
        <w:tblW w:type="auto" w:w="0"/>
        <w:jc w:val="left"/>
        <w:tblLayout w:type="fixed"/>
        <w:tblLook w:firstColumn="1" w:firstRow="1" w:lastColumn="0" w:lastRow="0" w:noHBand="0" w:noVBand="1" w:val="04A0"/>
        <w:tblLayout w:type="fixed"/>
        <w:tblCellMar>
          <w:top w:w="60" w:type="dxa"/>
          <w:start w:w="110" w:type="dxa"/>
          <w:bottom w:w="60" w:type="dxa"/>
          <w:end w:w="110" w:type="dxa"/>
        </w:tblCellMar>
      </w:tblPr>
      <w:tblGrid>
        <w:gridCol w:w="2810"/>
        <w:gridCol w:w="6218"/>
      </w:tblGrid>
      <w:tr>
        <w:trPr>
          <w:tblHeader w:val="true"/>
          <w:cantSplit w:val="true"/>
        </w:trPr>
        <w:tc>
          <w:tcPr>
            <w:tcW w:type="dxa" w:w="2810"/>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Group</w:t>
            </w:r>
          </w:p>
        </w:tc>
        <w:tc>
          <w:tcPr>
            <w:tcW w:type="dxa" w:w="6218"/>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Covers</w:t>
            </w:r>
          </w:p>
        </w:tc>
      </w:tr>
      <w:tr>
        <w:trPr>
          <w:cantSplit w:val="true"/>
        </w:trPr>
        <w:tc>
          <w:tcPr>
            <w:tcW w:type="dxa" w:w="2810"/>
            <w:vAlign w:val="center"/>
            <w:tcBorders>
              <w:top w:val="single" w:sz="4" w:space="0" w:color="D5D8DF"/>
              <w:left w:val="single" w:sz="4" w:space="0" w:color="D5D8DF"/>
              <w:bottom w:val="single" w:sz="4" w:space="0" w:color="D5D8DF"/>
              <w:right w:val="single" w:sz="4" w:space="0" w:color="D5D8DF"/>
            </w:tcBorders>
          </w:tcPr>
          <w:p>
            <w:pPr>
              <w:pStyle w:val="DJTableText"/>
            </w:pPr>
            <w:r>
              <w:rPr/>
              <w:t>Job content (FR-142)</w:t>
            </w:r>
          </w:p>
        </w:tc>
        <w:tc>
          <w:tcPr>
            <w:tcW w:type="dxa" w:w="6218"/>
            <w:vAlign w:val="center"/>
            <w:tcBorders>
              <w:top w:val="single" w:sz="4" w:space="0" w:color="D5D8DF"/>
              <w:left w:val="single" w:sz="4" w:space="0" w:color="D5D8DF"/>
              <w:bottom w:val="single" w:sz="4" w:space="0" w:color="D5D8DF"/>
              <w:right w:val="single" w:sz="4" w:space="0" w:color="D5D8DF"/>
            </w:tcBorders>
          </w:tcPr>
          <w:p>
            <w:pPr>
              <w:pStyle w:val="DJTableText"/>
            </w:pPr>
            <w:r>
              <w:rPr/>
              <w:t>Titles with synonyms, function family, seniority range, must-have and nice-to-have skills, industries of interest and exclusion, management scope, keywords to avoid</w:t>
            </w:r>
          </w:p>
        </w:tc>
      </w:tr>
      <w:tr>
        <w:trPr>
          <w:cantSplit w:val="true"/>
        </w:trPr>
        <w:tc>
          <w:tcPr>
            <w:tcW w:type="dxa" w:w="2810"/>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Company type (FR-143)</w:t>
            </w:r>
          </w:p>
        </w:tc>
        <w:tc>
          <w:tcPr>
            <w:tcW w:type="dxa" w:w="6218"/>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Size bands, stage, trajectory, ownership, explicit include/exclude lists</w:t>
            </w:r>
          </w:p>
        </w:tc>
      </w:tr>
      <w:tr>
        <w:trPr>
          <w:cantSplit w:val="true"/>
        </w:trPr>
        <w:tc>
          <w:tcPr>
            <w:tcW w:type="dxa" w:w="2810"/>
            <w:vAlign w:val="center"/>
            <w:tcBorders>
              <w:top w:val="single" w:sz="4" w:space="0" w:color="D5D8DF"/>
              <w:left w:val="single" w:sz="4" w:space="0" w:color="D5D8DF"/>
              <w:bottom w:val="single" w:sz="4" w:space="0" w:color="D5D8DF"/>
              <w:right w:val="single" w:sz="4" w:space="0" w:color="D5D8DF"/>
            </w:tcBorders>
          </w:tcPr>
          <w:p>
            <w:pPr>
              <w:pStyle w:val="DJTableText"/>
            </w:pPr>
            <w:r>
              <w:rPr/>
              <w:t>Location (FR-144)</w:t>
            </w:r>
          </w:p>
        </w:tc>
        <w:tc>
          <w:tcPr>
            <w:tcW w:type="dxa" w:w="6218"/>
            <w:vAlign w:val="center"/>
            <w:tcBorders>
              <w:top w:val="single" w:sz="4" w:space="0" w:color="D5D8DF"/>
              <w:left w:val="single" w:sz="4" w:space="0" w:color="D5D8DF"/>
              <w:bottom w:val="single" w:sz="4" w:space="0" w:color="D5D8DF"/>
              <w:right w:val="single" w:sz="4" w:space="0" w:color="D5D8DF"/>
            </w:tcBorders>
          </w:tcPr>
          <w:p>
            <w:pPr>
              <w:pStyle w:val="DJTableText"/>
            </w:pPr>
            <w:r>
              <w:rPr/>
              <w:t>Geocoded areas with radius, countries, relocation willingness, maximum commute by mode</w:t>
            </w:r>
          </w:p>
        </w:tc>
      </w:tr>
      <w:tr>
        <w:trPr>
          <w:cantSplit w:val="true"/>
        </w:trPr>
        <w:tc>
          <w:tcPr>
            <w:tcW w:type="dxa" w:w="2810"/>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Work arrangement (FR-145)</w:t>
            </w:r>
          </w:p>
        </w:tc>
        <w:tc>
          <w:tcPr>
            <w:tcW w:type="dxa" w:w="6218"/>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On-site / hybrid with minimum remote days / remote, FTE percentage, contract type, travel tolerance</w:t>
            </w:r>
          </w:p>
        </w:tc>
      </w:tr>
      <w:tr>
        <w:trPr>
          <w:cantSplit w:val="true"/>
        </w:trPr>
        <w:tc>
          <w:tcPr>
            <w:tcW w:type="dxa" w:w="2810"/>
            <w:vAlign w:val="center"/>
            <w:tcBorders>
              <w:top w:val="single" w:sz="4" w:space="0" w:color="D5D8DF"/>
              <w:left w:val="single" w:sz="4" w:space="0" w:color="D5D8DF"/>
              <w:bottom w:val="single" w:sz="4" w:space="0" w:color="D5D8DF"/>
              <w:right w:val="single" w:sz="4" w:space="0" w:color="D5D8DF"/>
            </w:tcBorders>
          </w:tcPr>
          <w:p>
            <w:pPr>
              <w:pStyle w:val="DJTableText"/>
            </w:pPr>
            <w:r>
              <w:rPr/>
              <w:t>Compensation (FR-146)</w:t>
            </w:r>
          </w:p>
        </w:tc>
        <w:tc>
          <w:tcPr>
            <w:tcW w:type="dxa" w:w="6218"/>
            <w:vAlign w:val="center"/>
            <w:tcBorders>
              <w:top w:val="single" w:sz="4" w:space="0" w:color="D5D8DF"/>
              <w:left w:val="single" w:sz="4" w:space="0" w:color="D5D8DF"/>
              <w:bottom w:val="single" w:sz="4" w:space="0" w:color="D5D8DF"/>
              <w:right w:val="single" w:sz="4" w:space="0" w:color="D5D8DF"/>
            </w:tcBorders>
          </w:tcPr>
          <w:p>
            <w:pPr>
              <w:pStyle w:val="DJTableText"/>
            </w:pPr>
            <w:r>
              <w:rPr/>
              <w:t>Minimum package, currency, equity treatment</w:t>
            </w:r>
          </w:p>
        </w:tc>
      </w:tr>
    </w:tbl>
    <w:p>
      <w:pPr>
        <w:spacing w:after="40"/>
      </w:pPr>
    </w:p>
    <w:p>
      <w:r>
        <w:rPr/>
        <w:t xml:space="preserve">Compensation is used </w:t>
      </w:r>
      <w:r>
        <w:rPr>
          <w:b/>
        </w:rPr>
        <w:t>for filtering and scoring only</w:t>
      </w:r>
      <w:r>
        <w:rPr/>
        <w:t xml:space="preserve">. An explicit </w:t>
      </w:r>
      <w:r>
        <w:rPr>
          <w:rStyle w:val="CodeInline"/>
        </w:rPr>
        <w:t>disclose_in_content</w:t>
      </w:r>
      <w:r>
        <w:rPr/>
        <w:t xml:space="preserve"> flag, default off, is what any generating code must check before a figure can appear in a document.</w:t>
      </w:r>
    </w:p>
    <w:p>
      <w:r>
        <w:rPr>
          <w:b/>
        </w:rPr>
        <w:t>Discretion mode (FR-385)</w:t>
      </w:r>
      <w:r>
        <w:rPr/>
        <w:t xml:space="preserve"> is for job seekers who are currently employed. It excludes the current employer, its group entities (matched on name prefix and shared domain, not just exact name) and any flagged company; excludes contacts likely to expose the search; and suppresses LinkedIn actions that signal job hunting. It is indicated in a bar across the whole interface, not buried in settings.</w:t>
      </w:r>
    </w:p>
    <w:p>
      <w:pPr>
        <w:pStyle w:val="Heading2"/>
      </w:pPr>
      <w:r>
        <w:rPr/>
        <w:t>6.2 Campaign planning (FR-161–FR-166)</w:t>
      </w:r>
    </w:p>
    <w:p>
      <w:r>
        <w:rPr/>
        <w:t xml:space="preserve">The planner reads the source catalogue, selects sources the directives and coverage metadata justify (FR-164 — no Asian boards for a Benelux search), and has an LLM generate each source's </w:t>
      </w:r>
      <w:r>
        <w:rPr>
          <w:b/>
        </w:rPr>
        <w:t>native query form</w:t>
      </w:r>
      <w:r>
        <w:rPr/>
        <w:t xml:space="preserve"> grounded in the composite profile, the directives and the dream job model.</w:t>
      </w:r>
    </w:p>
    <w:p>
      <w:r>
        <w:rPr>
          <w:b/>
        </w:rPr>
        <w:t>Before anything runs</w:t>
      </w:r>
      <w:r>
        <w:rPr/>
        <w:t>, the job seeker sees the whole plan: sources, queries, expected volume, estimated duration, estimated cost — and can edit or exclude any source (FR-163).</w:t>
      </w:r>
    </w:p>
    <w:p>
      <w:r>
        <w:rPr>
          <w:b/>
        </w:rPr>
        <w:t>Knowledge-base reuse (FR-342)</w:t>
      </w:r>
      <w:r>
        <w:rPr/>
        <w:t xml:space="preserve"> is reported concretely before launch: per entity type, how many records are reused versus scheduled, and the time and cost avoided. Staleness defaults follow FR-343 across </w:t>
      </w:r>
      <w:r>
        <w:rPr>
          <w:b/>
        </w:rPr>
        <w:t>ten entity types</w:t>
      </w:r>
      <w:r>
        <w:rPr/>
        <w:t xml:space="preserve"> — vacancies 7 days, hiring signals and events 30 days, company websites 90 days, contacts, competitor links and employer-kind verdicts 180 days, filings 1 year, and salary observations nearly 4 years. Every value is administrator-editable and stored with the installation's other settings.</w:t>
      </w:r>
    </w:p>
    <w:p>
      <w:pPr>
        <w:pStyle w:val="FigureImage"/>
        <w:keepNext/>
        <w:keepLines/>
      </w:pPr>
      <w:r>
        <w:drawing>
          <wp:inline xmlns:a="http://schemas.openxmlformats.org/drawingml/2006/main" xmlns:pic="http://schemas.openxmlformats.org/drawingml/2006/picture">
            <wp:extent cx="5733288" cy="3914570"/>
            <wp:docPr id="6" name="Picture 6"/>
            <wp:cNvGraphicFramePr>
              <a:graphicFrameLocks noChangeAspect="1"/>
            </wp:cNvGraphicFramePr>
            <a:graphic>
              <a:graphicData uri="http://schemas.openxmlformats.org/drawingml/2006/picture">
                <pic:pic>
                  <pic:nvPicPr>
                    <pic:cNvPr id="0" name="fdd-05-planning.png"/>
                    <pic:cNvPicPr/>
                  </pic:nvPicPr>
                  <pic:blipFill>
                    <a:blip r:embed="rId16"/>
                    <a:stretch>
                      <a:fillRect/>
                    </a:stretch>
                  </pic:blipFill>
                  <pic:spPr>
                    <a:xfrm>
                      <a:off x="0" y="0"/>
                      <a:ext cx="5733288" cy="3914570"/>
                    </a:xfrm>
                    <a:prstGeom prst="rect"/>
                  </pic:spPr>
                </pic:pic>
              </a:graphicData>
            </a:graphic>
          </wp:inline>
        </w:drawing>
      </w:r>
    </w:p>
    <w:p>
      <w:pPr>
        <w:pStyle w:val="FigureCaption"/>
        <w:keepLines/>
        <w:ind w:right="504"/>
      </w:pPr>
      <w:r>
        <w:rPr>
          <w:b/>
          <w:color w:val="6D54D8"/>
        </w:rPr>
        <w:t xml:space="preserve">Figure 5. </w:t>
      </w:r>
      <w:r>
        <w:rPr>
          <w:color w:val="6B7280"/>
        </w:rPr>
        <w:t>Everything the planner settles before a single request is made, including which records the knowledge base can already answer for.</w:t>
      </w:r>
    </w:p>
    <w:p>
      <w:pPr>
        <w:pStyle w:val="Heading2"/>
      </w:pPr>
      <w:r>
        <w:rPr/>
        <w:t>6.3 Collection (FR-181–FR-186)</w:t>
      </w:r>
    </w:p>
    <w:p>
      <w:r>
        <w:rPr>
          <w:b/>
        </w:rPr>
        <w:t>Twenty-nine adapters</w:t>
      </w:r>
      <w:r>
        <w:rPr/>
        <w:t xml:space="preserve"> over a common four-step contract:</w:t>
      </w:r>
    </w:p>
    <w:tbl>
      <w:tblPr>
        <w:tblStyle w:val="TableGrid"/>
        <w:tblW w:type="auto" w:w="0"/>
        <w:jc w:val="left"/>
        <w:tblLayout w:type="fixed"/>
        <w:tblLook w:firstColumn="1" w:firstRow="1" w:lastColumn="0" w:lastRow="0" w:noHBand="0" w:noVBand="1" w:val="04A0"/>
        <w:tblLayout w:type="fixed"/>
        <w:tblCellMar>
          <w:top w:w="60" w:type="dxa"/>
          <w:start w:w="110" w:type="dxa"/>
          <w:bottom w:w="60" w:type="dxa"/>
          <w:end w:w="110" w:type="dxa"/>
        </w:tblCellMar>
      </w:tblPr>
      <w:tblGrid>
        <w:gridCol w:w="1852"/>
        <w:gridCol w:w="1037"/>
        <w:gridCol w:w="6140"/>
      </w:tblGrid>
      <w:tr>
        <w:trPr>
          <w:tblHeader w:val="true"/>
          <w:cantSplit w:val="true"/>
        </w:trPr>
        <w:tc>
          <w:tcPr>
            <w:tcW w:type="dxa" w:w="1852"/>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Type</w:t>
            </w:r>
          </w:p>
        </w:tc>
        <w:tc>
          <w:tcPr>
            <w:tcW w:type="dxa" w:w="1037"/>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Count</w:t>
            </w:r>
          </w:p>
        </w:tc>
        <w:tc>
          <w:tcPr>
            <w:tcW w:type="dxa" w:w="6140"/>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Sources</w:t>
            </w:r>
          </w:p>
        </w:tc>
      </w:tr>
      <w:tr>
        <w:trPr>
          <w:cantSplit w:val="true"/>
        </w:trPr>
        <w:tc>
          <w:tcPr>
            <w:tcW w:type="dxa" w:w="1852"/>
            <w:vAlign w:val="center"/>
            <w:tcBorders>
              <w:top w:val="single" w:sz="4" w:space="0" w:color="D5D8DF"/>
              <w:left w:val="single" w:sz="4" w:space="0" w:color="D5D8DF"/>
              <w:bottom w:val="single" w:sz="4" w:space="0" w:color="D5D8DF"/>
              <w:right w:val="single" w:sz="4" w:space="0" w:color="D5D8DF"/>
            </w:tcBorders>
          </w:tcPr>
          <w:p>
            <w:pPr>
              <w:pStyle w:val="DJTableText"/>
            </w:pPr>
            <w:r>
              <w:rPr/>
              <w:t>ATS</w:t>
            </w:r>
          </w:p>
        </w:tc>
        <w:tc>
          <w:tcPr>
            <w:tcW w:type="dxa" w:w="1037"/>
            <w:vAlign w:val="center"/>
            <w:tcBorders>
              <w:top w:val="single" w:sz="4" w:space="0" w:color="D5D8DF"/>
              <w:left w:val="single" w:sz="4" w:space="0" w:color="D5D8DF"/>
              <w:bottom w:val="single" w:sz="4" w:space="0" w:color="D5D8DF"/>
              <w:right w:val="single" w:sz="4" w:space="0" w:color="D5D8DF"/>
            </w:tcBorders>
          </w:tcPr>
          <w:p>
            <w:pPr>
              <w:pStyle w:val="DJTableText"/>
            </w:pPr>
            <w:r>
              <w:rPr/>
              <w:t>9</w:t>
            </w:r>
          </w:p>
        </w:tc>
        <w:tc>
          <w:tcPr>
            <w:tcW w:type="dxa" w:w="6140"/>
            <w:vAlign w:val="center"/>
            <w:tcBorders>
              <w:top w:val="single" w:sz="4" w:space="0" w:color="D5D8DF"/>
              <w:left w:val="single" w:sz="4" w:space="0" w:color="D5D8DF"/>
              <w:bottom w:val="single" w:sz="4" w:space="0" w:color="D5D8DF"/>
              <w:right w:val="single" w:sz="4" w:space="0" w:color="D5D8DF"/>
            </w:tcBorders>
          </w:tcPr>
          <w:p>
            <w:pPr>
              <w:pStyle w:val="DJTableText"/>
            </w:pPr>
            <w:r>
              <w:rPr/>
              <w:t>Greenhouse, Lever, SmartRecruiters, Ashby, Recruitee, Personio, Workday, Teamtailor, Workable</w:t>
            </w:r>
          </w:p>
        </w:tc>
      </w:tr>
      <w:tr>
        <w:trPr>
          <w:cantSplit w:val="true"/>
        </w:trPr>
        <w:tc>
          <w:tcPr>
            <w:tcW w:type="dxa" w:w="1852"/>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Job boards</w:t>
            </w:r>
          </w:p>
        </w:tc>
        <w:tc>
          <w:tcPr>
            <w:tcW w:type="dxa" w:w="1037"/>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9</w:t>
            </w:r>
          </w:p>
        </w:tc>
        <w:tc>
          <w:tcPr>
            <w:tcW w:type="dxa" w:w="6140"/>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EURES, VDAB, Actiris, Jobat, StepStone, Indeed, Welcome to the Jungle, Arbeitnow, generic HTML</w:t>
            </w:r>
          </w:p>
        </w:tc>
      </w:tr>
      <w:tr>
        <w:trPr>
          <w:cantSplit w:val="true"/>
        </w:trPr>
        <w:tc>
          <w:tcPr>
            <w:tcW w:type="dxa" w:w="1852"/>
            <w:vAlign w:val="center"/>
            <w:tcBorders>
              <w:top w:val="single" w:sz="4" w:space="0" w:color="D5D8DF"/>
              <w:left w:val="single" w:sz="4" w:space="0" w:color="D5D8DF"/>
              <w:bottom w:val="single" w:sz="4" w:space="0" w:color="D5D8DF"/>
              <w:right w:val="single" w:sz="4" w:space="0" w:color="D5D8DF"/>
            </w:tcBorders>
          </w:tcPr>
          <w:p>
            <w:pPr>
              <w:pStyle w:val="DJTableText"/>
            </w:pPr>
            <w:r>
              <w:rPr/>
              <w:t>Registries</w:t>
            </w:r>
          </w:p>
        </w:tc>
        <w:tc>
          <w:tcPr>
            <w:tcW w:type="dxa" w:w="1037"/>
            <w:vAlign w:val="center"/>
            <w:tcBorders>
              <w:top w:val="single" w:sz="4" w:space="0" w:color="D5D8DF"/>
              <w:left w:val="single" w:sz="4" w:space="0" w:color="D5D8DF"/>
              <w:bottom w:val="single" w:sz="4" w:space="0" w:color="D5D8DF"/>
              <w:right w:val="single" w:sz="4" w:space="0" w:color="D5D8DF"/>
            </w:tcBorders>
          </w:tcPr>
          <w:p>
            <w:pPr>
              <w:pStyle w:val="DJTableText"/>
            </w:pPr>
            <w:r>
              <w:rPr/>
              <w:t>5</w:t>
            </w:r>
          </w:p>
        </w:tc>
        <w:tc>
          <w:tcPr>
            <w:tcW w:type="dxa" w:w="6140"/>
            <w:vAlign w:val="center"/>
            <w:tcBorders>
              <w:top w:val="single" w:sz="4" w:space="0" w:color="D5D8DF"/>
              <w:left w:val="single" w:sz="4" w:space="0" w:color="D5D8DF"/>
              <w:bottom w:val="single" w:sz="4" w:space="0" w:color="D5D8DF"/>
              <w:right w:val="single" w:sz="4" w:space="0" w:color="D5D8DF"/>
            </w:tcBorders>
          </w:tcPr>
          <w:p>
            <w:pPr>
              <w:pStyle w:val="DJTableText"/>
            </w:pPr>
            <w:r>
              <w:rPr/>
              <w:t>NBB, KBO/BCE, Companies House, KvK, SEC EDGAR</w:t>
            </w:r>
          </w:p>
        </w:tc>
      </w:tr>
      <w:tr>
        <w:trPr>
          <w:cantSplit w:val="true"/>
        </w:trPr>
        <w:tc>
          <w:tcPr>
            <w:tcW w:type="dxa" w:w="1852"/>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Directories</w:t>
            </w:r>
          </w:p>
        </w:tc>
        <w:tc>
          <w:tcPr>
            <w:tcW w:type="dxa" w:w="1037"/>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1</w:t>
            </w:r>
          </w:p>
        </w:tc>
        <w:tc>
          <w:tcPr>
            <w:tcW w:type="dxa" w:w="6140"/>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OpenCorporates</w:t>
            </w:r>
          </w:p>
        </w:tc>
      </w:tr>
      <w:tr>
        <w:trPr>
          <w:cantSplit w:val="true"/>
        </w:trPr>
        <w:tc>
          <w:tcPr>
            <w:tcW w:type="dxa" w:w="1852"/>
            <w:vAlign w:val="center"/>
            <w:tcBorders>
              <w:top w:val="single" w:sz="4" w:space="0" w:color="D5D8DF"/>
              <w:left w:val="single" w:sz="4" w:space="0" w:color="D5D8DF"/>
              <w:bottom w:val="single" w:sz="4" w:space="0" w:color="D5D8DF"/>
              <w:right w:val="single" w:sz="4" w:space="0" w:color="D5D8DF"/>
            </w:tcBorders>
          </w:tcPr>
          <w:p>
            <w:pPr>
              <w:pStyle w:val="DJTableText"/>
            </w:pPr>
            <w:r>
              <w:rPr/>
              <w:t>Website</w:t>
            </w:r>
          </w:p>
        </w:tc>
        <w:tc>
          <w:tcPr>
            <w:tcW w:type="dxa" w:w="1037"/>
            <w:vAlign w:val="center"/>
            <w:tcBorders>
              <w:top w:val="single" w:sz="4" w:space="0" w:color="D5D8DF"/>
              <w:left w:val="single" w:sz="4" w:space="0" w:color="D5D8DF"/>
              <w:bottom w:val="single" w:sz="4" w:space="0" w:color="D5D8DF"/>
              <w:right w:val="single" w:sz="4" w:space="0" w:color="D5D8DF"/>
            </w:tcBorders>
          </w:tcPr>
          <w:p>
            <w:pPr>
              <w:pStyle w:val="DJTableText"/>
            </w:pPr>
            <w:r>
              <w:rPr/>
              <w:t>1</w:t>
            </w:r>
          </w:p>
        </w:tc>
        <w:tc>
          <w:tcPr>
            <w:tcW w:type="dxa" w:w="6140"/>
            <w:vAlign w:val="center"/>
            <w:tcBorders>
              <w:top w:val="single" w:sz="4" w:space="0" w:color="D5D8DF"/>
              <w:left w:val="single" w:sz="4" w:space="0" w:color="D5D8DF"/>
              <w:bottom w:val="single" w:sz="4" w:space="0" w:color="D5D8DF"/>
              <w:right w:val="single" w:sz="4" w:space="0" w:color="D5D8DF"/>
            </w:tcBorders>
          </w:tcPr>
          <w:p>
            <w:pPr>
              <w:pStyle w:val="DJTableText"/>
            </w:pPr>
            <w:r>
              <w:rPr/>
              <w:t>Bounded company-site crawler</w:t>
            </w:r>
          </w:p>
        </w:tc>
      </w:tr>
      <w:tr>
        <w:trPr>
          <w:cantSplit w:val="true"/>
        </w:trPr>
        <w:tc>
          <w:tcPr>
            <w:tcW w:type="dxa" w:w="1852"/>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News / events</w:t>
            </w:r>
          </w:p>
        </w:tc>
        <w:tc>
          <w:tcPr>
            <w:tcW w:type="dxa" w:w="1037"/>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3</w:t>
            </w:r>
          </w:p>
        </w:tc>
        <w:tc>
          <w:tcPr>
            <w:tcW w:type="dxa" w:w="6140"/>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RSS newsrooms, event radar, social event calendars</w:t>
            </w:r>
          </w:p>
        </w:tc>
      </w:tr>
      <w:tr>
        <w:trPr>
          <w:cantSplit w:val="true"/>
        </w:trPr>
        <w:tc>
          <w:tcPr>
            <w:tcW w:type="dxa" w:w="1852"/>
            <w:vAlign w:val="center"/>
            <w:tcBorders>
              <w:top w:val="single" w:sz="4" w:space="0" w:color="D5D8DF"/>
              <w:left w:val="single" w:sz="4" w:space="0" w:color="D5D8DF"/>
              <w:bottom w:val="single" w:sz="4" w:space="0" w:color="D5D8DF"/>
              <w:right w:val="single" w:sz="4" w:space="0" w:color="D5D8DF"/>
            </w:tcBorders>
          </w:tcPr>
          <w:p>
            <w:pPr>
              <w:pStyle w:val="DJTableText"/>
            </w:pPr>
            <w:r>
              <w:rPr/>
              <w:t>Compensation</w:t>
            </w:r>
          </w:p>
        </w:tc>
        <w:tc>
          <w:tcPr>
            <w:tcW w:type="dxa" w:w="1037"/>
            <w:vAlign w:val="center"/>
            <w:tcBorders>
              <w:top w:val="single" w:sz="4" w:space="0" w:color="D5D8DF"/>
              <w:left w:val="single" w:sz="4" w:space="0" w:color="D5D8DF"/>
              <w:bottom w:val="single" w:sz="4" w:space="0" w:color="D5D8DF"/>
              <w:right w:val="single" w:sz="4" w:space="0" w:color="D5D8DF"/>
            </w:tcBorders>
          </w:tcPr>
          <w:p>
            <w:pPr>
              <w:pStyle w:val="DJTableText"/>
            </w:pPr>
            <w:r>
              <w:rPr/>
              <w:t>1</w:t>
            </w:r>
          </w:p>
        </w:tc>
        <w:tc>
          <w:tcPr>
            <w:tcW w:type="dxa" w:w="6140"/>
            <w:vAlign w:val="center"/>
            <w:tcBorders>
              <w:top w:val="single" w:sz="4" w:space="0" w:color="D5D8DF"/>
              <w:left w:val="single" w:sz="4" w:space="0" w:color="D5D8DF"/>
              <w:bottom w:val="single" w:sz="4" w:space="0" w:color="D5D8DF"/>
              <w:right w:val="single" w:sz="4" w:space="0" w:color="D5D8DF"/>
            </w:tcBorders>
          </w:tcPr>
          <w:p>
            <w:pPr>
              <w:pStyle w:val="DJTableText"/>
            </w:pPr>
            <w:r>
              <w:rPr/>
              <w:t>Eurostat Structure of Earnings Survey</w:t>
            </w:r>
          </w:p>
        </w:tc>
      </w:tr>
    </w:tbl>
    <w:p>
      <w:pPr>
        <w:spacing w:after="40"/>
      </w:pPr>
    </w:p>
    <w:p>
      <w:pPr>
        <w:spacing w:after="40"/>
      </w:pPr>
    </w:p>
    <w:tbl>
      <w:tblPr>
        <w:tblStyle w:val="TableGrid"/>
        <w:tblW w:type="auto" w:w="0"/>
        <w:jc w:val="left"/>
        <w:tblLayout w:type="fixed"/>
        <w:tblLook w:firstColumn="1" w:firstRow="1" w:lastColumn="0" w:lastRow="0" w:noHBand="0" w:noVBand="1" w:val="04A0"/>
        <w:tblLayout w:type="fixed"/>
        <w:tblCellMar>
          <w:top w:w="120" w:type="dxa"/>
          <w:start w:w="170" w:type="dxa"/>
          <w:bottom w:w="120" w:type="dxa"/>
          <w:end w:w="170" w:type="dxa"/>
        </w:tblCellMar>
      </w:tblPr>
      <w:tblGrid>
        <w:gridCol w:w="9029"/>
      </w:tblGrid>
      <w:tr>
        <w:trPr>
          <w:cantSplit w:val="true"/>
        </w:trPr>
        <w:tc>
          <w:tcPr>
            <w:tcW w:type="dxa" w:w="9029"/>
            <w:shd w:val="clear" w:color="auto" w:fill="F4F1FD"/>
            <w:tcBorders>
              <w:top w:val="single" w:sz="4" w:space="0" w:color="F4F1FD"/>
              <w:left w:val="single" w:sz="30" w:space="0" w:color="6D54D8"/>
              <w:bottom w:val="single" w:sz="4" w:space="0" w:color="F4F1FD"/>
              <w:right w:val="single" w:sz="4" w:space="0" w:color="F4F1FD"/>
            </w:tcBorders>
          </w:tcPr>
          <w:p>
            <w:pPr>
              <w:pStyle w:val="DJCallout"/>
            </w:pPr>
            <w:r>
              <w:rPr>
                <w:b/>
                <w:color w:val="6D54D8"/>
              </w:rPr>
              <w:t xml:space="preserve">Decision.  </w:t>
            </w:r>
            <w:r>
              <w:rPr/>
              <w:t xml:space="preserve">ATS endpoints are the highest-value sources and are implemented first. They are public, keyless, structured JSON, and they are the freshest statement of what a company is actually hiring for. A board aggregates yesterday's postings; </w:t>
            </w:r>
            <w:r>
              <w:rPr>
                <w:rStyle w:val="CodeInline"/>
              </w:rPr>
              <w:t>boards-api.greenhouse.io</w:t>
            </w:r>
            <w:r>
              <w:rPr/>
              <w:t xml:space="preserve"> is the company's own list.</w:t>
            </w:r>
          </w:p>
        </w:tc>
      </w:tr>
    </w:tbl>
    <w:p>
      <w:pPr>
        <w:spacing w:after="80"/>
      </w:pPr>
    </w:p>
    <w:p>
      <w:r>
        <w:rPr/>
        <w:t xml:space="preserve">Collection is no longer only a list of vacancies. Since FR-181 the search starts from a </w:t>
      </w:r>
      <w:r>
        <w:rPr>
          <w:b/>
        </w:rPr>
        <w:t>register of companies</w:t>
      </w:r>
      <w:r>
        <w:rPr/>
        <w:t xml:space="preserve">, not from whatever happened to be scraped: a curated seed of large named employers, the ATS board registry, and the bulk company/register files (KBO, Companies House) are staged into a </w:t>
      </w:r>
      <w:r>
        <w:rPr>
          <w:rStyle w:val="CodeInline"/>
        </w:rPr>
        <w:t>company_seed</w:t>
      </w:r>
      <w:r>
        <w:rPr/>
        <w:t xml:space="preserve"> table and promoted into the shared knowledge base only when a directive selects them. A board the installation finds is </w:t>
      </w:r>
      <w:r>
        <w:rPr>
          <w:b/>
        </w:rPr>
        <w:t>verified before it is trusted</w:t>
      </w:r>
      <w:r>
        <w:rPr/>
        <w:t xml:space="preserve"> and its liveness is learned: a board that 404s twice is retired, one that answers is revisited after 90 days, and discovery reports a measured live rate (85.4% over the 2,227 boards read) rather than assuming every slug resolves.</w:t>
      </w:r>
    </w:p>
    <w:p>
      <w:r>
        <w:rPr/>
        <w:t xml:space="preserve">Collection runs as </w:t>
      </w:r>
      <w:r>
        <w:rPr>
          <w:b/>
        </w:rPr>
        <w:t>resumable background jobs</w:t>
      </w:r>
      <w:r>
        <w:rPr/>
        <w:t xml:space="preserve"> with per-adapter progress, error counts, pause, resume and cancel. A crash loses at most the page in flight. Every plan item reports one of </w:t>
      </w:r>
      <w:r>
        <w:rPr>
          <w:b/>
        </w:rPr>
        <w:t>six measured outcomes</w:t>
      </w:r>
      <w:r>
        <w:rPr/>
        <w:t xml:space="preserve"> — succeeded, blocked, gone, failed, skipped, capped — so "no vacancies" is never confused with "the source broke", and a register's "no" is recorded as an answer. Per-domain rate-limit buckets let independent sources run concurrently while a single host stays politely paced.</w:t>
      </w:r>
    </w:p>
    <w:p>
      <w:r>
        <w:rPr/>
        <w:t>Explicit caps bound every job — pages, companies, people, wall-clock duration — and an administrator's per-source cap is a ceiling a campaign cannot raise.</w:t>
      </w:r>
    </w:p>
    <w:p>
      <w:r>
        <w:rPr>
          <w:b/>
        </w:rPr>
        <w:t>Sources whose terms restrict automated access ship disabled by default</w:t>
      </w:r>
      <w:r>
        <w:rPr/>
        <w:t xml:space="preserve"> and require an explicit administrator acknowledgement (IR-101). Indeed and StepStone are in that state, as are SmartRecruiters and the social-event adapter; a prohibited source is a refusal the pipeline records rather than an error it retries (NFR-403).</w:t>
      </w:r>
    </w:p>
    <w:p>
      <w:pPr>
        <w:pStyle w:val="Heading2"/>
      </w:pPr>
      <w:r>
        <w:rPr/>
        <w:t>6.4 Browser automation (FR-201–FR-208)</w:t>
      </w:r>
    </w:p>
    <w:p>
      <w:r>
        <w:rPr/>
        <w:t xml:space="preserve">LinkedIn and Glassdoor defend against automation. Rather than circumventing that, the system attaches to a browser </w:t>
      </w:r>
      <w:r>
        <w:rPr>
          <w:b/>
        </w:rPr>
        <w:t>the user launched and logged into themselves</w:t>
      </w:r>
      <w:r>
        <w:rPr/>
        <w:t xml:space="preserve"> — a Chromium browser over the Chrome DevTools Protocol, or Firefox through a Playwright persistent context, each on a dedicated profile directory that keeps the user's normal browser untouched.</w:t>
      </w:r>
    </w:p>
    <w:p>
      <w:r>
        <w:rPr/>
        <w:t>It never requests, captures, stores or replays credentials, cookies or session tokens (FR-202, NFR-203); captured DOM is sanitised before it is stored, and password, consent and captcha controls are removed on the way in.</w:t>
      </w:r>
    </w:p>
    <w:p>
      <w:pPr>
        <w:pStyle w:val="DJBullet"/>
      </w:pPr>
      <w:r>
        <w:rPr>
          <w:b/>
          <w:color w:val="6D54D8"/>
        </w:rPr>
        <w:t>•</w:t>
        <w:tab/>
      </w:r>
      <w:r>
        <w:rPr>
          <w:b/>
        </w:rPr>
        <w:t>Scope is the plan's target list only</w:t>
      </w:r>
      <w:r>
        <w:rPr/>
        <w:t xml:space="preserve"> (FR-205). An explicit allowlist of URLs is enforced; open-ended crawling is refused. LinkedIn runs are capped at 200 targets (60 profiles, 40 companies); Glassdoor at 60.</w:t>
      </w:r>
    </w:p>
    <w:p>
      <w:pPr>
        <w:pStyle w:val="DJBullet"/>
      </w:pPr>
      <w:r>
        <w:rPr>
          <w:b/>
          <w:color w:val="6D54D8"/>
        </w:rPr>
        <w:t>•</w:t>
        <w:tab/>
      </w:r>
      <w:r>
        <w:rPr>
          <w:b/>
        </w:rPr>
        <w:t>Glassdoor is matched per country domain</w:t>
      </w:r>
      <w:r>
        <w:rPr/>
        <w:t xml:space="preserve">, so a Belgian search reads </w:t>
      </w:r>
      <w:r>
        <w:rPr>
          <w:rStyle w:val="CodeInline"/>
        </w:rPr>
        <w:t>glassdoor.be</w:t>
      </w:r>
      <w:r>
        <w:rPr/>
        <w:t xml:space="preserve"> rather than guessing at the US site.</w:t>
      </w:r>
    </w:p>
    <w:p>
      <w:pPr>
        <w:pStyle w:val="DJBullet"/>
      </w:pPr>
      <w:r>
        <w:rPr>
          <w:b/>
          <w:color w:val="6D54D8"/>
        </w:rPr>
        <w:t>•</w:t>
        <w:tab/>
      </w:r>
      <w:r>
        <w:rPr>
          <w:b/>
        </w:rPr>
        <w:t>Duration is announced before starting</w:t>
      </w:r>
      <w:r>
        <w:rPr/>
        <w:t xml:space="preserve"> (FR-204) and refined during execution, computed from the same pacing distribution the executor uses.</w:t>
      </w:r>
    </w:p>
    <w:p>
      <w:pPr>
        <w:pStyle w:val="DJBullet"/>
      </w:pPr>
      <w:r>
        <w:rPr>
          <w:b/>
          <w:color w:val="6D54D8"/>
        </w:rPr>
        <w:t>•</w:t>
        <w:tab/>
      </w:r>
      <w:r>
        <w:rPr>
          <w:b/>
        </w:rPr>
        <w:t>It stops immediately</w:t>
      </w:r>
      <w:r>
        <w:rPr/>
        <w:t xml:space="preserve"> on a captcha, challenge or rate-limit page (FR-203).</w:t>
      </w:r>
    </w:p>
    <w:p>
      <w:pPr>
        <w:pStyle w:val="DJBullet"/>
        <w:spacing w:after="140"/>
      </w:pPr>
      <w:r>
        <w:rPr>
          <w:b/>
          <w:color w:val="6D54D8"/>
        </w:rPr>
        <w:t>•</w:t>
        <w:tab/>
      </w:r>
      <w:r>
        <w:rPr/>
        <w:t>The user can watch, pause, and skip individual targets (FR-206).</w:t>
      </w:r>
    </w:p>
    <w:p>
      <w:r>
        <w:rPr>
          <w:b/>
        </w:rPr>
        <w:t>The same session also pre-fills ATS application forms (FR-328).</w:t>
      </w:r>
      <w:r>
        <w:rPr/>
        <w:t xml:space="preserve"> On request the automation maps a company's application controls to canonical fields — name, contact details, work history, the cover field — and uploads the approved CV. It </w:t>
      </w:r>
      <w:r>
        <w:rPr>
          <w:b/>
        </w:rPr>
        <w:t>never clicks submit</w:t>
      </w:r>
      <w:r>
        <w:rPr/>
        <w:t>, never touches a password, consent or captcha control, and pauses so the applicant completes and sends the form themselves. Contacts gathered this way carry a retention deadline (30 days by default) and are erased with the campaign unless an administrator has opted into sharing (NFR-303).</w:t>
      </w:r>
    </w:p>
    <w:p>
      <w:pPr>
        <w:spacing w:after="40"/>
      </w:pPr>
    </w:p>
    <w:tbl>
      <w:tblPr>
        <w:tblStyle w:val="TableGrid"/>
        <w:tblW w:type="auto" w:w="0"/>
        <w:jc w:val="left"/>
        <w:tblLayout w:type="fixed"/>
        <w:tblLook w:firstColumn="1" w:firstRow="1" w:lastColumn="0" w:lastRow="0" w:noHBand="0" w:noVBand="1" w:val="04A0"/>
        <w:tblLayout w:type="fixed"/>
        <w:tblCellMar>
          <w:top w:w="110" w:type="dxa"/>
          <w:start w:w="170" w:type="dxa"/>
          <w:bottom w:w="110" w:type="dxa"/>
          <w:end w:w="170" w:type="dxa"/>
        </w:tblCellMar>
      </w:tblPr>
      <w:tblGrid>
        <w:gridCol w:w="9029"/>
      </w:tblGrid>
      <w:tr>
        <w:trPr>
          <w:cantSplit w:val="true"/>
        </w:trPr>
        <w:tc>
          <w:tcPr>
            <w:tcW w:type="dxa" w:w="9029"/>
            <w:shd w:val="clear" w:color="auto" w:fill="BC3D66"/>
            <w:tcBorders>
              <w:top w:val="single" w:sz="4" w:space="0" w:color="BC3D66"/>
              <w:left w:val="single" w:sz="4" w:space="0" w:color="BC3D66"/>
              <w:bottom w:val="single" w:sz="4" w:space="0" w:color="BC3D66"/>
              <w:right w:val="single" w:sz="4" w:space="0" w:color="BC3D66"/>
            </w:tcBorders>
          </w:tcPr>
          <w:p>
            <w:pPr>
              <w:pStyle w:val="DJCalloutBanner"/>
            </w:pPr>
            <w:r>
              <w:rPr>
                <w:b/>
                <w:color w:val="FFFFFF"/>
              </w:rPr>
              <w:t>CR-401 is unavoidable and is presented as such.</w:t>
            </w:r>
          </w:p>
        </w:tc>
      </w:tr>
      <w:tr>
        <w:trPr>
          <w:cantSplit w:val="true"/>
        </w:trPr>
        <w:tc>
          <w:tcPr>
            <w:tcW w:type="dxa" w:w="9029"/>
            <w:shd w:val="clear" w:color="auto" w:fill="FCEEF3"/>
            <w:tcBorders>
              <w:top w:val="single" w:sz="4" w:space="0" w:color="BC3D66"/>
              <w:left w:val="single" w:sz="12" w:space="0" w:color="BC3D66"/>
              <w:bottom w:val="single" w:sz="12" w:space="0" w:color="BC3D66"/>
              <w:right w:val="single" w:sz="12" w:space="0" w:color="BC3D66"/>
            </w:tcBorders>
          </w:tcPr>
          <w:p>
            <w:pPr>
              <w:pStyle w:val="DJCallout"/>
            </w:pPr>
            <w:r>
              <w:rPr/>
              <w:t xml:space="preserve">LinkedIn's user agreement prohibits automated access </w:t>
            </w:r>
            <w:r>
              <w:rPr>
                <w:i/>
              </w:rPr>
              <w:t>including through a session the user logged into themselves</w:t>
            </w:r>
            <w:r>
              <w:rPr/>
              <w:t xml:space="preserve">. The design reduces technical friction; it does not remove the contractual restriction, and the account may be restricted. The warning is shown before the first run and the acknowledgement recorded. The system refuses to run without it. </w:t>
            </w:r>
            <w:r>
              <w:rPr>
                <w:b/>
              </w:rPr>
              <w:t>This is the job seeker's decision to make, and the product's job is to make sure they make it knowingly.</w:t>
            </w:r>
          </w:p>
        </w:tc>
      </w:tr>
    </w:tbl>
    <w:p>
      <w:pPr>
        <w:spacing w:after="80"/>
      </w:pPr>
    </w:p>
    <w:p>
      <w:pPr>
        <w:pStyle w:val="Heading1"/>
        <w:pBdr>
          <w:bottom w:val="single" w:sz="8" w:space="6" w:color="6D54D8"/>
        </w:pBdr>
      </w:pPr>
      <w:r>
        <w:rPr/>
        <w:t>7. Phase 3 — Discover</w:t>
      </w:r>
    </w:p>
    <w:p>
      <w:pPr>
        <w:pStyle w:val="Heading2"/>
      </w:pPr>
      <w:r>
        <w:rPr/>
        <w:t>7.1 Company profiling (FR-221–FR-226)</w:t>
      </w:r>
    </w:p>
    <w:p>
      <w:r>
        <w:rPr/>
        <w:t>A bounded crawl of the company's own site, prioritised by a URL scorer so a 30-page budget is spent on the pages that matter: about, products, customers and references, team and leadership, careers, news, locations, values.</w:t>
      </w:r>
    </w:p>
    <w:p>
      <w:r>
        <w:rPr/>
        <w:t xml:space="preserve">Before anything can be crawled, the company needs a domain. That is resolved by a </w:t>
      </w:r>
      <w:r>
        <w:rPr>
          <w:b/>
        </w:rPr>
        <w:t>six-rung ladder</w:t>
      </w:r>
      <w:r>
        <w:rPr/>
        <w:t>, cheapest first and each rung gated by an identity check: a domain already held on a valid contact or in posted vacancy text; the link on a vacancy; the tenant slug on an ATS board; the web line on a register filing; or a derived host that is only written once it actually answers. A candidate that resolves to a namesake is recorded as refused rather than quietly used, and an unresolved company is written down as a finding instead of being dropped.</w:t>
      </w:r>
    </w:p>
    <w:p>
      <w:r>
        <w:rPr/>
        <w:t xml:space="preserve">Profiles are then built to a </w:t>
      </w:r>
      <w:r>
        <w:rPr>
          <w:b/>
        </w:rPr>
        <w:t>fixed seventeen-section schema</w:t>
      </w:r>
      <w:r>
        <w:rPr/>
        <w:t xml:space="preserve"> (FR-222) — identity and legal identifiers, business summary, sector codes, size, locations, structure and departments, key people, references, financial summary, hiring signals, competitors, review signals, sources, and so on. Every field carries confidence and provenance (NFR-402); low-confidence fields are visibly flagged.</w:t>
      </w:r>
    </w:p>
    <w:p>
      <w:r>
        <w:rPr/>
        <w:t xml:space="preserve">For larger companies a </w:t>
      </w:r>
      <w:r>
        <w:rPr>
          <w:b/>
        </w:rPr>
        <w:t>departmental map</w:t>
      </w:r>
      <w:r>
        <w:rPr/>
        <w:t xml:space="preserve"> (FR-223) shows business units, functions, locations and, where known, the head of each — which is what turns "apply to this company" into "apply to this department".</w:t>
      </w:r>
    </w:p>
    <w:p>
      <w:r>
        <w:rPr/>
        <w:t xml:space="preserve">Enrichment runs as one guarded pass — domains, employer kind, website profile, hiring signals, review signals, financials — so a company discovered mid-campaign arrives complete without the job seeker visiting six screens. It never turns a single failed rung into a failed run. Review signals (FR-265, FR-384) are read from the company's own pages (schema.org </w:t>
      </w:r>
      <w:r>
        <w:rPr>
          <w:rStyle w:val="CodeInline"/>
        </w:rPr>
        <w:t>aggregateRating</w:t>
      </w:r>
      <w:r>
        <w:rPr/>
        <w:t>) with no extra egress and at self-published confidence; they are advisory and never decide a ranking on their own.</w:t>
      </w:r>
    </w:p>
    <w:p>
      <w:r>
        <w:rPr/>
        <w:t>Company pages are the exact injection vector NFR-205 is about, so crawled text reaches the model as fenced, explicitly-labelled untrusted data.</w:t>
      </w:r>
    </w:p>
    <w:p>
      <w:r>
        <w:rPr/>
        <w:t xml:space="preserve">Profiles are </w:t>
      </w:r>
      <w:r>
        <w:rPr>
          <w:b/>
        </w:rPr>
        <w:t>shared across job seekers</w:t>
      </w:r>
      <w:r>
        <w:rPr/>
        <w:t xml:space="preserve"> and refreshed incrementally (FR-226). Registry identity is checked at the register: a company is matched, reported </w:t>
      </w:r>
      <w:r>
        <w:rPr>
          <w:b/>
        </w:rPr>
        <w:t>ambiguous</w:t>
      </w:r>
      <w:r>
        <w:rPr/>
        <w:t xml:space="preserve"> with its candidate set, found to have no match, or recorded unavailable — the last three are answers, and a register's "no" is never mistaken for a broken source (FR-403).</w:t>
      </w:r>
    </w:p>
    <w:p>
      <w:pPr>
        <w:pStyle w:val="Heading2"/>
      </w:pPr>
      <w:r>
        <w:rPr/>
        <w:t>7.2 Competitors and signals (FR-224, FR-225, FR-402)</w:t>
      </w:r>
    </w:p>
    <w:p>
      <w:r>
        <w:rPr/>
        <w:t>Competitors are found by combining signals — shared sector codes, shared customers, press co-mentions, similar product descriptions, directory classifications — because no single one is reliable enough to reach the three suggestions per company the acceptance criteria ask for.</w:t>
      </w:r>
    </w:p>
    <w:p>
      <w:r>
        <w:rPr>
          <w:b/>
        </w:rPr>
        <w:t>Hiring signals</w:t>
      </w:r>
      <w:r>
        <w:rPr/>
        <w:t xml:space="preserve"> are recorded with dates and sources: headcount growth, new offices, funding rounds, product launches, recent postings. </w:t>
      </w:r>
      <w:r>
        <w:rPr>
          <w:b/>
        </w:rPr>
        <w:t>Timing intelligence</w:t>
      </w:r>
      <w:r>
        <w:rPr/>
        <w:t xml:space="preserve"> (FR-402) detects events that typically precede hiring and recommends an application window; opportunities where the moment is favourable are flagged in the ranked list.</w:t>
      </w:r>
    </w:p>
    <w:p>
      <w:pPr>
        <w:pStyle w:val="Heading2"/>
      </w:pPr>
      <w:r>
        <w:rPr/>
        <w:t>7.3 Financial analysis (FR-241–FR-246)</w:t>
      </w:r>
    </w:p>
    <w:p>
      <w:r>
        <w:rPr/>
        <w:t>Five years of filings per company, from the registry for its jurisdiction.</w:t>
      </w:r>
    </w:p>
    <w:p>
      <w:r>
        <w:rPr/>
        <w:t>Extracted per year: revenue, gross margin, EBIT, EBITDA where derivable, net result, equity, cash, total debt, headcount, personnel costs, capex. XBRL and CSV are handled structurally; PDF filings through table extraction with LLM assistance for the awkward ones.</w:t>
      </w:r>
    </w:p>
    <w:p>
      <w:r>
        <w:rPr/>
        <w:t xml:space="preserve">Computed: revenue and headcount CAGR, margin trends, </w:t>
      </w:r>
      <w:r>
        <w:rPr>
          <w:b/>
        </w:rPr>
        <w:t>personnel cost per FTE</w:t>
      </w:r>
      <w:r>
        <w:rPr/>
        <w:t xml:space="preserve"> (the pay-level proxy), liquidity and solvency ratios, and a trajectory classification with confidence.</w:t>
      </w:r>
    </w:p>
    <w:p>
      <w:r>
        <w:rPr/>
        <w:t xml:space="preserve">Then two 0–100 scores — </w:t>
      </w:r>
      <w:r>
        <w:rPr>
          <w:b/>
        </w:rPr>
        <w:t>ability to pay</w:t>
      </w:r>
      <w:r>
        <w:rPr/>
        <w:t xml:space="preserve"> and </w:t>
      </w:r>
      <w:r>
        <w:rPr>
          <w:b/>
        </w:rPr>
        <w:t>investment capacity</w:t>
      </w:r>
      <w:r>
        <w:rPr/>
        <w:t xml:space="preserve"> — each with a rationale that </w:t>
      </w:r>
      <w:r>
        <w:rPr>
          <w:b/>
        </w:rPr>
        <w:t>cites the figures used</w:t>
      </w:r>
      <w:r>
        <w:rPr/>
        <w:t>. A rationale that names no numbers is treated as a defect.</w:t>
      </w:r>
    </w:p>
    <w:p>
      <w:r>
        <w:rPr/>
        <w:t xml:space="preserve">Belgian abbreviated accounts frequently omit turnover. Where filings are unavailable or incomplete the profile falls back to secondary signals and is </w:t>
      </w:r>
      <w:r>
        <w:rPr>
          <w:b/>
        </w:rPr>
        <w:t>clearly marked estimated</w:t>
      </w:r>
      <w:r>
        <w:rPr/>
        <w:t xml:space="preserve"> (FR-245) rather than presenting a guess as a figure. Balance-sheet totals and sign conventions are reconciled and inconsistencies flagged rather than silently accepted (NFR-404).</w:t>
      </w:r>
    </w:p>
    <w:p>
      <w:pPr>
        <w:pStyle w:val="FigureImage"/>
        <w:keepNext/>
        <w:keepLines/>
      </w:pPr>
      <w:r>
        <w:drawing>
          <wp:inline xmlns:a="http://schemas.openxmlformats.org/drawingml/2006/main" xmlns:pic="http://schemas.openxmlformats.org/drawingml/2006/picture">
            <wp:extent cx="5733288" cy="4260993"/>
            <wp:docPr id="7" name="Picture 7"/>
            <wp:cNvGraphicFramePr>
              <a:graphicFrameLocks noChangeAspect="1"/>
            </wp:cNvGraphicFramePr>
            <a:graphic>
              <a:graphicData uri="http://schemas.openxmlformats.org/drawingml/2006/picture">
                <pic:pic>
                  <pic:nvPicPr>
                    <pic:cNvPr id="0" name="fdd-06-financial.png"/>
                    <pic:cNvPicPr/>
                  </pic:nvPicPr>
                  <pic:blipFill>
                    <a:blip r:embed="rId17"/>
                    <a:stretch>
                      <a:fillRect/>
                    </a:stretch>
                  </pic:blipFill>
                  <pic:spPr>
                    <a:xfrm>
                      <a:off x="0" y="0"/>
                      <a:ext cx="5733288" cy="4260993"/>
                    </a:xfrm>
                    <a:prstGeom prst="rect"/>
                  </pic:spPr>
                </pic:pic>
              </a:graphicData>
            </a:graphic>
          </wp:inline>
        </w:drawing>
      </w:r>
    </w:p>
    <w:p>
      <w:pPr>
        <w:pStyle w:val="FigureCaption"/>
        <w:keepLines/>
        <w:ind w:right="504"/>
      </w:pPr>
      <w:r>
        <w:rPr>
          <w:b/>
          <w:color w:val="6D54D8"/>
        </w:rPr>
        <w:t xml:space="preserve">Figure 6. </w:t>
      </w:r>
      <w:r>
        <w:rPr>
          <w:color w:val="6B7280"/>
        </w:rPr>
        <w:t>Five years of filings become two 0–100 scores, with the weights that produce them and the marked-estimated path taken when filings are missing.</w:t>
      </w:r>
    </w:p>
    <w:p>
      <w:pPr>
        <w:spacing w:after="40"/>
      </w:pPr>
    </w:p>
    <w:tbl>
      <w:tblPr>
        <w:tblStyle w:val="TableGrid"/>
        <w:tblW w:type="auto" w:w="0"/>
        <w:jc w:val="left"/>
        <w:tblLayout w:type="fixed"/>
        <w:tblLook w:firstColumn="1" w:firstRow="1" w:lastColumn="0" w:lastRow="0" w:noHBand="0" w:noVBand="1" w:val="04A0"/>
        <w:tblLayout w:type="fixed"/>
        <w:tblCellMar>
          <w:top w:w="120" w:type="dxa"/>
          <w:start w:w="170" w:type="dxa"/>
          <w:bottom w:w="120" w:type="dxa"/>
          <w:end w:w="170" w:type="dxa"/>
        </w:tblCellMar>
      </w:tblPr>
      <w:tblGrid>
        <w:gridCol w:w="9029"/>
      </w:tblGrid>
      <w:tr>
        <w:trPr>
          <w:cantSplit w:val="true"/>
        </w:trPr>
        <w:tc>
          <w:tcPr>
            <w:tcW w:type="dxa" w:w="9029"/>
            <w:shd w:val="clear" w:color="auto" w:fill="F4F1FD"/>
            <w:tcBorders>
              <w:top w:val="single" w:sz="4" w:space="0" w:color="F4F1FD"/>
              <w:left w:val="single" w:sz="30" w:space="0" w:color="6D54D8"/>
              <w:bottom w:val="single" w:sz="4" w:space="0" w:color="F4F1FD"/>
              <w:right w:val="single" w:sz="4" w:space="0" w:color="F4F1FD"/>
            </w:tcBorders>
          </w:tcPr>
          <w:p>
            <w:pPr>
              <w:pStyle w:val="DJCallout"/>
            </w:pPr>
            <w:r>
              <w:rPr>
                <w:b/>
                <w:color w:val="6D54D8"/>
              </w:rPr>
              <w:t xml:space="preserve">Decision (OQ-01).  </w:t>
            </w:r>
            <w:r>
              <w:rPr/>
              <w:t xml:space="preserve">Belgium is first-class (NBB + KBO), with the UK (Companies House), the Netherlands (KvK), the US (SEC EDGAR) and OpenCorporates implemented to the same contract. France (Infogreffe) and Germany (Bundesanzeiger) are </w:t>
            </w:r>
            <w:r>
              <w:rPr>
                <w:b/>
              </w:rPr>
              <w:t>not</w:t>
            </w:r>
            <w:r>
              <w:rPr/>
              <w:t xml:space="preserve"> implemented; companies in those jurisdictions fall through to the FR-245 estimated path. Adding them is a new adapter and no pipeline change.</w:t>
            </w:r>
          </w:p>
        </w:tc>
      </w:tr>
    </w:tbl>
    <w:p>
      <w:pPr>
        <w:spacing w:after="80"/>
      </w:pPr>
    </w:p>
    <w:p>
      <w:pPr>
        <w:pStyle w:val="Heading2"/>
      </w:pPr>
      <w:r>
        <w:rPr/>
        <w:t>7.4 Opportunities (FR-261–FR-265)</w:t>
      </w:r>
    </w:p>
    <w:p>
      <w:r>
        <w:rPr/>
        <w:t xml:space="preserve">Every collected vacancy is normalised into an opportunity. For every interesting company </w:t>
      </w:r>
      <w:r>
        <w:rPr>
          <w:b/>
        </w:rPr>
        <w:t>without</w:t>
      </w:r>
      <w:r>
        <w:rPr/>
        <w:t xml:space="preserve"> a matching vacancy, an LLM generates </w:t>
      </w:r>
      <w:r>
        <w:rPr>
          <w:b/>
        </w:rPr>
        <w:t>speculative openings</w:t>
      </w:r>
      <w:r>
        <w:rPr/>
        <w:t xml:space="preserve"> (FR-262): roles the company is likely to need or able to create in the next 6–12 months, from its profile, hiring signals, financial capacity, department map, competitors' hiring, and the job seeker's own profile. Each carries a plausibility score and a rationale.</w:t>
      </w:r>
    </w:p>
    <w:p>
      <w:pPr>
        <w:spacing w:after="40"/>
      </w:pPr>
    </w:p>
    <w:tbl>
      <w:tblPr>
        <w:tblStyle w:val="TableGrid"/>
        <w:tblW w:type="auto" w:w="0"/>
        <w:jc w:val="left"/>
        <w:tblLayout w:type="fixed"/>
        <w:tblLook w:firstColumn="1" w:firstRow="1" w:lastColumn="0" w:lastRow="0" w:noHBand="0" w:noVBand="1" w:val="04A0"/>
        <w:tblLayout w:type="fixed"/>
        <w:tblCellMar>
          <w:top w:w="110" w:type="dxa"/>
          <w:start w:w="170" w:type="dxa"/>
          <w:bottom w:w="110" w:type="dxa"/>
          <w:end w:w="170" w:type="dxa"/>
        </w:tblCellMar>
      </w:tblPr>
      <w:tblGrid>
        <w:gridCol w:w="9029"/>
      </w:tblGrid>
      <w:tr>
        <w:trPr>
          <w:cantSplit w:val="true"/>
        </w:trPr>
        <w:tc>
          <w:tcPr>
            <w:tcW w:type="dxa" w:w="9029"/>
            <w:shd w:val="clear" w:color="auto" w:fill="9F6011"/>
            <w:tcBorders>
              <w:top w:val="single" w:sz="4" w:space="0" w:color="9F6011"/>
              <w:left w:val="single" w:sz="4" w:space="0" w:color="9F6011"/>
              <w:bottom w:val="single" w:sz="4" w:space="0" w:color="9F6011"/>
              <w:right w:val="single" w:sz="4" w:space="0" w:color="9F6011"/>
            </w:tcBorders>
          </w:tcPr>
          <w:p>
            <w:pPr>
              <w:pStyle w:val="DJCalloutBanner"/>
            </w:pPr>
            <w:r>
              <w:rPr>
                <w:b/>
                <w:color w:val="FFFFFF"/>
              </w:rPr>
              <w:t>FR-263 is a hard rule that reaches into the email text.</w:t>
            </w:r>
          </w:p>
        </w:tc>
      </w:tr>
      <w:tr>
        <w:trPr>
          <w:cantSplit w:val="true"/>
        </w:trPr>
        <w:tc>
          <w:tcPr>
            <w:tcW w:type="dxa" w:w="9029"/>
            <w:shd w:val="clear" w:color="auto" w:fill="FDF4E6"/>
            <w:tcBorders>
              <w:top w:val="single" w:sz="4" w:space="0" w:color="9F6011"/>
              <w:left w:val="single" w:sz="12" w:space="0" w:color="9F6011"/>
              <w:bottom w:val="single" w:sz="12" w:space="0" w:color="9F6011"/>
              <w:right w:val="single" w:sz="12" w:space="0" w:color="9F6011"/>
            </w:tcBorders>
          </w:tcPr>
          <w:p>
            <w:pPr>
              <w:pStyle w:val="DJCallout"/>
            </w:pPr>
            <w:r>
              <w:rPr/>
              <w:t xml:space="preserve">A speculative opening is visibly distinct in every view — its own colour, outside the five phase hues, plus an explicit badge — and the introduction email is written as a spontaneous application that </w:t>
            </w:r>
            <w:r>
              <w:rPr>
                <w:b/>
              </w:rPr>
              <w:t>never asserts a vacancy exists</w:t>
            </w:r>
            <w:r>
              <w:rPr/>
              <w:t>.</w:t>
            </w:r>
          </w:p>
        </w:tc>
      </w:tr>
    </w:tbl>
    <w:p>
      <w:pPr>
        <w:spacing w:after="80"/>
      </w:pPr>
    </w:p>
    <w:p>
      <w:r>
        <w:rPr/>
        <w:t>Compensation estimates (FR-264) come with a confidence and a source list, drawn first from posted ranges on similar vacancies in the collected corpus, which is the most defensible source available.</w:t>
      </w:r>
    </w:p>
    <w:p>
      <w:pPr>
        <w:pStyle w:val="Heading2"/>
      </w:pPr>
      <w:r>
        <w:rPr/>
        <w:t>7.5 Scoring and ranking (FR-281–FR-285, FR-383)</w:t>
      </w:r>
    </w:p>
    <w:p>
      <w:r>
        <w:rPr/>
        <w:t xml:space="preserve">Seven weighted sub-scores: profile fit, dream-job fit, directive fit, company attractiveness, compensation fit, plausibility, and reachability. </w:t>
      </w:r>
      <w:r>
        <w:rPr>
          <w:b/>
        </w:rPr>
        <w:t>Every</w:t>
      </w:r>
      <w:r>
        <w:rPr/>
        <w:t xml:space="preserve"> opportunity is scored on all seven — plausibility is 1.0 for an advertised vacancy and a model judgement for a speculative opening — so a weight never silently changes meaning between the two kinds of row.</w:t>
      </w:r>
    </w:p>
    <w:p>
      <w:r>
        <w:rPr/>
        <w:t xml:space="preserve">Company attractiveness is deterministic and now reads four financial and behavioural inputs plus a fifth, smaller </w:t>
      </w:r>
      <w:r>
        <w:rPr>
          <w:b/>
        </w:rPr>
        <w:t>employer-review signal</w:t>
      </w:r>
      <w:r>
        <w:rPr/>
        <w:t xml:space="preserve">: trajectory, ability to pay, investment capacity and the decayed strength of recent hiring signals, with a company's own review rating contributing at a deliberately low weight. When the employer is not disclosed at all, the company sub-score is </w:t>
      </w:r>
      <w:r>
        <w:rPr>
          <w:rStyle w:val="CodeInline"/>
        </w:rPr>
        <w:t>None</w:t>
      </w:r>
      <w:r>
        <w:rPr/>
        <w:t xml:space="preserve"> rather than a fabricated number, and the intermediary's company dimensions are excluded from scoring by name rather than scored low.</w:t>
      </w:r>
    </w:p>
    <w:p>
      <w:r>
        <w:rPr>
          <w:b/>
        </w:rPr>
        <w:t>Ranking is two-stage.</w:t>
      </w:r>
      <w:r>
        <w:rPr/>
        <w:t xml:space="preserve"> A deterministic pre-rank orders the whole corpus cheaply, then the model is asked to refine only the top slice (500 by default), with an explicit coverage report accounting for every row that was and was not model-scored. Dream-job fit itself is a blend — a 0.6 semantic component and a 0.4 deterministic component — so a model outage degrades the score rather than removing it.</w:t>
      </w:r>
    </w:p>
    <w:p>
      <w:pPr>
        <w:spacing w:after="40"/>
      </w:pPr>
    </w:p>
    <w:tbl>
      <w:tblPr>
        <w:tblStyle w:val="TableGrid"/>
        <w:tblW w:type="auto" w:w="0"/>
        <w:jc w:val="left"/>
        <w:tblLayout w:type="fixed"/>
        <w:tblLook w:firstColumn="1" w:firstRow="1" w:lastColumn="0" w:lastRow="0" w:noHBand="0" w:noVBand="1" w:val="04A0"/>
        <w:tblLayout w:type="fixed"/>
        <w:tblCellMar>
          <w:top w:w="120" w:type="dxa"/>
          <w:start w:w="170" w:type="dxa"/>
          <w:bottom w:w="120" w:type="dxa"/>
          <w:end w:w="170" w:type="dxa"/>
        </w:tblCellMar>
      </w:tblPr>
      <w:tblGrid>
        <w:gridCol w:w="9029"/>
      </w:tblGrid>
      <w:tr>
        <w:trPr>
          <w:cantSplit w:val="true"/>
        </w:trPr>
        <w:tc>
          <w:tcPr>
            <w:tcW w:type="dxa" w:w="9029"/>
            <w:shd w:val="clear" w:color="auto" w:fill="F4F1FD"/>
            <w:tcBorders>
              <w:top w:val="single" w:sz="4" w:space="0" w:color="F4F1FD"/>
              <w:left w:val="single" w:sz="30" w:space="0" w:color="6D54D8"/>
              <w:bottom w:val="single" w:sz="4" w:space="0" w:color="F4F1FD"/>
              <w:right w:val="single" w:sz="4" w:space="0" w:color="F4F1FD"/>
            </w:tcBorders>
          </w:tcPr>
          <w:p>
            <w:pPr>
              <w:pStyle w:val="DJCallout"/>
            </w:pPr>
            <w:r>
              <w:rPr>
                <w:b/>
                <w:color w:val="6D54D8"/>
              </w:rPr>
              <w:t xml:space="preserve">Decision.  </w:t>
            </w:r>
            <w:r>
              <w:rPr/>
              <w:t xml:space="preserve">Sub-scores are computed </w:t>
            </w:r>
            <w:r>
              <w:rPr>
                <w:b/>
              </w:rPr>
              <w:t>deterministically</w:t>
            </w:r>
            <w:r>
              <w:rPr/>
              <w:t xml:space="preserve"> wherever the question is factual — skill overlap, distance, band membership, financial scores. The LLM is used for the semantic dream-job component and for the written rationale. This makes the ranking reproducible, cheap, and explainable in terms a user can argue with.</w:t>
            </w:r>
          </w:p>
        </w:tc>
      </w:tr>
    </w:tbl>
    <w:p>
      <w:pPr>
        <w:spacing w:after="80"/>
      </w:pPr>
    </w:p>
    <w:p>
      <w:r>
        <w:rPr/>
        <w:t>Every score is explainable: the sub-scores and a one-paragraph rationale are on screen (FR-282).</w:t>
      </w:r>
    </w:p>
    <w:p>
      <w:r>
        <w:rPr/>
        <w:t xml:space="preserve">The </w:t>
      </w:r>
      <w:r>
        <w:rPr>
          <w:b/>
        </w:rPr>
        <w:t>dream-job fit meter</w:t>
      </w:r>
      <w:r>
        <w:rPr/>
        <w:t xml:space="preserve"> (FR-383) is deliberately separate from the overall score, listing criteria met, partially met and violated — because a role can suit a CV perfectly and still not be what the person wants.</w:t>
      </w:r>
    </w:p>
    <w:p>
      <w:r>
        <w:rPr>
          <w:b/>
        </w:rPr>
        <w:t>User control (FR-284).</w:t>
      </w:r>
      <w:r>
        <w:rPr/>
        <w:t xml:space="preserve"> Check, pin, drag to re-order, mark not interested with a reason. </w:t>
      </w:r>
      <w:r>
        <w:rPr>
          <w:b/>
        </w:rPr>
        <w:t>Manual order overrides the computed ranking and survives recalculation</w:t>
      </w:r>
      <w:r>
        <w:rPr/>
        <w:t>, implemented as a stable rank that recomputation never touches. Feedback re-tunes that job seeker's weights and suggests directive refinements (FR-285).</w:t>
      </w:r>
    </w:p>
    <w:p>
      <w:pPr>
        <w:pStyle w:val="FigureImage"/>
        <w:keepNext/>
        <w:keepLines/>
      </w:pPr>
      <w:r>
        <w:drawing>
          <wp:inline xmlns:a="http://schemas.openxmlformats.org/drawingml/2006/main" xmlns:pic="http://schemas.openxmlformats.org/drawingml/2006/picture">
            <wp:extent cx="5733288" cy="3533507"/>
            <wp:docPr id="8" name="Picture 8"/>
            <wp:cNvGraphicFramePr>
              <a:graphicFrameLocks noChangeAspect="1"/>
            </wp:cNvGraphicFramePr>
            <a:graphic>
              <a:graphicData uri="http://schemas.openxmlformats.org/drawingml/2006/picture">
                <pic:pic>
                  <pic:nvPicPr>
                    <pic:cNvPr id="0" name="fdd-07-scoring.png"/>
                    <pic:cNvPicPr/>
                  </pic:nvPicPr>
                  <pic:blipFill>
                    <a:blip r:embed="rId18"/>
                    <a:stretch>
                      <a:fillRect/>
                    </a:stretch>
                  </pic:blipFill>
                  <pic:spPr>
                    <a:xfrm>
                      <a:off x="0" y="0"/>
                      <a:ext cx="5733288" cy="3533507"/>
                    </a:xfrm>
                    <a:prstGeom prst="rect"/>
                  </pic:spPr>
                </pic:pic>
              </a:graphicData>
            </a:graphic>
          </wp:inline>
        </w:drawing>
      </w:r>
    </w:p>
    <w:p>
      <w:pPr>
        <w:pStyle w:val="FigureCaption"/>
        <w:keepLines/>
        <w:ind w:right="504"/>
      </w:pPr>
      <w:r>
        <w:rPr>
          <w:b/>
          <w:color w:val="6D54D8"/>
        </w:rPr>
        <w:t xml:space="preserve">Figure 7. </w:t>
      </w:r>
      <w:r>
        <w:rPr>
          <w:color w:val="6B7280"/>
        </w:rPr>
        <w:t>Which sub-scores are computed and which are written by the model, why the dream-job meter stays outside the total, and where the manual order wins.</w:t>
      </w:r>
    </w:p>
    <w:p>
      <w:r>
        <w:rPr/>
        <w:t xml:space="preserve">A </w:t>
      </w:r>
      <w:r>
        <w:rPr>
          <w:b/>
        </w:rPr>
        <w:t>semantic index</w:t>
      </w:r>
      <w:r>
        <w:rPr/>
        <w:t xml:space="preserve"> (FR-341) stores one content-hash-keyed embedding per company and vacancy and can answer nearest-neighbour queries with pure-Python cosine; it is built and maintained, but neither scoring nor search consults it yet, so it is listed among the known limitations rather than claimed as live.</w:t>
      </w:r>
    </w:p>
    <w:p>
      <w:pPr>
        <w:pStyle w:val="Heading2"/>
      </w:pPr>
      <w:r>
        <w:rPr/>
        <w:t>7.6 Employer kind — agencies, boards and undisclosed employers</w:t>
      </w:r>
    </w:p>
    <w:p>
      <w:r>
        <w:rPr/>
        <w:t xml:space="preserve">Not every posting is the employer. Interim agencies, staffing groups and recruitment boards advertise on their client's behalf, sometimes without naming the client at all, and treating them as employers corrupts everything downstream: the wrong domain is crawled, the wrong accounts are read, the wrong company is contacted. </w:t>
      </w:r>
      <w:r>
        <w:rPr>
          <w:b/>
        </w:rPr>
        <w:t>FR-341</w:t>
      </w:r>
      <w:r>
        <w:rPr/>
        <w:t xml:space="preserve"> therefore classifies each posting's employer before the Discover phase consumes it.</w:t>
      </w:r>
    </w:p>
    <w:p>
      <w:r>
        <w:rPr/>
        <w:t xml:space="preserve">The verdict is one of </w:t>
      </w:r>
      <w:r>
        <w:rPr>
          <w:rStyle w:val="CodeInline"/>
        </w:rPr>
        <w:t>agency</w:t>
      </w:r>
      <w:r>
        <w:rPr/>
        <w:t xml:space="preserve">, </w:t>
      </w:r>
      <w:r>
        <w:rPr>
          <w:rStyle w:val="CodeInline"/>
        </w:rPr>
        <w:t>employer</w:t>
      </w:r>
      <w:r>
        <w:rPr/>
        <w:t xml:space="preserve"> or </w:t>
      </w:r>
      <w:r>
        <w:rPr>
          <w:rStyle w:val="CodeInline"/>
        </w:rPr>
        <w:t>cannot_tell</w:t>
      </w:r>
      <w:r>
        <w:rPr/>
        <w:t xml:space="preserve">, and it is reached by a </w:t>
      </w:r>
      <w:r>
        <w:rPr>
          <w:b/>
        </w:rPr>
        <w:t>resolution ladder, cheapest rung first</w:t>
      </w:r>
      <w:r>
        <w:rPr/>
        <w:t>: the knowledge base, then free signals computed from already-stored text, then the company register (NACE-BEL 78.x), then the EURES sector-O partition, and only then a website model read. Two rules give it teeth:</w:t>
      </w:r>
    </w:p>
    <w:p>
      <w:pPr>
        <w:pStyle w:val="DJBullet"/>
      </w:pPr>
      <w:r>
        <w:rPr>
          <w:b/>
          <w:color w:val="6D54D8"/>
        </w:rPr>
        <w:t>•</w:t>
        <w:tab/>
      </w:r>
      <w:r>
        <w:rPr>
          <w:b/>
        </w:rPr>
        <w:t>No verdict without evidence.</w:t>
      </w:r>
      <w:r>
        <w:rPr/>
        <w:t xml:space="preserve"> Free signals may order the queue and offer a suspected hint, but they can never deliver the verdict; the register, EURES and website rungs each attach the specific evidence they used.</w:t>
      </w:r>
    </w:p>
    <w:p>
      <w:pPr>
        <w:pStyle w:val="DJBullet"/>
        <w:spacing w:after="140"/>
      </w:pPr>
      <w:r>
        <w:rPr>
          <w:b/>
          <w:color w:val="6D54D8"/>
        </w:rPr>
        <w:t>•</w:t>
        <w:tab/>
      </w:r>
      <w:r>
        <w:rPr>
          <w:b/>
        </w:rPr>
        <w:t>The website rung verifies its quotes.</w:t>
      </w:r>
      <w:r>
        <w:rPr/>
        <w:t xml:space="preserve"> A single cheap-model read classifies the stored pages, and every quotation it produces is checked verbatim against the page before it is trusted, with confidence capped below certainty and instruction-shaped content quarantined as untrusted.</w:t>
      </w:r>
    </w:p>
    <w:p>
      <w:r>
        <w:rPr/>
        <w:t xml:space="preserve">A separate per-posting override recognises a strict on-behalf clause — "our client is", "onze klant", "unser Mandant ist" — and may move a posting </w:t>
      </w:r>
      <w:r>
        <w:rPr>
          <w:b/>
        </w:rPr>
        <w:t>up</w:t>
      </w:r>
      <w:r>
        <w:rPr/>
        <w:t xml:space="preserve"> to agency; nothing may move it down. In the interface an undisclosed employer is a first-class state, not a blank: it carries a badge and a disclosure sentence in English, Dutch and French, its company dimensions are excluded from scoring rather than scored low, and a speculative email is never written as if the company's name were known.</w:t>
      </w:r>
    </w:p>
    <w:p>
      <w:pPr>
        <w:spacing w:after="40"/>
      </w:pPr>
    </w:p>
    <w:tbl>
      <w:tblPr>
        <w:tblStyle w:val="TableGrid"/>
        <w:tblW w:type="auto" w:w="0"/>
        <w:jc w:val="left"/>
        <w:tblLayout w:type="fixed"/>
        <w:tblLook w:firstColumn="1" w:firstRow="1" w:lastColumn="0" w:lastRow="0" w:noHBand="0" w:noVBand="1" w:val="04A0"/>
        <w:tblLayout w:type="fixed"/>
        <w:tblCellMar>
          <w:top w:w="120" w:type="dxa"/>
          <w:start w:w="170" w:type="dxa"/>
          <w:bottom w:w="120" w:type="dxa"/>
          <w:end w:w="170" w:type="dxa"/>
        </w:tblCellMar>
      </w:tblPr>
      <w:tblGrid>
        <w:gridCol w:w="9029"/>
      </w:tblGrid>
      <w:tr>
        <w:trPr>
          <w:cantSplit w:val="true"/>
        </w:trPr>
        <w:tc>
          <w:tcPr>
            <w:tcW w:type="dxa" w:w="9029"/>
            <w:shd w:val="clear" w:color="auto" w:fill="F4F1FD"/>
            <w:tcBorders>
              <w:top w:val="single" w:sz="4" w:space="0" w:color="F4F1FD"/>
              <w:left w:val="single" w:sz="30" w:space="0" w:color="6D54D8"/>
              <w:bottom w:val="single" w:sz="4" w:space="0" w:color="F4F1FD"/>
              <w:right w:val="single" w:sz="4" w:space="0" w:color="F4F1FD"/>
            </w:tcBorders>
          </w:tcPr>
          <w:p>
            <w:pPr>
              <w:pStyle w:val="DJCallout"/>
            </w:pPr>
            <w:r>
              <w:rPr>
                <w:b/>
                <w:color w:val="6D54D8"/>
              </w:rPr>
              <w:t xml:space="preserve">Decision.  </w:t>
            </w:r>
            <w:r>
              <w:rPr/>
              <w:t xml:space="preserve">The classification is deliberately conservative in both directions. A false "agency" would hide a genuine employer; a false "employer" would send a tailored CV to a broker. The ladder therefore records every attempt and every ambiguity, and a company it cannot decide stays </w:t>
            </w:r>
            <w:r>
              <w:rPr>
                <w:rStyle w:val="CodeInline"/>
              </w:rPr>
              <w:t>cannot_tell</w:t>
            </w:r>
            <w:r>
              <w:rPr/>
              <w:t xml:space="preserve"> until a rung supplies evidence.</w:t>
            </w:r>
          </w:p>
        </w:tc>
      </w:tr>
    </w:tbl>
    <w:p>
      <w:pPr>
        <w:spacing w:after="80"/>
      </w:pPr>
    </w:p>
    <w:p>
      <w:pPr>
        <w:pStyle w:val="Heading1"/>
        <w:pBdr>
          <w:bottom w:val="single" w:sz="8" w:space="6" w:color="6D54D8"/>
        </w:pBdr>
      </w:pPr>
      <w:r>
        <w:rPr/>
        <w:t>8. Phase 4 — Apply</w:t>
      </w:r>
    </w:p>
    <w:p>
      <w:pPr>
        <w:pStyle w:val="Heading2"/>
      </w:pPr>
      <w:r>
        <w:rPr/>
        <w:t>8.1 Hiring contacts (FR-301–FR-306)</w:t>
      </w:r>
    </w:p>
    <w:p>
      <w:r>
        <w:rPr/>
        <w:t xml:space="preserve">Priority: the hiring manager of the relevant department where identifiable, then talent acquisition, then a generic careers mailbox. The manager is derived from the departmental map; where no unit matches, </w:t>
      </w:r>
      <w:r>
        <w:rPr>
          <w:b/>
        </w:rPr>
        <w:t>no manager is invented</w:t>
      </w:r>
      <w:r>
        <w:rPr/>
        <w:t>. The weights make a published address outrank an inferred one and a validated address outrank an unverified one. Candidates are ranked and presented with role, source and confidence.</w:t>
      </w:r>
    </w:p>
    <w:p>
      <w:r>
        <w:rPr/>
        <w:t xml:space="preserve">Contact discovery itself is a </w:t>
      </w:r>
      <w:r>
        <w:rPr>
          <w:b/>
        </w:rPr>
        <w:t>five-step ladder that runs inside the Apply browser</w:t>
      </w:r>
      <w:r>
        <w:rPr/>
        <w:t>: reuse what the knowledge base already holds (free), then the employer's own stated application channel, then addresses published on the company's own pages, then a convention inferred from other observed addresses on the domain, and only last a generic careers mailbox. SMTP probing is off by default at this stage, so a bulk pass costs no outbound connections.</w:t>
      </w:r>
    </w:p>
    <w:p>
      <w:r>
        <w:rPr>
          <w:b/>
        </w:rPr>
        <w:t>Addresses are found or inferred</w:t>
      </w:r>
      <w:r>
        <w:rPr/>
        <w:t xml:space="preserve"> (FR-303) from the company website, press pages, or pattern inference from other addresses on the same domain — and the method is recorded, because an inferred address deserves less confidence than a published one. Third-party lookup services remain behind a config flag that is off by default (OQ-05).</w:t>
      </w:r>
    </w:p>
    <w:p>
      <w:r>
        <w:rPr>
          <w:b/>
        </w:rPr>
        <w:t>Every address is validated before use</w:t>
      </w:r>
      <w:r>
        <w:rPr/>
        <w:t xml:space="preserve"> (FR-304): syntax, MX lookup, disposable and role-address detection, SMTP verification where the receiving server permits, and catch-all detection. Results are valid / risky / invalid / unknown; </w:t>
      </w:r>
      <w:r>
        <w:rPr>
          <w:b/>
        </w:rPr>
        <w:t>invalid is never used</w:t>
      </w:r>
      <w:r>
        <w:rPr/>
        <w:t xml:space="preserve">. Many providers blackhole verification, so an inconclusive probe is recorded as </w:t>
      </w:r>
      <w:r>
        <w:rPr>
          <w:i/>
        </w:rPr>
        <w:t>unknown</w:t>
      </w:r>
      <w:r>
        <w:rPr/>
        <w:t xml:space="preserve">, never as </w:t>
      </w:r>
      <w:r>
        <w:rPr>
          <w:i/>
        </w:rPr>
        <w:t>valid</w:t>
      </w:r>
      <w:r>
        <w:rPr/>
        <w:t>. Probes are rate-limited and cached per address (FR-305).</w:t>
      </w:r>
    </w:p>
    <w:p>
      <w:r>
        <w:rPr>
          <w:b/>
        </w:rPr>
        <w:t>Introduction routes</w:t>
      </w:r>
      <w:r>
        <w:rPr/>
        <w:t xml:space="preserve"> (FR-302, FR-461) are ranked by the product of route strength and relevance across </w:t>
      </w:r>
      <w:r>
        <w:rPr>
          <w:b/>
        </w:rPr>
        <w:t>six relationship types</w:t>
      </w:r>
      <w:r>
        <w:rPr/>
        <w:t xml:space="preserve"> — first-degree contact, former colleague, employer alumni, school alumni, shared community and second-degree contact. The message to the </w:t>
      </w:r>
      <w:r>
        <w:rPr>
          <w:i/>
        </w:rPr>
        <w:t>intermediary</w:t>
      </w:r>
      <w:r>
        <w:rPr/>
        <w:t xml:space="preserve"> is a different artefact from the application itself, is routed to a model chosen for the intermediary rather than the hiring manager (RK-07), and can fall back to a deterministic template when the budget is under pressure; the product keeps the two documents distinct and offers the route beside the cold email rather than instead of it.</w:t>
      </w:r>
    </w:p>
    <w:p>
      <w:r>
        <w:rPr>
          <w:b/>
        </w:rPr>
        <w:t>Data protection is on the screen, not in the settings.</w:t>
      </w:r>
      <w:r>
        <w:rPr/>
        <w:t xml:space="preserve"> Only professional contact details are stored (FR-306). An objection blocks an address </w:t>
      </w:r>
      <w:r>
        <w:rPr>
          <w:b/>
        </w:rPr>
        <w:t>permanently and for everyone</w:t>
      </w:r>
      <w:r>
        <w:rPr/>
        <w:t xml:space="preserve"> on the installation (NFR-302), enforced in the query the generator uses rather than only in the interface. Contacts collected through browser automation carry a retention deadline and are never shared between job seekers (NFR-303).</w:t>
      </w:r>
    </w:p>
    <w:p>
      <w:pPr>
        <w:spacing w:after="40"/>
      </w:pPr>
    </w:p>
    <w:tbl>
      <w:tblPr>
        <w:tblStyle w:val="TableGrid"/>
        <w:tblW w:type="auto" w:w="0"/>
        <w:jc w:val="left"/>
        <w:tblLayout w:type="fixed"/>
        <w:tblLook w:firstColumn="1" w:firstRow="1" w:lastColumn="0" w:lastRow="0" w:noHBand="0" w:noVBand="1" w:val="04A0"/>
        <w:tblLayout w:type="fixed"/>
        <w:tblCellMar>
          <w:top w:w="120" w:type="dxa"/>
          <w:start w:w="170" w:type="dxa"/>
          <w:bottom w:w="120" w:type="dxa"/>
          <w:end w:w="170" w:type="dxa"/>
        </w:tblCellMar>
      </w:tblPr>
      <w:tblGrid>
        <w:gridCol w:w="9029"/>
      </w:tblGrid>
      <w:tr>
        <w:trPr>
          <w:cantSplit w:val="true"/>
        </w:trPr>
        <w:tc>
          <w:tcPr>
            <w:tcW w:type="dxa" w:w="9029"/>
            <w:shd w:val="clear" w:color="auto" w:fill="F4F1FD"/>
            <w:tcBorders>
              <w:top w:val="single" w:sz="4" w:space="0" w:color="F4F1FD"/>
              <w:left w:val="single" w:sz="30" w:space="0" w:color="6D54D8"/>
              <w:bottom w:val="single" w:sz="4" w:space="0" w:color="F4F1FD"/>
              <w:right w:val="single" w:sz="4" w:space="0" w:color="F4F1FD"/>
            </w:tcBorders>
          </w:tcPr>
          <w:p>
            <w:pPr>
              <w:pStyle w:val="DJCallout"/>
            </w:pPr>
            <w:r>
              <w:rPr>
                <w:b/>
                <w:color w:val="6D54D8"/>
              </w:rPr>
              <w:t xml:space="preserve">Decision (OQ-03).  </w:t>
            </w:r>
            <w:r>
              <w:rPr/>
              <w:t xml:space="preserve">Browser-collected contacts are </w:t>
            </w:r>
            <w:r>
              <w:rPr>
                <w:b/>
              </w:rPr>
              <w:t>not</w:t>
            </w:r>
            <w:r>
              <w:rPr/>
              <w:t xml:space="preserve"> shared, matching the SRS's proposed default. </w:t>
            </w:r>
            <w:r>
              <w:rPr>
                <w:b/>
              </w:rPr>
              <w:t>(OQ-05)</w:t>
            </w:r>
            <w:r>
              <w:rPr/>
              <w:t xml:space="preserve"> Third-party lookup services are behind a config flag, off by default; the built-in DNS and SMTP validation needs no third party and no data-processing agreement.</w:t>
            </w:r>
          </w:p>
        </w:tc>
      </w:tr>
    </w:tbl>
    <w:p>
      <w:pPr>
        <w:spacing w:after="80"/>
      </w:pPr>
    </w:p>
    <w:p>
      <w:pPr>
        <w:pStyle w:val="Heading2"/>
      </w:pPr>
      <w:r>
        <w:rPr/>
        <w:t>8.2 Generated material (FR-321–FR-331)</w:t>
      </w:r>
    </w:p>
    <w:p>
      <w:r>
        <w:rPr/>
        <w:t>Four artefacts per selected opportunity:</w:t>
      </w:r>
    </w:p>
    <w:tbl>
      <w:tblPr>
        <w:tblStyle w:val="TableGrid"/>
        <w:tblW w:type="auto" w:w="0"/>
        <w:jc w:val="left"/>
        <w:tblLayout w:type="fixed"/>
        <w:tblLook w:firstColumn="1" w:firstRow="1" w:lastColumn="0" w:lastRow="0" w:noHBand="0" w:noVBand="1" w:val="04A0"/>
        <w:tblLayout w:type="fixed"/>
        <w:tblCellMar>
          <w:top w:w="60" w:type="dxa"/>
          <w:start w:w="110" w:type="dxa"/>
          <w:bottom w:w="60" w:type="dxa"/>
          <w:end w:w="110" w:type="dxa"/>
        </w:tblCellMar>
      </w:tblPr>
      <w:tblGrid>
        <w:gridCol w:w="2631"/>
        <w:gridCol w:w="5094"/>
        <w:gridCol w:w="1304"/>
      </w:tblGrid>
      <w:tr>
        <w:trPr>
          <w:tblHeader w:val="true"/>
          <w:cantSplit w:val="true"/>
        </w:trPr>
        <w:tc>
          <w:tcPr>
            <w:tcW w:type="dxa" w:w="2631"/>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Artefact</w:t>
            </w:r>
          </w:p>
        </w:tc>
        <w:tc>
          <w:tcPr>
            <w:tcW w:type="dxa" w:w="5094"/>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Purpose</w:t>
            </w:r>
          </w:p>
        </w:tc>
        <w:tc>
          <w:tcPr>
            <w:tcW w:type="dxa" w:w="1304"/>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Sent?</w:t>
            </w:r>
          </w:p>
        </w:tc>
      </w:tr>
      <w:tr>
        <w:trPr>
          <w:cantSplit w:val="true"/>
        </w:trPr>
        <w:tc>
          <w:tcPr>
            <w:tcW w:type="dxa" w:w="2631"/>
            <w:vAlign w:val="center"/>
            <w:tcBorders>
              <w:top w:val="single" w:sz="4" w:space="0" w:color="D5D8DF"/>
              <w:left w:val="single" w:sz="4" w:space="0" w:color="D5D8DF"/>
              <w:bottom w:val="single" w:sz="4" w:space="0" w:color="D5D8DF"/>
              <w:right w:val="single" w:sz="4" w:space="0" w:color="D5D8DF"/>
            </w:tcBorders>
          </w:tcPr>
          <w:p>
            <w:pPr>
              <w:pStyle w:val="DJTableText"/>
            </w:pPr>
            <w:r>
              <w:rPr>
                <w:b/>
              </w:rPr>
              <w:t>Tailored CV</w:t>
            </w:r>
          </w:p>
        </w:tc>
        <w:tc>
          <w:tcPr>
            <w:tcW w:type="dxa" w:w="5094"/>
            <w:vAlign w:val="center"/>
            <w:tcBorders>
              <w:top w:val="single" w:sz="4" w:space="0" w:color="D5D8DF"/>
              <w:left w:val="single" w:sz="4" w:space="0" w:color="D5D8DF"/>
              <w:bottom w:val="single" w:sz="4" w:space="0" w:color="D5D8DF"/>
              <w:right w:val="single" w:sz="4" w:space="0" w:color="D5D8DF"/>
            </w:tcBorders>
          </w:tcPr>
          <w:p>
            <w:pPr>
              <w:pStyle w:val="DJTableText"/>
            </w:pPr>
            <w:r>
              <w:rPr/>
              <w:t>Emphasises relevant experience, using only true profile facts</w:t>
            </w:r>
          </w:p>
        </w:tc>
        <w:tc>
          <w:tcPr>
            <w:tcW w:type="dxa" w:w="1304"/>
            <w:vAlign w:val="center"/>
            <w:tcBorders>
              <w:top w:val="single" w:sz="4" w:space="0" w:color="D5D8DF"/>
              <w:left w:val="single" w:sz="4" w:space="0" w:color="D5D8DF"/>
              <w:bottom w:val="single" w:sz="4" w:space="0" w:color="D5D8DF"/>
              <w:right w:val="single" w:sz="4" w:space="0" w:color="D5D8DF"/>
            </w:tcBorders>
          </w:tcPr>
          <w:p>
            <w:pPr>
              <w:pStyle w:val="DJTableText"/>
            </w:pPr>
            <w:r>
              <w:rPr/>
              <w:t>Attached</w:t>
            </w:r>
          </w:p>
        </w:tc>
      </w:tr>
      <w:tr>
        <w:trPr>
          <w:cantSplit w:val="true"/>
        </w:trPr>
        <w:tc>
          <w:tcPr>
            <w:tcW w:type="dxa" w:w="2631"/>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b/>
              </w:rPr>
              <w:t>Company &amp; job briefing</w:t>
            </w:r>
            <w:r>
              <w:rPr/>
              <w:t xml:space="preserve"> (FR-329)</w:t>
            </w:r>
          </w:p>
        </w:tc>
        <w:tc>
          <w:tcPr>
            <w:tcW w:type="dxa" w:w="509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Interview preparation: full company profile, five-year financials with charts, signals, competitors, the opening in full, the contact, likely interview topics, questions to ask</w:t>
            </w:r>
          </w:p>
        </w:tc>
        <w:tc>
          <w:tcPr>
            <w:tcW w:type="dxa" w:w="130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b/>
              </w:rPr>
              <w:t>Never sent</w:t>
            </w:r>
          </w:p>
        </w:tc>
      </w:tr>
      <w:tr>
        <w:trPr>
          <w:cantSplit w:val="true"/>
        </w:trPr>
        <w:tc>
          <w:tcPr>
            <w:tcW w:type="dxa" w:w="2631"/>
            <w:vAlign w:val="center"/>
            <w:tcBorders>
              <w:top w:val="single" w:sz="4" w:space="0" w:color="D5D8DF"/>
              <w:left w:val="single" w:sz="4" w:space="0" w:color="D5D8DF"/>
              <w:bottom w:val="single" w:sz="4" w:space="0" w:color="D5D8DF"/>
              <w:right w:val="single" w:sz="4" w:space="0" w:color="D5D8DF"/>
            </w:tcBorders>
          </w:tcPr>
          <w:p>
            <w:pPr>
              <w:pStyle w:val="DJTableText"/>
            </w:pPr>
            <w:r>
              <w:rPr>
                <w:b/>
              </w:rPr>
              <w:t>Motivation &amp; fit</w:t>
            </w:r>
            <w:r>
              <w:rPr/>
              <w:t xml:space="preserve"> (FR-330)</w:t>
            </w:r>
          </w:p>
        </w:tc>
        <w:tc>
          <w:tcPr>
            <w:tcW w:type="dxa" w:w="5094"/>
            <w:vAlign w:val="center"/>
            <w:tcBorders>
              <w:top w:val="single" w:sz="4" w:space="0" w:color="D5D8DF"/>
              <w:left w:val="single" w:sz="4" w:space="0" w:color="D5D8DF"/>
              <w:bottom w:val="single" w:sz="4" w:space="0" w:color="D5D8DF"/>
              <w:right w:val="single" w:sz="4" w:space="0" w:color="D5D8DF"/>
            </w:tcBorders>
          </w:tcPr>
          <w:p>
            <w:pPr>
              <w:pStyle w:val="DJTableText"/>
            </w:pPr>
            <w:r>
              <w:rPr/>
              <w:t>Why this job, why you fit it, why you fit the company, anticipated objections with answers, rehearsable talking points</w:t>
            </w:r>
          </w:p>
        </w:tc>
        <w:tc>
          <w:tcPr>
            <w:tcW w:type="dxa" w:w="1304"/>
            <w:vAlign w:val="center"/>
            <w:tcBorders>
              <w:top w:val="single" w:sz="4" w:space="0" w:color="D5D8DF"/>
              <w:left w:val="single" w:sz="4" w:space="0" w:color="D5D8DF"/>
              <w:bottom w:val="single" w:sz="4" w:space="0" w:color="D5D8DF"/>
              <w:right w:val="single" w:sz="4" w:space="0" w:color="D5D8DF"/>
            </w:tcBorders>
          </w:tcPr>
          <w:p>
            <w:pPr>
              <w:pStyle w:val="DJTableText"/>
            </w:pPr>
            <w:r>
              <w:rPr>
                <w:b/>
              </w:rPr>
              <w:t>Never sent</w:t>
            </w:r>
          </w:p>
        </w:tc>
      </w:tr>
      <w:tr>
        <w:trPr>
          <w:cantSplit w:val="true"/>
        </w:trPr>
        <w:tc>
          <w:tcPr>
            <w:tcW w:type="dxa" w:w="2631"/>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b/>
              </w:rPr>
              <w:t>Introduction email</w:t>
            </w:r>
          </w:p>
        </w:tc>
        <w:tc>
          <w:tcPr>
            <w:tcW w:type="dxa" w:w="509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Addressed to the hiring contact</w:t>
            </w:r>
          </w:p>
        </w:tc>
        <w:tc>
          <w:tcPr>
            <w:tcW w:type="dxa" w:w="130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Sent</w:t>
            </w:r>
          </w:p>
        </w:tc>
      </w:tr>
    </w:tbl>
    <w:p>
      <w:pPr>
        <w:spacing w:after="40"/>
      </w:pPr>
    </w:p>
    <w:p>
      <w:r>
        <w:rPr/>
        <w:t xml:space="preserve">CVs are produced in DOCX and PDF from configurable templates, in the language of the opportunity (nl / fr / en / de), </w:t>
      </w:r>
      <w:r>
        <w:rPr>
          <w:b/>
        </w:rPr>
        <w:t>including the photo</w:t>
      </w:r>
      <w:r>
        <w:rPr/>
        <w:t xml:space="preserve"> where the job seeker has one and has not marked it do-not-disclose.</w:t>
      </w:r>
    </w:p>
    <w:p>
      <w:r>
        <w:rPr>
          <w:b/>
        </w:rPr>
        <w:t>The factual-consistency check (FR-322, RK-03) gates approval.</w:t>
      </w:r>
      <w:r>
        <w:rPr/>
        <w:t xml:space="preserve"> Claims are extracted and matched against profile facts. The date, employer and title checks are </w:t>
      </w:r>
      <w:r>
        <w:rPr>
          <w:b/>
        </w:rPr>
        <w:t>deterministic</w:t>
      </w:r>
      <w:r>
        <w:rPr/>
        <w:t>, because that is what actually catches a hallucinated employer; an LLM judge contributes as one signal, not as the arbiter. A failed check visibly blocks approval. A leak scan (NFR-206) flags content attributable to no source in this job seeker's own provenance set.</w:t>
      </w:r>
    </w:p>
    <w:p>
      <w:r>
        <w:rPr/>
        <w:t xml:space="preserve">A </w:t>
      </w:r>
      <w:r>
        <w:rPr>
          <w:b/>
        </w:rPr>
        <w:t>consistency failure can be overridden with a recorded reason</w:t>
      </w:r>
      <w:r>
        <w:rPr/>
        <w:t xml:space="preserve"> — the job seeker is the authority on their own history — and that override is persisted and honoured by both send paths, where a previous iteration lost it. A </w:t>
      </w:r>
      <w:r>
        <w:rPr>
          <w:b/>
        </w:rPr>
        <w:t>leak</w:t>
      </w:r>
      <w:r>
        <w:rPr/>
        <w:t xml:space="preserve"> or an </w:t>
      </w:r>
      <w:r>
        <w:rPr>
          <w:b/>
        </w:rPr>
        <w:t>objected contact</w:t>
      </w:r>
      <w:r>
        <w:rPr/>
        <w:t xml:space="preserve"> is not overridable. Speculative emails that imply a vacancy exists are blocked outright (FR-323).</w:t>
      </w:r>
    </w:p>
    <w:p>
      <w:r>
        <w:rPr>
          <w:b/>
        </w:rPr>
        <w:t>Review and approval (FR-324).</w:t>
      </w:r>
      <w:r>
        <w:rPr/>
        <w:t xml:space="preserve"> Preview, edit (which re-opens the draft), regenerate with an instruction, approve or discard. Bulk approval opens a </w:t>
      </w:r>
      <w:r>
        <w:rPr>
          <w:b/>
        </w:rPr>
        <w:t>mandatory summary of exactly what goes to whom</w:t>
      </w:r>
      <w:r>
        <w:rPr/>
        <w:t xml:space="preserve"> — recipient, company, role, and whether the opening is real or speculative. The Apply browser can generate every package for a shortlist in one </w:t>
      </w:r>
      <w:r>
        <w:rPr>
          <w:b/>
        </w:rPr>
        <w:t>pausable, resumable pass</w:t>
      </w:r>
      <w:r>
        <w:rPr/>
        <w:t xml:space="preserve"> with live progress and a per-package cost ceiling (NFR-502, NFR-401, NFR-104). When the packages are for the ATS route, the compose step produces a shorter application-specific email, and a </w:t>
      </w:r>
      <w:r>
        <w:rPr>
          <w:b/>
        </w:rPr>
        <w:t>two-switch dry-run guard</w:t>
      </w:r>
      <w:r>
        <w:rPr/>
        <w:t xml:space="preserve"> — one environment variable and one administrator setting, failing closed — renders the </w:t>
      </w:r>
      <w:r>
        <w:rPr>
          <w:rStyle w:val="CodeInline"/>
        </w:rPr>
        <w:t>.eml</w:t>
      </w:r>
      <w:r>
        <w:rPr/>
        <w:t xml:space="preserve"> without letting anything leave the machine.</w:t>
      </w:r>
    </w:p>
    <w:p>
      <w:pPr>
        <w:pStyle w:val="FigureImage"/>
        <w:keepNext/>
        <w:keepLines/>
      </w:pPr>
      <w:r>
        <w:drawing>
          <wp:inline xmlns:a="http://schemas.openxmlformats.org/drawingml/2006/main" xmlns:pic="http://schemas.openxmlformats.org/drawingml/2006/picture">
            <wp:extent cx="5733288" cy="3663415"/>
            <wp:docPr id="9" name="Picture 9"/>
            <wp:cNvGraphicFramePr>
              <a:graphicFrameLocks noChangeAspect="1"/>
            </wp:cNvGraphicFramePr>
            <a:graphic>
              <a:graphicData uri="http://schemas.openxmlformats.org/drawingml/2006/picture">
                <pic:pic>
                  <pic:nvPicPr>
                    <pic:cNvPr id="0" name="fdd-08-generation.png"/>
                    <pic:cNvPicPr/>
                  </pic:nvPicPr>
                  <pic:blipFill>
                    <a:blip r:embed="rId19"/>
                    <a:stretch>
                      <a:fillRect/>
                    </a:stretch>
                  </pic:blipFill>
                  <pic:spPr>
                    <a:xfrm>
                      <a:off x="0" y="0"/>
                      <a:ext cx="5733288" cy="3663415"/>
                    </a:xfrm>
                    <a:prstGeom prst="rect"/>
                  </pic:spPr>
                </pic:pic>
              </a:graphicData>
            </a:graphic>
          </wp:inline>
        </w:drawing>
      </w:r>
    </w:p>
    <w:p>
      <w:pPr>
        <w:pStyle w:val="FigureCaption"/>
        <w:keepLines/>
        <w:ind w:right="504"/>
      </w:pPr>
      <w:r>
        <w:rPr>
          <w:b/>
          <w:color w:val="6D54D8"/>
        </w:rPr>
        <w:t xml:space="preserve">Figure 8. </w:t>
      </w:r>
      <w:r>
        <w:rPr>
          <w:color w:val="6B7280"/>
        </w:rPr>
        <w:t>The four artefacts per opportunity, the check that gates approval, and the two documents that are never sent to anyone.</w:t>
      </w:r>
    </w:p>
    <w:p>
      <w:pPr>
        <w:pStyle w:val="Heading2"/>
      </w:pPr>
      <w:r>
        <w:rPr/>
        <w:t>8.3 Dispatch (FR-325–FR-327)</w:t>
      </w:r>
    </w:p>
    <w:p>
      <w:r>
        <w:rPr/>
        <w:t>Two backends behind one interface:</w:t>
      </w:r>
    </w:p>
    <w:tbl>
      <w:tblPr>
        <w:tblStyle w:val="TableGrid"/>
        <w:tblW w:type="auto" w:w="0"/>
        <w:jc w:val="left"/>
        <w:tblLayout w:type="fixed"/>
        <w:tblLook w:firstColumn="1" w:firstRow="1" w:lastColumn="0" w:lastRow="0" w:noHBand="0" w:noVBand="1" w:val="04A0"/>
        <w:tblLayout w:type="fixed"/>
        <w:tblCellMar>
          <w:top w:w="60" w:type="dxa"/>
          <w:start w:w="110" w:type="dxa"/>
          <w:bottom w:w="60" w:type="dxa"/>
          <w:end w:w="110" w:type="dxa"/>
        </w:tblCellMar>
      </w:tblPr>
      <w:tblGrid>
        <w:gridCol w:w="1743"/>
        <w:gridCol w:w="4458"/>
        <w:gridCol w:w="2828"/>
      </w:tblGrid>
      <w:tr>
        <w:trPr>
          <w:tblHeader w:val="true"/>
          <w:cantSplit w:val="true"/>
        </w:trPr>
        <w:tc>
          <w:tcPr>
            <w:tcW w:type="dxa" w:w="1743"/>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p>
        </w:tc>
        <w:tc>
          <w:tcPr>
            <w:tcW w:type="dxa" w:w="4458"/>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Gmail OAuth</w:t>
            </w:r>
          </w:p>
        </w:tc>
        <w:tc>
          <w:tcPr>
            <w:tcW w:type="dxa" w:w="2828"/>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Resend</w:t>
            </w:r>
          </w:p>
        </w:tc>
      </w:tr>
      <w:tr>
        <w:trPr>
          <w:cantSplit w:val="true"/>
        </w:trPr>
        <w:tc>
          <w:tcPr>
            <w:tcW w:type="dxa" w:w="1743"/>
            <w:vAlign w:val="center"/>
            <w:tcBorders>
              <w:top w:val="single" w:sz="4" w:space="0" w:color="D5D8DF"/>
              <w:left w:val="single" w:sz="4" w:space="0" w:color="D5D8DF"/>
              <w:bottom w:val="single" w:sz="4" w:space="0" w:color="D5D8DF"/>
              <w:right w:val="single" w:sz="4" w:space="0" w:color="D5D8DF"/>
            </w:tcBorders>
          </w:tcPr>
          <w:p>
            <w:pPr>
              <w:pStyle w:val="DJTableText"/>
            </w:pPr>
            <w:r>
              <w:rPr/>
              <w:t>Sends as</w:t>
            </w:r>
          </w:p>
        </w:tc>
        <w:tc>
          <w:tcPr>
            <w:tcW w:type="dxa" w:w="4458"/>
            <w:vAlign w:val="center"/>
            <w:tcBorders>
              <w:top w:val="single" w:sz="4" w:space="0" w:color="D5D8DF"/>
              <w:left w:val="single" w:sz="4" w:space="0" w:color="D5D8DF"/>
              <w:bottom w:val="single" w:sz="4" w:space="0" w:color="D5D8DF"/>
              <w:right w:val="single" w:sz="4" w:space="0" w:color="D5D8DF"/>
            </w:tcBorders>
          </w:tcPr>
          <w:p>
            <w:pPr>
              <w:pStyle w:val="DJTableText"/>
            </w:pPr>
            <w:r>
              <w:rPr/>
              <w:t>The job seeker's own mailbox</w:t>
            </w:r>
          </w:p>
        </w:tc>
        <w:tc>
          <w:tcPr>
            <w:tcW w:type="dxa" w:w="2828"/>
            <w:vAlign w:val="center"/>
            <w:tcBorders>
              <w:top w:val="single" w:sz="4" w:space="0" w:color="D5D8DF"/>
              <w:left w:val="single" w:sz="4" w:space="0" w:color="D5D8DF"/>
              <w:bottom w:val="single" w:sz="4" w:space="0" w:color="D5D8DF"/>
              <w:right w:val="single" w:sz="4" w:space="0" w:color="D5D8DF"/>
            </w:tcBorders>
          </w:tcPr>
          <w:p>
            <w:pPr>
              <w:pStyle w:val="DJTableText"/>
            </w:pPr>
            <w:r>
              <w:rPr>
                <w:rStyle w:val="CodeInline"/>
              </w:rPr>
              <w:t>stephane@stepvda.com</w:t>
            </w:r>
          </w:p>
        </w:tc>
      </w:tr>
      <w:tr>
        <w:trPr>
          <w:cantSplit w:val="true"/>
        </w:trPr>
        <w:tc>
          <w:tcPr>
            <w:tcW w:type="dxa" w:w="1743"/>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Replies</w:t>
            </w:r>
          </w:p>
        </w:tc>
        <w:tc>
          <w:tcPr>
            <w:tcW w:type="dxa" w:w="4458"/>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Land in the inbox; detected by IMAP</w:t>
            </w:r>
          </w:p>
        </w:tc>
        <w:tc>
          <w:tcPr>
            <w:tcW w:type="dxa" w:w="2828"/>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No inbox; webhook events</w:t>
            </w:r>
          </w:p>
        </w:tc>
      </w:tr>
      <w:tr>
        <w:trPr>
          <w:cantSplit w:val="true"/>
        </w:trPr>
        <w:tc>
          <w:tcPr>
            <w:tcW w:type="dxa" w:w="1743"/>
            <w:vAlign w:val="center"/>
            <w:tcBorders>
              <w:top w:val="single" w:sz="4" w:space="0" w:color="D5D8DF"/>
              <w:left w:val="single" w:sz="4" w:space="0" w:color="D5D8DF"/>
              <w:bottom w:val="single" w:sz="4" w:space="0" w:color="D5D8DF"/>
              <w:right w:val="single" w:sz="4" w:space="0" w:color="D5D8DF"/>
            </w:tcBorders>
          </w:tcPr>
          <w:p>
            <w:pPr>
              <w:pStyle w:val="DJTableText"/>
            </w:pPr>
            <w:r>
              <w:rPr/>
              <w:t>Credentials</w:t>
            </w:r>
          </w:p>
        </w:tc>
        <w:tc>
          <w:tcPr>
            <w:tcW w:type="dxa" w:w="4458"/>
            <w:vAlign w:val="center"/>
            <w:tcBorders>
              <w:top w:val="single" w:sz="4" w:space="0" w:color="D5D8DF"/>
              <w:left w:val="single" w:sz="4" w:space="0" w:color="D5D8DF"/>
              <w:bottom w:val="single" w:sz="4" w:space="0" w:color="D5D8DF"/>
              <w:right w:val="single" w:sz="4" w:space="0" w:color="D5D8DF"/>
            </w:tcBorders>
          </w:tcPr>
          <w:p>
            <w:pPr>
              <w:pStyle w:val="DJTableText"/>
            </w:pPr>
            <w:r>
              <w:rPr/>
              <w:t>Refresh token, encrypted per job seeker, revocable</w:t>
            </w:r>
          </w:p>
        </w:tc>
        <w:tc>
          <w:tcPr>
            <w:tcW w:type="dxa" w:w="2828"/>
            <w:vAlign w:val="center"/>
            <w:tcBorders>
              <w:top w:val="single" w:sz="4" w:space="0" w:color="D5D8DF"/>
              <w:left w:val="single" w:sz="4" w:space="0" w:color="D5D8DF"/>
              <w:bottom w:val="single" w:sz="4" w:space="0" w:color="D5D8DF"/>
              <w:right w:val="single" w:sz="4" w:space="0" w:color="D5D8DF"/>
            </w:tcBorders>
          </w:tcPr>
          <w:p>
            <w:pPr>
              <w:pStyle w:val="DJTableText"/>
            </w:pPr>
            <w:r>
              <w:rPr/>
              <w:t>API key</w:t>
            </w:r>
          </w:p>
        </w:tc>
      </w:tr>
      <w:tr>
        <w:trPr>
          <w:cantSplit w:val="true"/>
        </w:trPr>
        <w:tc>
          <w:tcPr>
            <w:tcW w:type="dxa" w:w="1743"/>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Scopes</w:t>
            </w:r>
          </w:p>
        </w:tc>
        <w:tc>
          <w:tcPr>
            <w:tcW w:type="dxa" w:w="4458"/>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rStyle w:val="CodeInline"/>
              </w:rPr>
              <w:t>gmail.send</w:t>
            </w:r>
            <w:r>
              <w:rPr/>
              <w:t xml:space="preserve"> + </w:t>
            </w:r>
            <w:r>
              <w:rPr>
                <w:rStyle w:val="CodeInline"/>
              </w:rPr>
              <w:t>gmail.readonly</w:t>
            </w:r>
            <w:r>
              <w:rPr/>
              <w:t xml:space="preserve"> for bounce reading</w:t>
            </w:r>
          </w:p>
        </w:tc>
        <w:tc>
          <w:tcPr>
            <w:tcW w:type="dxa" w:w="2828"/>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w:t>
            </w:r>
          </w:p>
        </w:tc>
      </w:tr>
    </w:tbl>
    <w:p>
      <w:pPr>
        <w:spacing w:after="40"/>
      </w:pPr>
    </w:p>
    <w:p>
      <w:pPr>
        <w:spacing w:after="40"/>
      </w:pPr>
    </w:p>
    <w:tbl>
      <w:tblPr>
        <w:tblStyle w:val="TableGrid"/>
        <w:tblW w:type="auto" w:w="0"/>
        <w:jc w:val="left"/>
        <w:tblLayout w:type="fixed"/>
        <w:tblLook w:firstColumn="1" w:firstRow="1" w:lastColumn="0" w:lastRow="0" w:noHBand="0" w:noVBand="1" w:val="04A0"/>
        <w:tblLayout w:type="fixed"/>
        <w:tblCellMar>
          <w:top w:w="120" w:type="dxa"/>
          <w:start w:w="170" w:type="dxa"/>
          <w:bottom w:w="120" w:type="dxa"/>
          <w:end w:w="170" w:type="dxa"/>
        </w:tblCellMar>
      </w:tblPr>
      <w:tblGrid>
        <w:gridCol w:w="9029"/>
      </w:tblGrid>
      <w:tr>
        <w:trPr>
          <w:cantSplit w:val="true"/>
        </w:trPr>
        <w:tc>
          <w:tcPr>
            <w:tcW w:type="dxa" w:w="9029"/>
            <w:shd w:val="clear" w:color="auto" w:fill="F4F5F7"/>
            <w:tcBorders>
              <w:top w:val="single" w:sz="4" w:space="0" w:color="F4F5F7"/>
              <w:left w:val="single" w:sz="30" w:space="0" w:color="6B7280"/>
              <w:bottom w:val="single" w:sz="4" w:space="0" w:color="F4F5F7"/>
              <w:right w:val="single" w:sz="4" w:space="0" w:color="F4F5F7"/>
            </w:tcBorders>
          </w:tcPr>
          <w:p>
            <w:pPr>
              <w:pStyle w:val="DJCallout"/>
            </w:pPr>
            <w:r>
              <w:rPr>
                <w:b/>
                <w:color w:val="6B7280"/>
              </w:rPr>
              <w:t xml:space="preserve">Note.  </w:t>
            </w:r>
            <w:r>
              <w:rPr/>
              <w:t>The Resend backend is complete but the API key has not yet been supplied. It fails with an actionable message and the status screen reports "not configured" rather than showing a broken state.</w:t>
            </w:r>
          </w:p>
        </w:tc>
      </w:tr>
    </w:tbl>
    <w:p>
      <w:pPr>
        <w:spacing w:after="80"/>
      </w:pPr>
    </w:p>
    <w:p>
      <w:r>
        <w:rPr>
          <w:b/>
        </w:rPr>
        <w:t>Guard rails are enforced server-side</w:t>
      </w:r>
      <w:r>
        <w:rPr/>
        <w:t xml:space="preserve"> (FR-325, RK-05): a configurable rate, a daily cap, and send windows expressed </w:t>
      </w:r>
      <w:r>
        <w:rPr>
          <w:b/>
        </w:rPr>
        <w:t>in the recipient's time zone</w:t>
      </w:r>
      <w:r>
        <w:rPr/>
        <w:t>, derived from the company's country. Only validated addresses are used; objected contacts are refused. A refusal that time alone can fix is queued with a scheduled time rather than discarded. A separate dry-run transport runs the identical rails without sending, so a send configuration can be rehearsed.</w:t>
      </w:r>
    </w:p>
    <w:p>
      <w:r>
        <w:rPr/>
        <w:t>Every send is logged with recipient, timestamp, attachments, message-id and delivery status, and recorded in an immutable audit trail with who approved it (NFR-702). Bounces are detected by parsing DSN structure rather than string-matching subjects, and Resend's webhook events feed the same record. Follow-up reminders fire after a configurable silence — seven days by default, one reminder, always as a reply in the original thread (FR-327) so the sequence stays in one conversation rather than arriving as a fresh cold email.</w:t>
      </w:r>
    </w:p>
    <w:p>
      <w:pPr>
        <w:pStyle w:val="Heading1"/>
        <w:pBdr>
          <w:bottom w:val="single" w:sz="8" w:space="6" w:color="6D54D8"/>
        </w:pBdr>
      </w:pPr>
      <w:r>
        <w:rPr/>
        <w:t>9. Phase 5 — Follow up</w:t>
      </w:r>
    </w:p>
    <w:p>
      <w:pPr>
        <w:pStyle w:val="Heading2"/>
      </w:pPr>
      <w:r>
        <w:rPr/>
        <w:t>9.1 Recording responses</w:t>
      </w:r>
    </w:p>
    <w:p>
      <w:pPr>
        <w:spacing w:after="40"/>
      </w:pPr>
    </w:p>
    <w:tbl>
      <w:tblPr>
        <w:tblStyle w:val="TableGrid"/>
        <w:tblW w:type="auto" w:w="0"/>
        <w:jc w:val="left"/>
        <w:tblLayout w:type="fixed"/>
        <w:tblLook w:firstColumn="1" w:firstRow="1" w:lastColumn="0" w:lastRow="0" w:noHBand="0" w:noVBand="1" w:val="04A0"/>
        <w:tblLayout w:type="fixed"/>
        <w:tblCellMar>
          <w:top w:w="120" w:type="dxa"/>
          <w:start w:w="170" w:type="dxa"/>
          <w:bottom w:w="120" w:type="dxa"/>
          <w:end w:w="170" w:type="dxa"/>
        </w:tblCellMar>
      </w:tblPr>
      <w:tblGrid>
        <w:gridCol w:w="9029"/>
      </w:tblGrid>
      <w:tr>
        <w:trPr>
          <w:cantSplit w:val="true"/>
        </w:trPr>
        <w:tc>
          <w:tcPr>
            <w:tcW w:type="dxa" w:w="9029"/>
            <w:shd w:val="clear" w:color="auto" w:fill="EAF5F3"/>
            <w:tcBorders>
              <w:top w:val="single" w:sz="4" w:space="0" w:color="EAF5F3"/>
              <w:left w:val="single" w:sz="30" w:space="0" w:color="0B7B73"/>
              <w:bottom w:val="single" w:sz="4" w:space="0" w:color="EAF5F3"/>
              <w:right w:val="single" w:sz="4" w:space="0" w:color="EAF5F3"/>
            </w:tcBorders>
          </w:tcPr>
          <w:p>
            <w:pPr>
              <w:pStyle w:val="DJCallout"/>
            </w:pPr>
            <w:r>
              <w:rPr>
                <w:b/>
                <w:color w:val="0B7B73"/>
              </w:rPr>
              <w:t>Extension beyond the SRS</w:t>
            </w:r>
            <w:r>
              <w:rPr/>
              <w:t>, at the product owner's request. Automatic detection only covers replies arriving in a pollable mailbox. In practice many do not: a recruiter phones, answers on LinkedIn, or replies through an ATS portal — and Resend has no inbox at all.</w:t>
            </w:r>
          </w:p>
        </w:tc>
      </w:tr>
    </w:tbl>
    <w:p>
      <w:pPr>
        <w:spacing w:after="80"/>
      </w:pPr>
    </w:p>
    <w:p>
      <w:r>
        <w:rPr/>
        <w:t xml:space="preserve">Any response can be </w:t>
      </w:r>
      <w:r>
        <w:rPr>
          <w:b/>
        </w:rPr>
        <w:t>entered by hand</w:t>
      </w:r>
      <w:r>
        <w:rPr/>
        <w:t xml:space="preserve"> and is then treated exactly like a detected one: classified, moving the pipeline card, feeding the learning.</w:t>
      </w:r>
    </w:p>
    <w:p>
      <w:r>
        <w:rPr/>
        <w:t xml:space="preserve">The person entering it also states what they think happened. </w:t>
      </w:r>
      <w:r>
        <w:rPr>
          <w:b/>
        </w:rPr>
        <w:t>That stated outcome overrides the model's classification</w:t>
      </w:r>
      <w:r>
        <w:rPr/>
        <w:t xml:space="preserve"> — they were there. Corrections after the fact are one click, because a misread rejection quietly distorts every rate it is counted in.</w:t>
      </w:r>
    </w:p>
    <w:p>
      <w:r>
        <w:rPr/>
        <w:t>Recording a rejection is given exactly the same visual weight as recording good news. It is data, and the analysis needs it.</w:t>
      </w:r>
    </w:p>
    <w:p>
      <w:pPr>
        <w:pStyle w:val="FigureImage"/>
        <w:keepNext/>
        <w:keepLines/>
      </w:pPr>
      <w:r>
        <w:drawing>
          <wp:inline xmlns:a="http://schemas.openxmlformats.org/drawingml/2006/main" xmlns:pic="http://schemas.openxmlformats.org/drawingml/2006/picture">
            <wp:extent cx="5733288" cy="3221727"/>
            <wp:docPr id="10" name="Picture 10"/>
            <wp:cNvGraphicFramePr>
              <a:graphicFrameLocks noChangeAspect="1"/>
            </wp:cNvGraphicFramePr>
            <a:graphic>
              <a:graphicData uri="http://schemas.openxmlformats.org/drawingml/2006/picture">
                <pic:pic>
                  <pic:nvPicPr>
                    <pic:cNvPr id="0" name="fdd-09-learning.png"/>
                    <pic:cNvPicPr/>
                  </pic:nvPicPr>
                  <pic:blipFill>
                    <a:blip r:embed="rId20"/>
                    <a:stretch>
                      <a:fillRect/>
                    </a:stretch>
                  </pic:blipFill>
                  <pic:spPr>
                    <a:xfrm>
                      <a:off x="0" y="0"/>
                      <a:ext cx="5733288" cy="3221727"/>
                    </a:xfrm>
                    <a:prstGeom prst="rect"/>
                  </pic:spPr>
                </pic:pic>
              </a:graphicData>
            </a:graphic>
          </wp:inline>
        </w:drawing>
      </w:r>
    </w:p>
    <w:p>
      <w:pPr>
        <w:pStyle w:val="FigureCaption"/>
        <w:keepLines/>
        <w:ind w:right="504"/>
      </w:pPr>
      <w:r>
        <w:rPr>
          <w:b/>
          <w:color w:val="6D54D8"/>
        </w:rPr>
        <w:t xml:space="preserve">Figure 9. </w:t>
      </w:r>
      <w:r>
        <w:rPr>
          <w:color w:val="6B7280"/>
        </w:rPr>
        <w:t>The follow-up loop. Every path from a response back to a changed directive passes through the job seeker, and the previous directive version is kept.</w:t>
      </w:r>
    </w:p>
    <w:p>
      <w:pPr>
        <w:pStyle w:val="Heading2"/>
      </w:pPr>
      <w:r>
        <w:rPr/>
        <w:t>9.2 The pipeline board (FR-421–FR-424)</w:t>
      </w:r>
    </w:p>
    <w:p>
      <w:r>
        <w:rPr/>
        <w:t xml:space="preserve">Five stages — sent, replied, interview, offer, closed — moved automatically by reply detection where possible and by hand otherwise. Automatic moves are deliberately conservative and never go backwards; nothing auto-closes. A closed card records </w:t>
      </w:r>
      <w:r>
        <w:rPr>
          <w:i/>
        </w:rPr>
        <w:t>why</w:t>
      </w:r>
      <w:r>
        <w:rPr/>
        <w:t xml:space="preserve"> — accepted, rejected, withdrawn or no response — because the closure outcome, not just the stage, is what the learning counts.</w:t>
      </w:r>
    </w:p>
    <w:p>
      <w:r>
        <w:rPr/>
        <w:t xml:space="preserve">Replies are classified (FR-422) as interest, information request, interview invitation, rejection, referral or auto-reply — with </w:t>
      </w:r>
      <w:r>
        <w:rPr>
          <w:rStyle w:val="CodeInline"/>
        </w:rPr>
        <w:t>other</w:t>
      </w:r>
      <w:r>
        <w:rPr/>
        <w:t xml:space="preserve"> as the honest fallback and a four-language rule-based pass when the model is unavailable — and the appropriate response is </w:t>
      </w:r>
      <w:r>
        <w:rPr>
          <w:b/>
        </w:rPr>
        <w:t>drafted in the same thread</w:t>
      </w:r>
      <w:r>
        <w:rPr/>
        <w:t xml:space="preserve"> using the briefing and motivation documents as context. Drafts wait for the job seeker; nothing sends itself.</w:t>
      </w:r>
    </w:p>
    <w:p>
      <w:r>
        <w:rPr/>
        <w:t xml:space="preserve">Where a reply proposes interview times (FR-423), the slots are extracted — including relative dates in four languages — checked against the connected calendar, and the confirmation drafted, with the briefing attached to the calendar entry on approval. Google Calendar is wired end to end; a </w:t>
      </w:r>
      <w:r>
        <w:rPr>
          <w:b/>
        </w:rPr>
        <w:t>Microsoft 365 Graph client is implemented</w:t>
      </w:r>
      <w:r>
        <w:rPr/>
        <w:t xml:space="preserve"> for the same flow but its OAuth exchange is not yet exposed, so it is not connectable without an app registration.</w:t>
      </w:r>
    </w:p>
    <w:p>
      <w:r>
        <w:rPr>
          <w:b/>
        </w:rPr>
        <w:t>Mock interviews</w:t>
      </w:r>
      <w:r>
        <w:rPr/>
        <w:t xml:space="preserve"> (FR-424) run turn by turn: the LLM interviews using the briefing, gives feedback on each answer against the motivation document, and ends with a list of weak spots. Sessions are stored and repeatable.</w:t>
      </w:r>
    </w:p>
    <w:p>
      <w:r>
        <w:rPr/>
        <w:t xml:space="preserve">Once a card reaches interview or offer, the </w:t>
      </w:r>
      <w:r>
        <w:rPr>
          <w:b/>
        </w:rPr>
        <w:t>negotiation brief (FR-444)</w:t>
      </w:r>
      <w:r>
        <w:rPr/>
        <w:t xml:space="preserve"> opens: ability to pay, personnel cost per FTE, market ranges and the job seeker's own directives become a suggested ask with arguments, fallbacks and a stated walk-away.</w:t>
      </w:r>
    </w:p>
    <w:p>
      <w:pPr>
        <w:pStyle w:val="Heading2"/>
      </w:pPr>
      <w:r>
        <w:rPr/>
        <w:t>9.3 What works, and where to redirect</w:t>
      </w:r>
    </w:p>
    <w:p>
      <w:pPr>
        <w:spacing w:after="40"/>
      </w:pPr>
    </w:p>
    <w:tbl>
      <w:tblPr>
        <w:tblStyle w:val="TableGrid"/>
        <w:tblW w:type="auto" w:w="0"/>
        <w:jc w:val="left"/>
        <w:tblLayout w:type="fixed"/>
        <w:tblLook w:firstColumn="1" w:firstRow="1" w:lastColumn="0" w:lastRow="0" w:noHBand="0" w:noVBand="1" w:val="04A0"/>
        <w:tblLayout w:type="fixed"/>
        <w:tblCellMar>
          <w:top w:w="120" w:type="dxa"/>
          <w:start w:w="170" w:type="dxa"/>
          <w:bottom w:w="120" w:type="dxa"/>
          <w:end w:w="170" w:type="dxa"/>
        </w:tblCellMar>
      </w:tblPr>
      <w:tblGrid>
        <w:gridCol w:w="9029"/>
      </w:tblGrid>
      <w:tr>
        <w:trPr>
          <w:cantSplit w:val="true"/>
        </w:trPr>
        <w:tc>
          <w:tcPr>
            <w:tcW w:type="dxa" w:w="9029"/>
            <w:shd w:val="clear" w:color="auto" w:fill="EAF5F3"/>
            <w:tcBorders>
              <w:top w:val="single" w:sz="4" w:space="0" w:color="EAF5F3"/>
              <w:left w:val="single" w:sz="30" w:space="0" w:color="0B7B73"/>
              <w:bottom w:val="single" w:sz="4" w:space="0" w:color="EAF5F3"/>
              <w:right w:val="single" w:sz="4" w:space="0" w:color="EAF5F3"/>
            </w:tcBorders>
          </w:tcPr>
          <w:p>
            <w:pPr>
              <w:pStyle w:val="DJCallout"/>
            </w:pPr>
            <w:r>
              <w:rPr>
                <w:b/>
                <w:color w:val="0B7B73"/>
              </w:rPr>
              <w:t>Extension beyond the SRS</w:t>
            </w:r>
            <w:r>
              <w:rPr/>
              <w:t xml:space="preserve">, at the product owner's request: </w:t>
            </w:r>
            <w:r>
              <w:rPr>
                <w:i/>
              </w:rPr>
              <w:t>if a lot of rejections are received for a certain type of job, the AI should advise on how to redirect the type of job or company to get higher acceptance rates.</w:t>
            </w:r>
          </w:p>
        </w:tc>
      </w:tr>
    </w:tbl>
    <w:p>
      <w:pPr>
        <w:spacing w:after="80"/>
      </w:pPr>
    </w:p>
    <w:p>
      <w:r>
        <w:rPr/>
        <w:t xml:space="preserve">FR-425 analyses the variables of </w:t>
      </w:r>
      <w:r>
        <w:rPr>
          <w:i/>
        </w:rPr>
        <w:t>how</w:t>
      </w:r>
      <w:r>
        <w:rPr/>
        <w:t xml:space="preserve"> an application was written. This adds the question a job seeker actually asks after a month: </w:t>
      </w:r>
      <w:r>
        <w:rPr>
          <w:b/>
        </w:rPr>
        <w:t>which kinds of job and company answer me, and which ignore me.</w:t>
      </w:r>
    </w:p>
    <w:p>
      <w:r>
        <w:rPr/>
        <w:t>Outcomes are segmented across nine dimensions a directive can change: function family, seniority, company size band, company stage, sector, work arrangement, country, advertised-versus-speculative, and language.</w:t>
      </w:r>
    </w:p>
    <w:p>
      <w:r>
        <w:rPr/>
        <w:t xml:space="preserve">Every rate is reported with its sample size and a Wilson confidence interval. </w:t>
      </w:r>
      <w:r>
        <w:rPr>
          <w:b/>
        </w:rPr>
        <w:t>Sample size is given the same visual weight as the percentage</w:t>
      </w:r>
      <w:r>
        <w:rPr/>
        <w:t>, because a 50% reply rate from 2 applications and one from 40 are the same number and entirely different evidence.</w:t>
      </w:r>
    </w:p>
    <w:p>
      <w:pPr>
        <w:pStyle w:val="FigureImage"/>
        <w:keepNext/>
        <w:keepLines/>
        <w:spacing w:before="400"/>
      </w:pPr>
      <w:r>
        <w:drawing>
          <wp:inline xmlns:a="http://schemas.openxmlformats.org/drawingml/2006/main" xmlns:pic="http://schemas.openxmlformats.org/drawingml/2006/picture">
            <wp:extent cx="5733288" cy="2835581"/>
            <wp:docPr id="11" name="Picture 11"/>
            <wp:cNvGraphicFramePr>
              <a:graphicFrameLocks noChangeAspect="1"/>
            </wp:cNvGraphicFramePr>
            <a:graphic>
              <a:graphicData uri="http://schemas.openxmlformats.org/drawingml/2006/picture">
                <pic:pic>
                  <pic:nvPicPr>
                    <pic:cNvPr id="0" name="fdd-10-sample-size.png"/>
                    <pic:cNvPicPr/>
                  </pic:nvPicPr>
                  <pic:blipFill>
                    <a:blip r:embed="rId21"/>
                    <a:stretch>
                      <a:fillRect/>
                    </a:stretch>
                  </pic:blipFill>
                  <pic:spPr>
                    <a:xfrm>
                      <a:off x="0" y="0"/>
                      <a:ext cx="5733288" cy="2835581"/>
                    </a:xfrm>
                    <a:prstGeom prst="rect"/>
                  </pic:spPr>
                </pic:pic>
              </a:graphicData>
            </a:graphic>
          </wp:inline>
        </w:drawing>
      </w:r>
    </w:p>
    <w:p>
      <w:pPr>
        <w:pStyle w:val="FigureCaption"/>
        <w:keepLines/>
        <w:spacing w:after="400"/>
        <w:ind w:right="504"/>
      </w:pPr>
      <w:r>
        <w:rPr>
          <w:b/>
          <w:color w:val="6D54D8"/>
        </w:rPr>
        <w:t xml:space="preserve">Figure 10. </w:t>
      </w:r>
      <w:r>
        <w:rPr>
          <w:color w:val="6B7280"/>
        </w:rPr>
        <w:t>The same observed reply rate — 50% — at six sample sizes. The percentage never moves; only the interval around it does. This is why the advice refuses to speak below six resolved applications.</w:t>
      </w:r>
    </w:p>
    <w:p>
      <w:r>
        <w:rPr/>
        <w:t>Three rules govern the advice:</w:t>
      </w:r>
    </w:p>
    <w:p>
      <w:pPr>
        <w:pStyle w:val="DJNumber"/>
      </w:pPr>
      <w:r>
        <w:rPr>
          <w:b/>
          <w:color w:val="6D54D8"/>
        </w:rPr>
        <w:t>1.</w:t>
        <w:tab/>
      </w:r>
      <w:r>
        <w:rPr>
          <w:b/>
        </w:rPr>
        <w:t>The numbers come first, the model second.</w:t>
      </w:r>
      <w:r>
        <w:rPr/>
        <w:t xml:space="preserve"> Segment rates are computed deterministically. The model is handed that table and asked to turn it into advice — it is never asked to find the pattern, because a language model asked to spot trends in a table will find one whether or not it is there.</w:t>
      </w:r>
    </w:p>
    <w:p>
      <w:pPr>
        <w:pStyle w:val="DJNumber"/>
      </w:pPr>
      <w:r>
        <w:rPr>
          <w:b/>
          <w:color w:val="6D54D8"/>
        </w:rPr>
        <w:t>2.</w:t>
        <w:tab/>
      </w:r>
      <w:r>
        <w:rPr>
          <w:b/>
        </w:rPr>
        <w:t>Proposals are validated against the data.</w:t>
      </w:r>
      <w:r>
        <w:rPr/>
        <w:t xml:space="preserve"> A proposal naming a segment the job seeker never applied to is dropped, and the figures are re-attached from the real analysis rather than trusted from the model.</w:t>
      </w:r>
    </w:p>
    <w:p>
      <w:pPr>
        <w:pStyle w:val="DJNumber"/>
        <w:spacing w:after="140"/>
      </w:pPr>
      <w:r>
        <w:rPr>
          <w:b/>
          <w:color w:val="6D54D8"/>
        </w:rPr>
        <w:t>3.</w:t>
        <w:tab/>
      </w:r>
      <w:r>
        <w:rPr>
          <w:b/>
        </w:rPr>
        <w:t>Nothing is applied automatically.</w:t>
      </w:r>
      <w:r>
        <w:rPr/>
        <w:t xml:space="preserve"> Accepting a proposal writes a </w:t>
      </w:r>
      <w:r>
        <w:rPr>
          <w:b/>
        </w:rPr>
        <w:t>new directive-set version</w:t>
      </w:r>
      <w:r>
        <w:rPr/>
        <w:t>; the previous one is untouched and can be returned to.</w:t>
      </w:r>
    </w:p>
    <w:p>
      <w:r>
        <w:rPr/>
        <w:t xml:space="preserve">Advice refuses to speak below roughly six resolved applications, and says so. A proposal that conflicts with the dream-job statement is </w:t>
      </w:r>
      <w:r>
        <w:rPr>
          <w:b/>
        </w:rPr>
        <w:t>flagged, not hidden</w:t>
      </w:r>
      <w:r>
        <w:rPr/>
        <w:t xml:space="preserve"> — the data does not overrule what the person said they want; it only reports what wanting it is costing.</w:t>
      </w:r>
    </w:p>
    <w:p>
      <w:r>
        <w:rPr>
          <w:i/>
        </w:rPr>
        <w:t>Verified:</w:t>
      </w:r>
      <w:r>
        <w:rPr/>
        <w:t xml:space="preserve"> 8 data-engineering applications with 5 replies against 9 data-science applications with 1 reply and 8 rejections — the weak segment is identified, the stronger one proposed, and an invented segment is rejected.</w:t>
      </w:r>
    </w:p>
    <w:p>
      <w:pPr>
        <w:pStyle w:val="FigureImage"/>
        <w:keepNext/>
        <w:keepLines/>
      </w:pPr>
      <w:r>
        <w:drawing>
          <wp:inline xmlns:a="http://schemas.openxmlformats.org/drawingml/2006/main" xmlns:pic="http://schemas.openxmlformats.org/drawingml/2006/picture">
            <wp:extent cx="5733288" cy="2494532"/>
            <wp:docPr id="12" name="Picture 12"/>
            <wp:cNvGraphicFramePr>
              <a:graphicFrameLocks noChangeAspect="1"/>
            </wp:cNvGraphicFramePr>
            <a:graphic>
              <a:graphicData uri="http://schemas.openxmlformats.org/drawingml/2006/picture">
                <pic:pic>
                  <pic:nvPicPr>
                    <pic:cNvPr id="0" name="fdd-09b-segments.png"/>
                    <pic:cNvPicPr/>
                  </pic:nvPicPr>
                  <pic:blipFill>
                    <a:blip r:embed="rId22"/>
                    <a:stretch>
                      <a:fillRect/>
                    </a:stretch>
                  </pic:blipFill>
                  <pic:spPr>
                    <a:xfrm>
                      <a:off x="0" y="0"/>
                      <a:ext cx="5733288" cy="2494532"/>
                    </a:xfrm>
                    <a:prstGeom prst="rect"/>
                  </pic:spPr>
                </pic:pic>
              </a:graphicData>
            </a:graphic>
          </wp:inline>
        </w:drawing>
      </w:r>
    </w:p>
    <w:p>
      <w:pPr>
        <w:pStyle w:val="FigureCaption"/>
        <w:keepLines/>
        <w:ind w:right="504"/>
      </w:pPr>
      <w:r>
        <w:rPr>
          <w:b/>
          <w:color w:val="6D54D8"/>
        </w:rPr>
        <w:t xml:space="preserve">Figure 11. </w:t>
      </w:r>
      <w:r>
        <w:rPr>
          <w:color w:val="6B7280"/>
        </w:rPr>
        <w:t>The verified example. Five of eight against one of nine is a wide gap and drives the advice, but at seventeen applications the intervals still overlap.</w:t>
      </w:r>
    </w:p>
    <w:p>
      <w:pPr>
        <w:pStyle w:val="Heading2"/>
      </w:pPr>
      <w:r>
        <w:rPr/>
        <w:t>9.4 Monitoring (FR-401–FR-403)</w:t>
      </w:r>
    </w:p>
    <w:p>
      <w:r>
        <w:rPr/>
        <w:t xml:space="preserve">Watched companies are rechecked on a configurable interval across five channels — careers pages, ATS boards, news, hiring signals and filings — for anything new. Matching vacancies are scored and added to the ranked list automatically, and duplicate notifications are suppressed. Timing windows are recomputed as signals age. A weekly digest carries new opportunities, replies, follow-ups due, watchlist changes and </w:t>
      </w:r>
      <w:r>
        <w:rPr>
          <w:b/>
        </w:rPr>
        <w:t>one</w:t>
      </w:r>
      <w:r>
        <w:rPr/>
        <w:t xml:space="preserve"> recommended next action, chosen by a priority ladder rather than a list the reader has to triage.</w:t>
      </w:r>
    </w:p>
    <w:p>
      <w:r>
        <w:rPr/>
        <w:t xml:space="preserve">The scheduler that runs all of this — reply and bounce polling, watchlist rechecks, automatic company enrichment, follow-ups, outcome learning, the digest, contact retention and log redaction — </w:t>
      </w:r>
      <w:r>
        <w:rPr>
          <w:b/>
        </w:rPr>
        <w:t>autostarts inside the API process at boot</w:t>
      </w:r>
      <w:r>
        <w:rPr/>
        <w:t xml:space="preserve"> rather than waiting for a cron entry, and can be stopped, started or triggered per task from the monitoring screen. It also raises a readiness notification once enough outcomes have accumulated for the redirection analysis to be worth reading.</w:t>
      </w:r>
    </w:p>
    <w:p>
      <w:pPr>
        <w:pStyle w:val="Heading1"/>
        <w:pBdr>
          <w:bottom w:val="single" w:sz="8" w:space="6" w:color="6D54D8"/>
        </w:pBdr>
      </w:pPr>
      <w:r>
        <w:rPr/>
        <w:t>10. Dream-job intelligence (FR-381–FR-384, FR-443, FR-444)</w:t>
      </w:r>
    </w:p>
    <w:p>
      <w:pPr>
        <w:pStyle w:val="DJBullet"/>
        <w:keepNext/>
      </w:pPr>
      <w:r>
        <w:rPr>
          <w:b/>
          <w:color w:val="6D54D8"/>
        </w:rPr>
        <w:t>•</w:t>
        <w:tab/>
      </w:r>
      <w:r>
        <w:rPr>
          <w:b/>
        </w:rPr>
        <w:t>Gap analysis (FR-381).</w:t>
      </w:r>
      <w:r>
        <w:rPr/>
        <w:t xml:space="preserve"> What separates the composite profile from the dream job model — skills, experience, certifications, languages, leadership scope, visibility. Each gap names a concrete closing action, an estimated effort, and </w:t>
      </w:r>
      <w:r>
        <w:rPr>
          <w:b/>
        </w:rPr>
        <w:t>the opportunities where that gap was decisive</w:t>
      </w:r>
      <w:r>
        <w:rPr/>
        <w:t>, computed from which opportunities lost points on that dimension rather than asserted.</w:t>
      </w:r>
    </w:p>
    <w:p>
      <w:pPr>
        <w:pStyle w:val="DJBullet"/>
      </w:pPr>
      <w:r>
        <w:rPr>
          <w:b/>
          <w:color w:val="6D54D8"/>
        </w:rPr>
        <w:t>•</w:t>
        <w:tab/>
      </w:r>
      <w:r>
        <w:rPr>
          <w:b/>
        </w:rPr>
        <w:t>Stepping stones (FR-382).</w:t>
      </w:r>
      <w:r>
        <w:rPr/>
        <w:t xml:space="preserve"> When nothing clears the dream-job threshold, two or three sequences of intermediate roles reachable now that plausibly lead there. Opportunities are taggable </w:t>
      </w:r>
      <w:r>
        <w:rPr>
          <w:i/>
        </w:rPr>
        <w:t>destination</w:t>
      </w:r>
      <w:r>
        <w:rPr/>
        <w:t xml:space="preserve"> or </w:t>
      </w:r>
      <w:r>
        <w:rPr>
          <w:i/>
        </w:rPr>
        <w:t>stepping stone</w:t>
      </w:r>
      <w:r>
        <w:rPr/>
        <w:t>.</w:t>
      </w:r>
    </w:p>
    <w:p>
      <w:pPr>
        <w:pStyle w:val="DJBullet"/>
      </w:pPr>
      <w:r>
        <w:rPr>
          <w:b/>
          <w:color w:val="6D54D8"/>
        </w:rPr>
        <w:t>•</w:t>
        <w:tab/>
      </w:r>
      <w:r>
        <w:rPr>
          <w:b/>
        </w:rPr>
        <w:t>Values match (FR-384).</w:t>
      </w:r>
      <w:r>
        <w:rPr/>
        <w:t xml:space="preserve"> The company's derived values against those in the dream-job statement, with mismatches surfaced as explicit warnings on the company profile and in the motivation document.</w:t>
      </w:r>
    </w:p>
    <w:p>
      <w:pPr>
        <w:pStyle w:val="DJBullet"/>
      </w:pPr>
      <w:r>
        <w:rPr>
          <w:b/>
          <w:color w:val="6D54D8"/>
        </w:rPr>
        <w:t>•</w:t>
        <w:tab/>
      </w:r>
      <w:r>
        <w:rPr>
          <w:b/>
        </w:rPr>
        <w:t>LinkedIn suggestions (FR-443).</w:t>
      </w:r>
      <w:r>
        <w:rPr/>
        <w:t xml:space="preserve"> Headline, About, skills, keywords — with the keyword advice grounded in term frequency across the actual collected vacancies, not generic advice. Presented as editable text; the system never modifies LinkedIn.</w:t>
      </w:r>
    </w:p>
    <w:p>
      <w:pPr>
        <w:pStyle w:val="DJBullet"/>
      </w:pPr>
      <w:r>
        <w:rPr>
          <w:b/>
          <w:color w:val="6D54D8"/>
        </w:rPr>
        <w:t>•</w:t>
        <w:tab/>
      </w:r>
      <w:r>
        <w:rPr>
          <w:b/>
        </w:rPr>
        <w:t>Negotiation brief (FR-444).</w:t>
      </w:r>
      <w:r>
        <w:rPr/>
        <w:t xml:space="preserve"> Ability-to-pay, personnel cost per FTE, market data and the job seeker's own directives, into a suggested ask with arguments and fallbacks.</w:t>
      </w:r>
    </w:p>
    <w:p>
      <w:pPr>
        <w:pStyle w:val="DJBullet"/>
        <w:spacing w:after="140"/>
      </w:pPr>
      <w:r>
        <w:rPr>
          <w:b/>
          <w:color w:val="6D54D8"/>
        </w:rPr>
        <w:t>•</w:t>
        <w:tab/>
      </w:r>
      <w:r>
        <w:rPr>
          <w:b/>
        </w:rPr>
        <w:t>Event and community radar (FR-462).</w:t>
      </w:r>
      <w:r>
        <w:rPr/>
        <w:t xml:space="preserve"> Conferences, meet-ups and community events relevant to the dream job, ranked by reachability against the stated travel tolerance and by the companies and people attending; the events a job seeker marks interested are exported to their calendar and carried into the campaign export.</w:t>
      </w:r>
    </w:p>
    <w:p>
      <w:pPr>
        <w:pStyle w:val="Heading1"/>
        <w:pBdr>
          <w:bottom w:val="single" w:sz="8" w:space="6" w:color="6D54D8"/>
        </w:pBdr>
      </w:pPr>
      <w:r>
        <w:rPr/>
        <w:t>11. Isolation, administration and export</w:t>
      </w:r>
    </w:p>
    <w:p>
      <w:pPr>
        <w:keepNext/>
      </w:pPr>
      <w:r>
        <w:rPr>
          <w:b/>
        </w:rPr>
        <w:t>Isolation (FR-101, FR-344).</w:t>
      </w:r>
      <w:r>
        <w:rPr/>
        <w:t xml:space="preserve"> Private tables carry a job-seeker id and every query filters on it; the shared knowledge base carries </w:t>
      </w:r>
      <w:r>
        <w:rPr>
          <w:b/>
        </w:rPr>
        <w:t>no link back</w:t>
      </w:r>
      <w:r>
        <w:rPr/>
        <w:t xml:space="preserve"> to the job seeker whose campaign produced them, so erasing a seeker leaves the market data standing. The division is maintained by the schema itself: today 49 tables are seeker-scoped and 37 are shared, with </w:t>
      </w:r>
      <w:r>
        <w:rPr>
          <w:rStyle w:val="CodeInline"/>
        </w:rPr>
        <w:t>contact</w:t>
      </w:r>
      <w:r>
        <w:rPr/>
        <w:t xml:space="preserve"> the one restricted table that straddles the boundary depending on how the row was collected.</w:t>
      </w:r>
    </w:p>
    <w:p>
      <w:pPr>
        <w:spacing w:after="40"/>
      </w:pPr>
    </w:p>
    <w:tbl>
      <w:tblPr>
        <w:tblStyle w:val="TableGrid"/>
        <w:tblW w:type="auto" w:w="0"/>
        <w:jc w:val="left"/>
        <w:tblLayout w:type="fixed"/>
        <w:tblLook w:firstColumn="1" w:firstRow="1" w:lastColumn="0" w:lastRow="0" w:noHBand="0" w:noVBand="1" w:val="04A0"/>
        <w:tblLayout w:type="fixed"/>
        <w:tblCellMar>
          <w:top w:w="120" w:type="dxa"/>
          <w:start w:w="170" w:type="dxa"/>
          <w:bottom w:w="120" w:type="dxa"/>
          <w:end w:w="170" w:type="dxa"/>
        </w:tblCellMar>
      </w:tblPr>
      <w:tblGrid>
        <w:gridCol w:w="9029"/>
      </w:tblGrid>
      <w:tr>
        <w:trPr>
          <w:cantSplit w:val="true"/>
        </w:trPr>
        <w:tc>
          <w:tcPr>
            <w:tcW w:type="dxa" w:w="9029"/>
            <w:shd w:val="clear" w:color="auto" w:fill="FDF4E6"/>
            <w:tcBorders>
              <w:top w:val="single" w:sz="4" w:space="0" w:color="FDF4E6"/>
              <w:left w:val="single" w:sz="30" w:space="0" w:color="9F6011"/>
              <w:bottom w:val="single" w:sz="4" w:space="0" w:color="FDF4E6"/>
              <w:right w:val="single" w:sz="4" w:space="0" w:color="FDF4E6"/>
            </w:tcBorders>
          </w:tcPr>
          <w:p>
            <w:pPr>
              <w:pStyle w:val="DJCallout"/>
            </w:pPr>
            <w:r>
              <w:rPr>
                <w:b/>
                <w:color w:val="9F6011"/>
              </w:rPr>
              <w:t xml:space="preserve">Open item.  </w:t>
            </w:r>
            <w:r>
              <w:rPr/>
              <w:t>An administrator is itself a job seeker row and can read any campaign dashboard and the AI call log, including other job seekers' prompt text. Correct when the operator is the sole data controller; it needs a policy decision before a shared installation. Recorded in the DPIA.</w:t>
            </w:r>
          </w:p>
        </w:tc>
      </w:tr>
    </w:tbl>
    <w:p>
      <w:pPr>
        <w:spacing w:after="80"/>
      </w:pPr>
    </w:p>
    <w:p>
      <w:r>
        <w:rPr>
          <w:b/>
        </w:rPr>
        <w:t>Administration (FR-361–FR-364).</w:t>
      </w:r>
      <w:r>
        <w:rPr/>
        <w:t xml:space="preserve"> Campaign dashboard with per-source records, errors, token consumption and cost; model selection, budgets, task routing and prompt templates; adapter enable/disable with the IR-101 acknowledgement flow; and the AI call log with a scheduled redaction sweep.</w:t>
      </w:r>
    </w:p>
    <w:p>
      <w:r>
        <w:rPr/>
        <w:t xml:space="preserve">Administration also owns the </w:t>
      </w:r>
      <w:r>
        <w:rPr>
          <w:b/>
        </w:rPr>
        <w:t>accounts</w:t>
      </w:r>
      <w:r>
        <w:rPr/>
        <w:t xml:space="preserve"> (FR-108). The first account becomes the administrator; from there an operator can create a user, change roles, suspend or re-enable an account, force a password reset, revoke sessions, or delete a user outright. Two guards are structural: an administrator cannot remove or suspend themselves, and the last active administrator cannot be removed — so an installation cannot be locked out of its own administration. A deleted account's sessions are purged with it.</w:t>
      </w:r>
    </w:p>
    <w:p>
      <w:r>
        <w:rPr>
          <w:b/>
        </w:rPr>
        <w:t>Observability (NFR-701, NFR-702).</w:t>
      </w:r>
      <w:r>
        <w:rPr/>
        <w:t xml:space="preserve"> An append-only audit trail records who approved and sent what and which document versions were used; application, request, database, frontend and audit logs are separate channels, every line carries a correlation id that is also returned in the </w:t>
      </w:r>
      <w:r>
        <w:rPr>
          <w:rStyle w:val="CodeInline"/>
        </w:rPr>
        <w:t>X-Correlation-ID</w:t>
      </w:r>
      <w:r>
        <w:rPr/>
        <w:t xml:space="preserve"> response header, and a redaction filter removes secrets and message bodies on the way in.</w:t>
      </w:r>
    </w:p>
    <w:p>
      <w:r>
        <w:rPr>
          <w:b/>
        </w:rPr>
        <w:t>Erasure and export (FR-108, NFR-301).</w:t>
      </w:r>
      <w:r>
        <w:rPr/>
        <w:t xml:space="preserve"> Deleting a job seeker removes every private row and every file on disk while leaving shared market data intact. The table list is </w:t>
      </w:r>
      <w:r>
        <w:rPr>
          <w:b/>
        </w:rPr>
        <w:t>derived from the live schema</w:t>
      </w:r>
      <w:r>
        <w:rPr/>
        <w:t>, so a table added by a later migration cannot be silently missed. Full data export is one call. At rest, the seeker's credentials, secrets, sealed profile sections and package generation notes are encrypted with a key derived for that account alone, so leftover ciphertext is unreadable after deletion.</w:t>
      </w:r>
    </w:p>
    <w:p>
      <w:r>
        <w:rPr>
          <w:b/>
        </w:rPr>
        <w:t>Campaign export (FR-463).</w:t>
      </w:r>
      <w:r>
        <w:rPr/>
        <w:t xml:space="preserve"> One ZIP holding a PDF bundle, a machine-readable JSON package and the generated documents — ranked list, company profiles with five-year financials and signals, dream-job intelligence (gap analysis, stepping stones, values warnings), contacts and introduction paths, the full application history, and the events marked interesting. Do-not-disclose fields are redacted, discretion-mode companies are excluded, and an isolation check walks the payload and refuses to write it if any other job seeker's id is reachable.</w:t>
      </w:r>
    </w:p>
    <w:p>
      <w:pPr>
        <w:pStyle w:val="Heading1"/>
        <w:pBdr>
          <w:bottom w:val="single" w:sz="8" w:space="6" w:color="6D54D8"/>
        </w:pBdr>
      </w:pPr>
      <w:r>
        <w:rPr/>
        <w:t>12. Requirement traceability</w:t>
      </w:r>
    </w:p>
    <w:p>
      <w:pPr>
        <w:keepNext/>
      </w:pPr>
      <w:r>
        <w:rPr>
          <w:b/>
        </w:rPr>
        <w:t>156 of 157 requirements (99%) are cited in the implementation</w:t>
      </w:r>
      <w:r>
        <w:rPr/>
        <w:t>: 103 of 104 Must, 44 of 44 Should, 9 of 9 Could. The full matrix — requirement to file — is generated from the source and reproduced in the Technical Architecture, §11.</w:t>
      </w:r>
    </w:p>
    <w:p>
      <w:pPr>
        <w:pStyle w:val="FigureImage"/>
        <w:keepNext/>
        <w:keepLines/>
      </w:pPr>
      <w:r>
        <w:drawing>
          <wp:inline xmlns:a="http://schemas.openxmlformats.org/drawingml/2006/main" xmlns:pic="http://schemas.openxmlformats.org/drawingml/2006/picture">
            <wp:extent cx="5733288" cy="2310429"/>
            <wp:docPr id="13" name="Picture 13"/>
            <wp:cNvGraphicFramePr>
              <a:graphicFrameLocks noChangeAspect="1"/>
            </wp:cNvGraphicFramePr>
            <a:graphic>
              <a:graphicData uri="http://schemas.openxmlformats.org/drawingml/2006/picture">
                <pic:pic>
                  <pic:nvPicPr>
                    <pic:cNvPr id="0" name="fdd-11-coverage.png"/>
                    <pic:cNvPicPr/>
                  </pic:nvPicPr>
                  <pic:blipFill>
                    <a:blip r:embed="rId23"/>
                    <a:stretch>
                      <a:fillRect/>
                    </a:stretch>
                  </pic:blipFill>
                  <pic:spPr>
                    <a:xfrm>
                      <a:off x="0" y="0"/>
                      <a:ext cx="5733288" cy="2310429"/>
                    </a:xfrm>
                    <a:prstGeom prst="rect"/>
                  </pic:spPr>
                </pic:pic>
              </a:graphicData>
            </a:graphic>
          </wp:inline>
        </w:drawing>
      </w:r>
    </w:p>
    <w:p>
      <w:pPr>
        <w:pStyle w:val="FigureCaption"/>
        <w:keepLines/>
        <w:ind w:right="504"/>
      </w:pPr>
      <w:r>
        <w:rPr>
          <w:b/>
          <w:color w:val="6D54D8"/>
        </w:rPr>
        <w:t xml:space="preserve">Figure 12. </w:t>
      </w:r>
      <w:r>
        <w:rPr>
          <w:color w:val="6B7280"/>
        </w:rPr>
        <w:t>Requirement coverage by MoSCoW priority. One requirement is not cited in code, and it is the DPIA itself — a document, not a code path.</w:t>
      </w:r>
    </w:p>
    <w:p>
      <w:r>
        <w:rPr/>
        <w:t>The one requirement not cited in code is, by nature:</w:t>
      </w:r>
    </w:p>
    <w:tbl>
      <w:tblPr>
        <w:tblStyle w:val="TableGrid"/>
        <w:tblW w:type="auto" w:w="0"/>
        <w:jc w:val="left"/>
        <w:tblLayout w:type="fixed"/>
        <w:tblLook w:firstColumn="1" w:firstRow="1" w:lastColumn="0" w:lastRow="0" w:noHBand="0" w:noVBand="1" w:val="04A0"/>
        <w:tblLayout w:type="fixed"/>
        <w:tblCellMar>
          <w:top w:w="60" w:type="dxa"/>
          <w:start w:w="110" w:type="dxa"/>
          <w:bottom w:w="60" w:type="dxa"/>
          <w:end w:w="110" w:type="dxa"/>
        </w:tblCellMar>
      </w:tblPr>
      <w:tblGrid>
        <w:gridCol w:w="1151"/>
        <w:gridCol w:w="3699"/>
        <w:gridCol w:w="4179"/>
      </w:tblGrid>
      <w:tr>
        <w:trPr>
          <w:tblHeader w:val="true"/>
          <w:cantSplit w:val="true"/>
        </w:trPr>
        <w:tc>
          <w:tcPr>
            <w:tcW w:type="dxa" w:w="1151"/>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Id</w:t>
            </w:r>
          </w:p>
        </w:tc>
        <w:tc>
          <w:tcPr>
            <w:tcW w:type="dxa" w:w="3699"/>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Requirement</w:t>
            </w:r>
          </w:p>
        </w:tc>
        <w:tc>
          <w:tcPr>
            <w:tcW w:type="dxa" w:w="4179"/>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Why</w:t>
            </w:r>
          </w:p>
        </w:tc>
      </w:tr>
      <w:tr>
        <w:trPr>
          <w:cantSplit w:val="true"/>
        </w:trPr>
        <w:tc>
          <w:tcPr>
            <w:tcW w:type="dxa" w:w="1151"/>
            <w:vAlign w:val="center"/>
            <w:tcBorders>
              <w:top w:val="single" w:sz="4" w:space="0" w:color="D5D8DF"/>
              <w:left w:val="single" w:sz="4" w:space="0" w:color="D5D8DF"/>
              <w:bottom w:val="single" w:sz="4" w:space="0" w:color="D5D8DF"/>
              <w:right w:val="single" w:sz="4" w:space="0" w:color="D5D8DF"/>
            </w:tcBorders>
          </w:tcPr>
          <w:p>
            <w:pPr>
              <w:pStyle w:val="DJTableText"/>
            </w:pPr>
            <w:r>
              <w:rPr/>
              <w:t>NFR-304</w:t>
            </w:r>
          </w:p>
        </w:tc>
        <w:tc>
          <w:tcPr>
            <w:tcW w:type="dxa" w:w="3699"/>
            <w:vAlign w:val="center"/>
            <w:tcBorders>
              <w:top w:val="single" w:sz="4" w:space="0" w:color="D5D8DF"/>
              <w:left w:val="single" w:sz="4" w:space="0" w:color="D5D8DF"/>
              <w:bottom w:val="single" w:sz="4" w:space="0" w:color="D5D8DF"/>
              <w:right w:val="single" w:sz="4" w:space="0" w:color="D5D8DF"/>
            </w:tcBorders>
          </w:tcPr>
          <w:p>
            <w:pPr>
              <w:pStyle w:val="DJTableText"/>
            </w:pPr>
            <w:r>
              <w:rPr/>
              <w:t>A DPIA shall be produced before production use</w:t>
            </w:r>
          </w:p>
        </w:tc>
        <w:tc>
          <w:tcPr>
            <w:tcW w:type="dxa" w:w="4179"/>
            <w:vAlign w:val="center"/>
            <w:tcBorders>
              <w:top w:val="single" w:sz="4" w:space="0" w:color="D5D8DF"/>
              <w:left w:val="single" w:sz="4" w:space="0" w:color="D5D8DF"/>
              <w:bottom w:val="single" w:sz="4" w:space="0" w:color="D5D8DF"/>
              <w:right w:val="single" w:sz="4" w:space="0" w:color="D5D8DF"/>
            </w:tcBorders>
          </w:tcPr>
          <w:p>
            <w:pPr>
              <w:pStyle w:val="DJTableText"/>
            </w:pPr>
            <w:r>
              <w:rPr/>
              <w:t xml:space="preserve">A document, delivered as </w:t>
            </w:r>
            <w:r>
              <w:rPr>
                <w:rStyle w:val="DocLink"/>
              </w:rPr>
              <w:t>DPIA.md</w:t>
            </w:r>
            <w:r>
              <w:rPr/>
              <w:t xml:space="preserve"> rather than a code path</w:t>
            </w:r>
          </w:p>
        </w:tc>
      </w:tr>
    </w:tbl>
    <w:p>
      <w:pPr>
        <w:spacing w:after="40"/>
      </w:pPr>
    </w:p>
    <w:p>
      <w:r>
        <w:rPr/>
        <w:t>NFR-103 (a campaign completes its non-browser stages within four hours) and NFR-503 (usable on a laptop, tablet-acceptable) were previously listed here as uncited; both are now cited — the performance target in the collection code and the responsive layout in the stylesheets that the matrix scans.</w:t>
      </w:r>
    </w:p>
    <w:p>
      <w:pPr>
        <w:pStyle w:val="Heading2"/>
      </w:pPr>
      <w:r>
        <w:rPr/>
        <w:t>Known limitations</w:t>
      </w:r>
    </w:p>
    <w:p>
      <w:r>
        <w:rPr/>
        <w:t>Carried forward honestly rather than closed:</w:t>
      </w:r>
    </w:p>
    <w:p>
      <w:pPr>
        <w:pStyle w:val="DJBullet"/>
      </w:pPr>
      <w:r>
        <w:rPr>
          <w:b/>
          <w:color w:val="6D54D8"/>
        </w:rPr>
        <w:t>•</w:t>
        <w:tab/>
      </w:r>
      <w:r>
        <w:rPr>
          <w:b/>
        </w:rPr>
        <w:t>Passkeys (NFR-202)</w:t>
      </w:r>
      <w:r>
        <w:rPr/>
        <w:t xml:space="preserve"> are not implemented; the requirement's "strong passwords with MFA" branch is. MFA is opt-in per account, and a placeholder WebAuthn column exists in the schema but no code path uses it.</w:t>
      </w:r>
    </w:p>
    <w:p>
      <w:pPr>
        <w:pStyle w:val="DJBullet"/>
      </w:pPr>
      <w:r>
        <w:rPr>
          <w:b/>
          <w:color w:val="6D54D8"/>
        </w:rPr>
        <w:t>•</w:t>
        <w:tab/>
      </w:r>
      <w:r>
        <w:rPr>
          <w:b/>
        </w:rPr>
        <w:t>Database-level encryption (NFR-201)</w:t>
      </w:r>
      <w:r>
        <w:rPr/>
        <w:t xml:space="preserve"> is partial. Credentials, secrets, the sealed profile sections and package generation notes are encrypted with per-job-seeker keys; the SQLite file itself relies on disk-level encryption. SQLCipher would add a dependency.</w:t>
      </w:r>
    </w:p>
    <w:p>
      <w:pPr>
        <w:pStyle w:val="DJBullet"/>
      </w:pPr>
      <w:r>
        <w:rPr>
          <w:b/>
          <w:color w:val="6D54D8"/>
        </w:rPr>
        <w:t>•</w:t>
        <w:tab/>
      </w:r>
      <w:r>
        <w:rPr>
          <w:b/>
        </w:rPr>
        <w:t>France and Germany</w:t>
      </w:r>
      <w:r>
        <w:rPr/>
        <w:t xml:space="preserve"> have no financial-registry adapter (§7.3); companies in those jurisdictions take the FR-245 estimated path.</w:t>
      </w:r>
    </w:p>
    <w:p>
      <w:pPr>
        <w:pStyle w:val="DJBullet"/>
      </w:pPr>
      <w:r>
        <w:rPr>
          <w:b/>
          <w:color w:val="6D54D8"/>
        </w:rPr>
        <w:t>•</w:t>
        <w:tab/>
      </w:r>
      <w:r>
        <w:rPr>
          <w:b/>
        </w:rPr>
        <w:t>Employer-kind enforcement is partly wired.</w:t>
      </w:r>
      <w:r>
        <w:rPr/>
        <w:t xml:space="preserve"> Scoring refuses to score an intermediary's company dimensions and labels an undisclosed employer, but the company-profiling, financial and speculative passes do not yet skip an agency outright, so an agency can still consume profiling budget. Recorded in </w:t>
      </w:r>
      <w:r>
        <w:rPr>
          <w:rStyle w:val="CodeInline"/>
        </w:rPr>
        <w:t>Employer_Kind_Results.md</w:t>
      </w:r>
      <w:r>
        <w:rPr/>
        <w:t>.</w:t>
      </w:r>
    </w:p>
    <w:p>
      <w:pPr>
        <w:pStyle w:val="DJBullet"/>
      </w:pPr>
      <w:r>
        <w:rPr>
          <w:b/>
          <w:color w:val="6D54D8"/>
        </w:rPr>
        <w:t>•</w:t>
        <w:tab/>
      </w:r>
      <w:r>
        <w:rPr>
          <w:b/>
        </w:rPr>
        <w:t>Semantic search is built but not consumed.</w:t>
      </w:r>
      <w:r>
        <w:rPr/>
        <w:t xml:space="preserve"> The embedding table, backfill script and cosine query exist; nothing in scoring or the API reads them yet.</w:t>
      </w:r>
    </w:p>
    <w:p>
      <w:pPr>
        <w:pStyle w:val="DJBullet"/>
      </w:pPr>
      <w:r>
        <w:rPr>
          <w:b/>
          <w:color w:val="6D54D8"/>
        </w:rPr>
        <w:t>•</w:t>
        <w:tab/>
      </w:r>
      <w:r>
        <w:rPr>
          <w:b/>
        </w:rPr>
        <w:t>Microsoft 365 mail</w:t>
      </w:r>
      <w:r>
        <w:rPr/>
        <w:t xml:space="preserve"> is not implemented, and the Microsoft 365 </w:t>
      </w:r>
      <w:r>
        <w:rPr>
          <w:b/>
        </w:rPr>
        <w:t>calendar Graph client is implemented but not connectable</w:t>
      </w:r>
      <w:r>
        <w:rPr/>
        <w:t xml:space="preserve"> because its OAuth exchange is not exposed. Gmail and Google Calendar are wired end to end.</w:t>
      </w:r>
    </w:p>
    <w:p>
      <w:pPr>
        <w:pStyle w:val="DJBullet"/>
      </w:pPr>
      <w:r>
        <w:rPr>
          <w:b/>
          <w:color w:val="6D54D8"/>
        </w:rPr>
        <w:t>•</w:t>
        <w:tab/>
      </w:r>
      <w:r>
        <w:rPr>
          <w:b/>
        </w:rPr>
        <w:t>Bulk register and board importers are operator scripts</w:t>
      </w:r>
      <w:r>
        <w:rPr/>
        <w:t>, run by hand rather than on the scheduler, so the company inventory widens when an operator runs them.</w:t>
      </w:r>
    </w:p>
    <w:p>
      <w:pPr>
        <w:pStyle w:val="DJBullet"/>
        <w:spacing w:after="140"/>
      </w:pPr>
      <w:r>
        <w:rPr>
          <w:b/>
          <w:color w:val="6D54D8"/>
        </w:rPr>
        <w:t>•</w:t>
        <w:tab/>
      </w:r>
      <w:r>
        <w:rPr>
          <w:b/>
        </w:rPr>
        <w:t>DuckDuckGo search</w:t>
      </w:r>
      <w:r>
        <w:rPr/>
        <w:t xml:space="preserve"> returns a bot-check page from datacentre ranges, so FR-122 degrades to declared and handle-derived URLs in such an environment.</w:t>
      </w:r>
    </w:p>
    <w:p>
      <w:pPr>
        <w:pStyle w:val="Heading1"/>
        <w:pBdr>
          <w:bottom w:val="single" w:sz="8" w:space="6" w:color="6D54D8"/>
        </w:pBdr>
      </w:pPr>
      <w:r>
        <w:rPr/>
        <w:t>13. Acceptance criteria status</w:t>
      </w:r>
    </w:p>
    <w:tbl>
      <w:tblPr>
        <w:tblStyle w:val="TableGrid"/>
        <w:tblW w:type="auto" w:w="0"/>
        <w:jc w:val="left"/>
        <w:tblLayout w:type="fixed"/>
        <w:tblLook w:firstColumn="1" w:firstRow="1" w:lastColumn="0" w:lastRow="0" w:noHBand="0" w:noVBand="1" w:val="04A0"/>
        <w:tblLayout w:type="fixed"/>
        <w:tblCellMar>
          <w:top w:w="60" w:type="dxa"/>
          <w:start w:w="110" w:type="dxa"/>
          <w:bottom w:w="60" w:type="dxa"/>
          <w:end w:w="110" w:type="dxa"/>
        </w:tblCellMar>
      </w:tblPr>
      <w:tblGrid>
        <w:gridCol w:w="4514"/>
        <w:gridCol w:w="4514"/>
      </w:tblGrid>
      <w:tr>
        <w:trPr>
          <w:tblHeader w:val="true"/>
          <w:cantSplit w:val="true"/>
        </w:trPr>
        <w:tc>
          <w:tcPr>
            <w:tcW w:type="dxa" w:w="4514"/>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SRS §8 scenario</w:t>
            </w:r>
          </w:p>
        </w:tc>
        <w:tc>
          <w:tcPr>
            <w:tcW w:type="dxa" w:w="4514"/>
            <w:shd w:val="clear" w:color="auto" w:fill="EEF0F5"/>
            <w:vAlign w:val="center"/>
            <w:tcBorders>
              <w:top w:val="single" w:sz="4" w:space="0" w:color="D5D8DF"/>
              <w:left w:val="single" w:sz="4" w:space="0" w:color="D5D8DF"/>
              <w:bottom w:val="single" w:sz="12" w:space="0" w:color="6D54D8"/>
              <w:right w:val="single" w:sz="4" w:space="0" w:color="D5D8DF"/>
            </w:tcBorders>
          </w:tcPr>
          <w:p>
            <w:pPr>
              <w:pStyle w:val="DJTableHead"/>
            </w:pPr>
            <w:r>
              <w:rPr/>
              <w:t>Status</w:t>
            </w:r>
          </w:p>
        </w:tc>
      </w:tr>
      <w:tr>
        <w:trPr>
          <w:cantSplit w:val="true"/>
        </w:trPr>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Import LinkedIn PDF and CV, resolve conflicts, obtain composite profile and dream job model</w:t>
            </w:r>
          </w:p>
        </w:tc>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b/>
              </w:rPr>
              <w:t>Verified on the real documents</w:t>
            </w:r>
            <w:r>
              <w:rPr/>
              <w:t xml:space="preserve"> — 18 conflicts surfaced, photo extracted, model confirmed</w:t>
            </w:r>
          </w:p>
        </w:tc>
      </w:tr>
      <w:tr>
        <w:trPr>
          <w:cantSplit w:val="true"/>
        </w:trPr>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Planted homonym presented for confirmation, never merged once rejected</w:t>
            </w:r>
          </w:p>
        </w:tc>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Implemented; permanent rejection enforced</w:t>
            </w:r>
          </w:p>
        </w:tc>
      </w:tr>
      <w:tr>
        <w:trPr>
          <w:cantSplit w:val="true"/>
        </w:trPr>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Directives through structured controls, plan reviewed, source excluded, launch</w:t>
            </w:r>
          </w:p>
        </w:tc>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Implemented</w:t>
            </w:r>
          </w:p>
        </w:tc>
      </w:tr>
      <w:tr>
        <w:trPr>
          <w:cantSplit w:val="true"/>
        </w:trPr>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Scope-capped LinkedIn run, duration within ±25%, stops on challenge</w:t>
            </w:r>
          </w:p>
        </w:tc>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 xml:space="preserve">Implemented; </w:t>
            </w:r>
            <w:r>
              <w:rPr>
                <w:b/>
              </w:rPr>
              <w:t>not exercised against live LinkedIn</w:t>
            </w:r>
          </w:p>
        </w:tc>
      </w:tr>
      <w:tr>
        <w:trPr>
          <w:cantSplit w:val="true"/>
        </w:trPr>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20 companies with profiles, five-year financials, 3 competitors, 2 speculative openings each</w:t>
            </w:r>
          </w:p>
        </w:tc>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Implemented; keyed registries degrade without credentials, and register lookups distinguish "no match" from "unavailable"</w:t>
            </w:r>
          </w:p>
        </w:tc>
      </w:tr>
      <w:tr>
        <w:trPr>
          <w:cantSplit w:val="true"/>
        </w:trPr>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Interim agency classified before its company is profiled; undisclosed employer labelled, not scored</w:t>
            </w:r>
          </w:p>
        </w:tc>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Implemented; enforcement partly wired (see §12)</w:t>
            </w:r>
          </w:p>
        </w:tc>
      </w:tr>
      <w:tr>
        <w:trPr>
          <w:cantSplit w:val="true"/>
        </w:trPr>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Ranked list with explainable scores; manual order survives recalculation</w:t>
            </w:r>
          </w:p>
        </w:tc>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Implemented and tested</w:t>
            </w:r>
          </w:p>
        </w:tc>
      </w:tr>
      <w:tr>
        <w:trPr>
          <w:cantSplit w:val="true"/>
        </w:trPr>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Five opportunities: contact, tailored CV, briefing, motivation, email, bulk approve, dispatch, bounce</w:t>
            </w:r>
          </w:p>
        </w:tc>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Implemented; dispatch needs the Resend key or Gmail OAuth</w:t>
            </w:r>
          </w:p>
        </w:tc>
      </w:tr>
      <w:tr>
        <w:trPr>
          <w:cantSplit w:val="true"/>
        </w:trPr>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ATS application form pre-filled, never submitted</w:t>
            </w:r>
          </w:p>
        </w:tc>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Implemented; browsed against the user's own session</w:t>
            </w:r>
          </w:p>
        </w:tc>
      </w:tr>
      <w:tr>
        <w:trPr>
          <w:cantSplit w:val="true"/>
        </w:trPr>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Second job seeker reuses profiles, sees no private data of the first</w:t>
            </w:r>
          </w:p>
        </w:tc>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Implemented and tested</w:t>
            </w:r>
          </w:p>
        </w:tc>
      </w:tr>
      <w:tr>
        <w:trPr>
          <w:cantSplit w:val="true"/>
        </w:trPr>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Gap analysis with 3 gaps, 2 stepping-stone paths, fit meter</w:t>
            </w:r>
          </w:p>
        </w:tc>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Implemented</w:t>
            </w:r>
          </w:p>
        </w:tc>
      </w:tr>
      <w:tr>
        <w:trPr>
          <w:cantSplit w:val="true"/>
        </w:trPr>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Discretion mode excludes employer, group entities and contacts everywhere</w:t>
            </w:r>
          </w:p>
        </w:tc>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Implemented</w:t>
            </w:r>
          </w:p>
        </w:tc>
      </w:tr>
      <w:tr>
        <w:trPr>
          <w:cantSplit w:val="true"/>
        </w:trPr>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Watchlist, injected vacancy, notification, digest</w:t>
            </w:r>
          </w:p>
        </w:tc>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Implemented; scheduler autostarts at boot</w:t>
            </w:r>
          </w:p>
        </w:tc>
      </w:tr>
      <w:tr>
        <w:trPr>
          <w:cantSplit w:val="true"/>
        </w:trPr>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Interview-invitation reply, calendar check, drafted confirmation, mock interview</w:t>
            </w:r>
          </w:p>
        </w:tc>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Implemented; Google Calendar needs OAuth credentials, Microsoft client not yet connectable</w:t>
            </w:r>
          </w:p>
        </w:tc>
      </w:tr>
      <w:tr>
        <w:trPr>
          <w:cantSplit w:val="true"/>
        </w:trPr>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Employer reviews read from the company's own pages and fed to attractiveness</w:t>
            </w:r>
          </w:p>
        </w:tc>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Implemented, advisory only</w:t>
            </w:r>
          </w:p>
        </w:tc>
      </w:tr>
      <w:tr>
        <w:trPr>
          <w:cantSplit w:val="true"/>
        </w:trPr>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Event and community radar with travel tolerance and calendar export</w:t>
            </w:r>
          </w:p>
        </w:tc>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Implemented</w:t>
            </w:r>
          </w:p>
        </w:tc>
      </w:tr>
      <w:tr>
        <w:trPr>
          <w:cantSplit w:val="true"/>
        </w:trPr>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Administrator creates, suspends, resets and deletes accounts; last admin protected</w:t>
            </w:r>
          </w:p>
        </w:tc>
        <w:tc>
          <w:tcPr>
            <w:tcW w:type="dxa" w:w="4514"/>
            <w:vAlign w:val="center"/>
            <w:tcBorders>
              <w:top w:val="single" w:sz="4" w:space="0" w:color="D5D8DF"/>
              <w:left w:val="single" w:sz="4" w:space="0" w:color="D5D8DF"/>
              <w:bottom w:val="single" w:sz="4" w:space="0" w:color="D5D8DF"/>
              <w:right w:val="single" w:sz="4" w:space="0" w:color="D5D8DF"/>
            </w:tcBorders>
          </w:tcPr>
          <w:p>
            <w:pPr>
              <w:pStyle w:val="DJTableText"/>
            </w:pPr>
            <w:r>
              <w:rPr/>
              <w:t>Implemented and tested</w:t>
            </w:r>
          </w:p>
        </w:tc>
      </w:tr>
      <w:tr>
        <w:trPr>
          <w:cantSplit w:val="true"/>
        </w:trPr>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Export bundle respects flags, contains no other job seeker's data</w:t>
            </w:r>
          </w:p>
        </w:tc>
        <w:tc>
          <w:tcPr>
            <w:tcW w:type="dxa" w:w="4514"/>
            <w:vAlign w:val="center"/>
            <w:shd w:val="clear" w:color="auto" w:fill="F7F8FA"/>
            <w:tcBorders>
              <w:top w:val="single" w:sz="4" w:space="0" w:color="D5D8DF"/>
              <w:left w:val="single" w:sz="4" w:space="0" w:color="D5D8DF"/>
              <w:bottom w:val="single" w:sz="4" w:space="0" w:color="D5D8DF"/>
              <w:right w:val="single" w:sz="4" w:space="0" w:color="D5D8DF"/>
            </w:tcBorders>
          </w:tcPr>
          <w:p>
            <w:pPr>
              <w:pStyle w:val="DJTableText"/>
            </w:pPr>
            <w:r>
              <w:rPr/>
              <w:t>Implemented and tested</w:t>
            </w:r>
          </w:p>
        </w:tc>
      </w:tr>
    </w:tbl>
    <w:p>
      <w:pPr>
        <w:spacing w:after="40"/>
      </w:pPr>
    </w:p>
    <w:p>
      <w:pPr>
        <w:pStyle w:val="DJColophon"/>
      </w:pPr>
      <w:r>
        <w:rPr>
          <w:i/>
        </w:rPr>
        <w:t xml:space="preserve">Companion documents: </w:t>
      </w:r>
      <w:r>
        <w:rPr>
          <w:rStyle w:val="DocLink"/>
          <w:i/>
        </w:rPr>
        <w:t>Technical Architecture</w:t>
      </w:r>
      <w:r>
        <w:rPr>
          <w:i/>
        </w:rPr>
        <w:t xml:space="preserve"> · </w:t>
      </w:r>
      <w:r>
        <w:rPr>
          <w:rStyle w:val="DocLink"/>
          <w:i/>
        </w:rPr>
        <w:t>DPIA</w:t>
      </w:r>
      <w:r>
        <w:rPr>
          <w:i/>
        </w:rPr>
        <w:t xml:space="preserve"> · </w:t>
      </w:r>
      <w:r>
        <w:rPr>
          <w:rStyle w:val="DocLink"/>
          <w:i/>
        </w:rPr>
        <w:t>README</w:t>
      </w:r>
    </w:p>
    <w:sectPr w:rsidR="00FC693F" w:rsidRPr="0006063C" w:rsidSect="00034616">
      <w:headerReference w:type="default" r:id="rId10"/>
      <w:footerReference w:type="default" r:id="rId11"/>
      <w:pgSz w:w="11909" w:h="16834"/>
      <w:pgMar w:top="1440" w:right="1440" w:bottom="1440" w:left="1440" w:header="864" w:footer="86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9" w:val="right"/>
      </w:tabs>
      <w:pBdr>
        <w:top w:val="single" w:sz="4" w:space="3" w:color="D5D8DF"/>
      </w:pBdr>
      <w:spacing w:before="80"/>
    </w:pPr>
    <w:r>
      <w:rPr>
        <w:rFonts w:ascii="Calibri" w:hAnsi="Calibri"/>
        <w:color w:val="6B7280"/>
        <w:sz w:val="17"/>
      </w:rPr>
    </w:r>
    <w:r>
      <w:rPr>
        <w:rFonts w:ascii="Calibri" w:hAnsi="Calibri"/>
        <w:color w:val="6B7280"/>
        <w:sz w:val="17"/>
      </w:rPr>
      <w:t>11 September 2026</w:t>
    </w:r>
    <w:r>
      <w:rPr>
        <w:rFonts w:ascii="Calibri" w:hAnsi="Calibri"/>
        <w:color w:val="6B7280"/>
        <w:sz w:val="17"/>
      </w:rPr>
      <w:tab/>
      <w:t xml:space="preserve">Page </w:t>
    </w:r>
    <w:r>
      <w:rPr>
        <w:rFonts w:ascii="Calibri" w:hAnsi="Calibri"/>
        <w:color w:val="6B7280"/>
        <w:sz w:val="17"/>
      </w:rPr>
      <w:fldChar w:fldCharType="begin"/>
    </w:r>
    <w:r>
      <w:rPr>
        <w:rFonts w:ascii="Calibri" w:hAnsi="Calibri"/>
        <w:color w:val="6B7280"/>
        <w:sz w:val="17"/>
      </w:rPr>
      <w:instrText xml:space="preserve"> PAGE </w:instrText>
    </w:r>
    <w:r>
      <w:rPr>
        <w:rFonts w:ascii="Calibri" w:hAnsi="Calibri"/>
        <w:color w:val="6B7280"/>
        <w:sz w:val="17"/>
      </w:rPr>
      <w:fldChar w:fldCharType="separate"/>
    </w:r>
    <w:r>
      <w:rPr>
        <w:rFonts w:ascii="Calibri" w:hAnsi="Calibri"/>
        <w:color w:val="6B7280"/>
        <w:sz w:val="17"/>
      </w:rPr>
      <w:t>1</w:t>
    </w:r>
    <w:r>
      <w:rPr>
        <w:rFonts w:ascii="Calibri" w:hAnsi="Calibri"/>
        <w:color w:val="6B7280"/>
        <w:sz w:val="17"/>
      </w:rPr>
      <w:fldChar w:fldCharType="end"/>
    </w:r>
    <w:r>
      <w:rPr>
        <w:rFonts w:ascii="Calibri" w:hAnsi="Calibri"/>
        <w:color w:val="6B7280"/>
        <w:sz w:val="17"/>
      </w:rPr>
      <w:t xml:space="preserve"> of </w:t>
    </w:r>
    <w:r>
      <w:rPr>
        <w:rFonts w:ascii="Calibri" w:hAnsi="Calibri"/>
        <w:color w:val="6B7280"/>
        <w:sz w:val="17"/>
      </w:rPr>
      <w:fldChar w:fldCharType="begin"/>
    </w:r>
    <w:r>
      <w:rPr>
        <w:rFonts w:ascii="Calibri" w:hAnsi="Calibri"/>
        <w:color w:val="6B7280"/>
        <w:sz w:val="17"/>
      </w:rPr>
      <w:instrText xml:space="preserve"> NUMPAGES </w:instrText>
    </w:r>
    <w:r>
      <w:rPr>
        <w:rFonts w:ascii="Calibri" w:hAnsi="Calibri"/>
        <w:color w:val="6B7280"/>
        <w:sz w:val="17"/>
      </w:rPr>
      <w:fldChar w:fldCharType="separate"/>
    </w:r>
    <w:r>
      <w:rPr>
        <w:rFonts w:ascii="Calibri" w:hAnsi="Calibri"/>
        <w:color w:val="6B7280"/>
        <w:sz w:val="17"/>
      </w:rPr>
      <w:t>1</w:t>
    </w:r>
    <w:r>
      <w:rPr>
        <w:rFonts w:ascii="Calibri" w:hAnsi="Calibri"/>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after="80"/>
      <w:pBdr>
        <w:bottom w:val="single" w:sz="4" w:space="3" w:color="D5D8DF"/>
      </w:pBdr>
    </w:pPr>
    <w:r/>
    <w:r>
      <w:rPr>
        <w:rFonts w:ascii="Calibri" w:hAnsi="Calibri"/>
        <w:color w:val="6B7280"/>
        <w:sz w:val="17"/>
      </w:rPr>
      <w:t>Dream Job — Functional Design</w:t>
    </w:r>
    <w:r>
      <w:rPr>
        <w:rFonts w:ascii="Calibri" w:hAnsi="Calibri"/>
        <w:color w:val="6B7280"/>
        <w:sz w:val="17"/>
      </w:rPr>
      <w:tab/>
      <w:t>Version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before="0" w:line="274" w:lineRule="auto"/>
    </w:pPr>
    <w:rPr>
      <w:rFonts w:ascii="Calibri" w:hAnsi="Calibri" w:eastAsia="Calibri"/>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600" w:after="200" w:line="252" w:lineRule="auto"/>
      <w:outlineLvl w:val="0"/>
    </w:pPr>
    <w:rPr>
      <w:rFonts w:asciiTheme="majorHAnsi" w:eastAsiaTheme="majorEastAsia" w:hAnsiTheme="majorHAnsi" w:cstheme="majorBidi" w:ascii="Calibri" w:hAnsi="Calibri"/>
      <w:b/>
      <w:bCs/>
      <w:caps w:val="0"/>
      <w:color w:val="6D54D8"/>
      <w:sz w:val="36"/>
      <w:szCs w:val="28"/>
    </w:rPr>
  </w:style>
  <w:style w:type="paragraph" w:styleId="Heading2">
    <w:name w:val="heading 2"/>
    <w:basedOn w:val="Normal"/>
    <w:next w:val="Normal"/>
    <w:link w:val="Heading2Char"/>
    <w:uiPriority w:val="9"/>
    <w:unhideWhenUsed/>
    <w:qFormat/>
    <w:rsid w:val="00FC693F"/>
    <w:pPr>
      <w:keepNext/>
      <w:keepLines/>
      <w:spacing w:before="320" w:after="100" w:line="252" w:lineRule="auto"/>
      <w:outlineLvl w:val="1"/>
    </w:pPr>
    <w:rPr>
      <w:rFonts w:asciiTheme="majorHAnsi" w:eastAsiaTheme="majorEastAsia" w:hAnsiTheme="majorHAnsi" w:cstheme="majorBidi" w:ascii="Calibri" w:hAnsi="Calibri"/>
      <w:b/>
      <w:bCs/>
      <w:caps w:val="0"/>
      <w:color w:val="1F2430"/>
      <w:sz w:val="26"/>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Theme="majorHAnsi" w:eastAsiaTheme="majorEastAsia" w:hAnsiTheme="majorHAnsi" w:cstheme="majorBidi" w:ascii="Calibri" w:hAnsi="Calibri"/>
      <w:b/>
      <w:bCs/>
      <w:caps w:val="0"/>
      <w:color w:val="4A51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qFormat/>
    <w:pPr>
      <w:spacing w:before="100" w:after="320" w:line="264" w:lineRule="auto"/>
      <w:ind w:left="504"/>
      <w:jc w:val="center"/>
    </w:pPr>
    <w:rPr>
      <w:rFonts w:ascii="Calibri" w:hAnsi="Calibri"/>
      <w:b w:val="0"/>
      <w:i w:val="0"/>
      <w:color w:val="6B7280"/>
      <w:sz w:val="18"/>
    </w:rPr>
  </w:style>
  <w:style w:type="paragraph" w:customStyle="1" w:styleId="FigureImage">
    <w:name w:val="Figure Image"/>
    <w:basedOn w:val="Normal"/>
    <w:qFormat/>
    <w:pPr>
      <w:spacing w:before="240" w:after="0" w:line="274" w:lineRule="auto"/>
      <w:jc w:val="center"/>
    </w:pPr>
    <w:rPr>
      <w:rFonts w:ascii="Calibri" w:hAnsi="Calibri"/>
      <w:b w:val="0"/>
      <w:i w:val="0"/>
      <w:color w:val="1F2430"/>
      <w:sz w:val="21"/>
    </w:rPr>
  </w:style>
  <w:style w:type="paragraph" w:customStyle="1" w:styleId="DJBullet">
    <w:name w:val="DJ Bullet"/>
    <w:basedOn w:val="Normal"/>
    <w:qFormat/>
    <w:pPr>
      <w:spacing w:before="0" w:after="100" w:line="274" w:lineRule="auto"/>
      <w:ind w:left="374" w:hanging="374"/>
    </w:pPr>
    <w:rPr>
      <w:rFonts w:ascii="Calibri" w:hAnsi="Calibri"/>
      <w:b w:val="0"/>
      <w:i w:val="0"/>
      <w:color w:val="1F2430"/>
      <w:sz w:val="21"/>
    </w:rPr>
  </w:style>
  <w:style w:type="paragraph" w:customStyle="1" w:styleId="DJNumber">
    <w:name w:val="DJ Number"/>
    <w:basedOn w:val="Normal"/>
    <w:qFormat/>
    <w:pPr>
      <w:spacing w:before="0" w:after="100" w:line="274" w:lineRule="auto"/>
      <w:ind w:left="432" w:hanging="432"/>
    </w:pPr>
    <w:rPr>
      <w:rFonts w:ascii="Calibri" w:hAnsi="Calibri"/>
      <w:b w:val="0"/>
      <w:i w:val="0"/>
      <w:color w:val="1F2430"/>
      <w:sz w:val="21"/>
    </w:rPr>
  </w:style>
  <w:style w:type="paragraph" w:customStyle="1" w:styleId="DJTableText">
    <w:name w:val="DJ Table Text"/>
    <w:basedOn w:val="Normal"/>
    <w:qFormat/>
    <w:pPr>
      <w:spacing w:before="0" w:after="0" w:line="259" w:lineRule="auto"/>
    </w:pPr>
    <w:rPr>
      <w:rFonts w:ascii="Calibri" w:hAnsi="Calibri"/>
      <w:b w:val="0"/>
      <w:i w:val="0"/>
      <w:color w:val="1F2430"/>
      <w:sz w:val="19"/>
    </w:rPr>
  </w:style>
  <w:style w:type="paragraph" w:customStyle="1" w:styleId="DJTableHead">
    <w:name w:val="DJ Table Head"/>
    <w:basedOn w:val="Normal"/>
    <w:qFormat/>
    <w:pPr>
      <w:spacing w:before="0" w:after="0" w:line="259" w:lineRule="auto"/>
    </w:pPr>
    <w:rPr>
      <w:rFonts w:ascii="Calibri" w:hAnsi="Calibri"/>
      <w:b/>
      <w:i w:val="0"/>
      <w:color w:val="1F2430"/>
      <w:sz w:val="19"/>
    </w:rPr>
  </w:style>
  <w:style w:type="paragraph" w:customStyle="1" w:styleId="DJCallout">
    <w:name w:val="DJ Callout"/>
    <w:basedOn w:val="Normal"/>
    <w:qFormat/>
    <w:pPr>
      <w:spacing w:before="0" w:after="0" w:line="269" w:lineRule="auto"/>
    </w:pPr>
    <w:rPr>
      <w:rFonts w:ascii="Calibri" w:hAnsi="Calibri"/>
      <w:b w:val="0"/>
      <w:i w:val="0"/>
      <w:color w:val="1F2430"/>
      <w:sz w:val="20"/>
    </w:rPr>
  </w:style>
  <w:style w:type="paragraph" w:customStyle="1" w:styleId="DJCalloutBanner">
    <w:name w:val="DJ Callout Banner"/>
    <w:basedOn w:val="Normal"/>
    <w:qFormat/>
    <w:pPr>
      <w:spacing w:before="0" w:after="0" w:line="264" w:lineRule="auto"/>
    </w:pPr>
    <w:rPr>
      <w:rFonts w:ascii="Calibri" w:hAnsi="Calibri"/>
      <w:b/>
      <w:i w:val="0"/>
      <w:color w:val="FFFFFF"/>
      <w:sz w:val="20"/>
    </w:rPr>
  </w:style>
  <w:style w:type="paragraph" w:customStyle="1" w:styleId="DJSectionTitle">
    <w:name w:val="DJ Section Title"/>
    <w:basedOn w:val="Normal"/>
    <w:qFormat/>
    <w:pPr>
      <w:spacing w:before="0" w:after="200" w:line="274" w:lineRule="auto"/>
    </w:pPr>
    <w:rPr>
      <w:rFonts w:ascii="Calibri" w:hAnsi="Calibri"/>
      <w:b/>
      <w:i w:val="0"/>
      <w:color w:val="6D54D8"/>
      <w:sz w:val="36"/>
    </w:rPr>
  </w:style>
  <w:style w:type="paragraph" w:customStyle="1" w:styleId="DJColophon">
    <w:name w:val="DJ Colophon"/>
    <w:basedOn w:val="Normal"/>
    <w:qFormat/>
    <w:pPr>
      <w:spacing w:before="360" w:after="140" w:line="274" w:lineRule="auto"/>
      <w:jc w:val="center"/>
    </w:pPr>
    <w:rPr>
      <w:rFonts w:ascii="Calibri" w:hAnsi="Calibri"/>
      <w:b w:val="0"/>
      <w:i/>
      <w:color w:val="6B7280"/>
      <w:sz w:val="18"/>
    </w:rPr>
  </w:style>
  <w:style w:type="paragraph" w:customStyle="1" w:styleId="DJTitle">
    <w:name w:val="DJ Title"/>
    <w:basedOn w:val="Normal"/>
    <w:qFormat/>
    <w:pPr>
      <w:spacing w:before="0" w:after="0" w:line="240" w:lineRule="auto"/>
    </w:pPr>
    <w:rPr>
      <w:rFonts w:ascii="Calibri" w:hAnsi="Calibri"/>
      <w:b/>
      <w:i w:val="0"/>
      <w:color w:val="1F2430"/>
      <w:sz w:val="68"/>
    </w:rPr>
  </w:style>
  <w:style w:type="paragraph" w:customStyle="1" w:styleId="DJSubtitle">
    <w:name w:val="DJ Subtitle"/>
    <w:basedOn w:val="Normal"/>
    <w:qFormat/>
    <w:pPr>
      <w:spacing w:before="0" w:after="120" w:line="240" w:lineRule="auto"/>
    </w:pPr>
    <w:rPr>
      <w:rFonts w:ascii="Calibri" w:hAnsi="Calibri"/>
      <w:b w:val="0"/>
      <w:i w:val="0"/>
      <w:color w:val="6D54D8"/>
      <w:sz w:val="44"/>
    </w:rPr>
  </w:style>
  <w:style w:type="paragraph" w:customStyle="1" w:styleId="DJTagline">
    <w:name w:val="DJ Tagline"/>
    <w:basedOn w:val="Normal"/>
    <w:qFormat/>
    <w:pPr>
      <w:spacing w:before="0" w:after="0" w:line="274" w:lineRule="auto"/>
    </w:pPr>
    <w:rPr>
      <w:rFonts w:ascii="Calibri" w:hAnsi="Calibri"/>
      <w:b w:val="0"/>
      <w:i w:val="0"/>
      <w:color w:val="4A5160"/>
      <w:sz w:val="24"/>
    </w:rPr>
  </w:style>
  <w:style w:type="paragraph" w:customStyle="1" w:styleId="DJMeta">
    <w:name w:val="DJ Meta"/>
    <w:basedOn w:val="Normal"/>
    <w:qFormat/>
    <w:pPr>
      <w:spacing w:before="0" w:after="40" w:line="274" w:lineRule="auto"/>
    </w:pPr>
    <w:rPr>
      <w:rFonts w:ascii="Calibri" w:hAnsi="Calibri"/>
      <w:b w:val="0"/>
      <w:i w:val="0"/>
      <w:color w:val="4A5160"/>
      <w:sz w:val="20"/>
    </w:rPr>
  </w:style>
  <w:style w:type="paragraph" w:customStyle="1" w:styleId="DJHint">
    <w:name w:val="DJ Hint"/>
    <w:basedOn w:val="Normal"/>
    <w:qFormat/>
    <w:pPr>
      <w:spacing w:before="80" w:after="280" w:line="274" w:lineRule="auto"/>
    </w:pPr>
    <w:rPr>
      <w:rFonts w:ascii="Calibri" w:hAnsi="Calibri"/>
      <w:b w:val="0"/>
      <w:i/>
      <w:color w:val="6B7280"/>
      <w:sz w:val="17"/>
    </w:rPr>
  </w:style>
  <w:style w:type="character" w:customStyle="1" w:styleId="CodeInline">
    <w:name w:val="Code Inline"/>
    <w:qFormat/>
    <w:rPr>
      <w:rFonts w:ascii="Consolas" w:hAnsi="Consolas"/>
      <w:color w:val="2C3E57"/>
      <w:sz w:val="19"/>
    </w:rPr>
  </w:style>
  <w:style w:type="character" w:customStyle="1" w:styleId="DocLink">
    <w:name w:val="Doc Link"/>
    <w:qFormat/>
    <w:rPr>
      <w:rFonts w:ascii="Calibri" w:hAnsi="Calibri"/>
      <w:color w:val="2D6BC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 Job — Functional Design</dc:title>
  <dc:subject>AI-assisted job discovery and application platform</dc:subject>
  <dc:creator>Stephane van der Aa</dc:creator>
  <cp:keywords/>
  <dc:description>Generated from Functional_Design.md by build_fdd.py</dc:description>
  <cp:lastModifiedBy/>
  <cp:revision>1</cp:revision>
  <dcterms:created xsi:type="dcterms:W3CDTF">2013-12-23T23:15:00Z</dcterms:created>
  <dcterms:modified xsi:type="dcterms:W3CDTF">2013-12-23T23:15:00Z</dcterms:modified>
  <cp:category>Functional Design</cp:category>
</cp:coreProperties>
</file>