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Bayesian Optimisation Capstone: Week 2 Reflection</w:t>
      </w:r>
    </w:p>
    <w:p>
      <w:pPr>
        <w:spacing w:after="200"/>
      </w:pPr>
      <w:r>
        <w:rPr>
          <w:i/>
          <w:iCs/>
          <w:color w:val="555555"/>
        </w:rPr>
        <w:t xml:space="preserve">Round 2 | 11-41 data points per function | Adaptive GP-UCB Strategy</w:t>
      </w:r>
    </w:p>
    <w:p>
      <w:pPr>
        <w:pStyle w:val="Heading2"/>
      </w:pPr>
      <w:r>
        <w:t xml:space="preserve">Week 1 Results and Week 2 Queries</w:t>
      </w:r>
    </w:p>
    <w:p>
      <w:pPr>
        <w:spacing w:after="140"/>
      </w:pPr>
      <w:r>
        <w:t xml:space="preserve">Three of eight functions improved in Week 1. The table below summarises results and Week 2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2460"/>
        <w:gridCol w:w="2400"/>
        <w:gridCol w:w="12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Best 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Week 1 Output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Week 2 Query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Improved?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0.0000</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0.999999-0.999999</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9C0006"/>
                <w:sz w:val="20"/>
                <w:szCs w:val="20"/>
              </w:rPr>
              <w:t xml:space="preserve">No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0.6112</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-0.0177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0.673666-0.918591</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9C0006"/>
                <w:sz w:val="20"/>
                <w:szCs w:val="20"/>
              </w:rPr>
              <w:t xml:space="preserve">No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-0.0348</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-0.0359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0.506031-0.565092-0.511916</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9C0006"/>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-1.3242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-1.3242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0.462210-0.470559-0.312877-0.405903</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YES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2021.56</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2021.56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0.505785-0.709925-0.994838-0.985391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-0.7143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-1.8227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0.506031-0.565092-0.511916-0.972186-0.614903</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9C0006"/>
                <w:sz w:val="20"/>
                <w:szCs w:val="20"/>
              </w:rPr>
              <w:t xml:space="preserve">No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1.3650</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1.3097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0.057378-0.366665-0.383868-0.136267-0.331203-0.752374</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9C0006"/>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9.8100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9.8100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0.032926-0.283604-0.006343-0.409730-0.814350-0.536043-0.151336-0.699855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YES</w:t>
            </w:r>
          </w:p>
        </w:tc>
      </w:tr>
    </w:tbl>
    <w:p>
      <w:pPr>
        <w:spacing w:after="240"/>
      </w:pPr>
      <w:r>
        <w:t xml:space="preserve"/>
      </w:r>
    </w:p>
    <w:p>
      <w:pPr>
        <w:pStyle w:val="Heading2"/>
      </w:pPr>
      <w:r>
        <w:t xml:space="preserve">Q1: Main Strategy Changes from Week 1</w:t>
      </w:r>
    </w:p>
    <w:p>
      <w:pPr>
        <w:spacing w:after="160"/>
      </w:pPr>
      <w:r>
        <w:t xml:space="preserve">The core method remained Gaussian Process regression with UCB acquisition, but two targeted changes were made based on Week 1 outcomes.</w:t>
      </w:r>
    </w:p>
    <w:p>
      <w:pPr>
        <w:spacing w:after="160"/>
      </w:pPr>
      <w:r>
        <w:t xml:space="preserve">First, kappa was made adaptive rather than fixed. In Week 1 a single value of 2.576 was applied to all functions. In Week 2 each function received a kappa tuned to its performance: 1.5 for functions that improved strongly (F5, F8), 2.0 for balanced cases (F3, F4, F7), and 2.5 for functions where Week 1 regressed (F2, F6). This was prompted by the observed outputs, not model predictions alone. When F2 returned -0.018 against a previous best of 0.611, it was clear the GP had been overconfident in that region and more exploration was needed.</w:t>
      </w:r>
    </w:p>
    <w:p>
      <w:pPr>
        <w:spacing w:after="160"/>
      </w:pPr>
      <w:r>
        <w:t xml:space="preserve">Second, Function 1 was removed from the GP pipeline entirely. With all 11 outputs at or near zero, the GP has no meaningful signal to fit and its suggestions are arbitrary. A max-distance grid sweep was used instead, placing the query as far as possible from all previously observed points to maximise coverage.</w:t>
      </w:r>
    </w:p>
    <w:p>
      <w:pPr>
        <w:pStyle w:val="Heading2"/>
      </w:pPr>
      <w:r>
        <w:t xml:space="preserve">Q2: Exploration vs Exploitation Trade-offs</w:t>
      </w:r>
    </w:p>
    <w:p>
      <w:pPr>
        <w:spacing w:after="160"/>
      </w:pPr>
      <w:r>
        <w:t xml:space="preserve">This round used a deliberate split across the eight functions rather than a uniform stance.</w:t>
      </w:r>
    </w:p>
    <w:p>
      <w:pPr>
        <w:pStyle w:val="ListParagraph"/>
        <w:numPr>
          <w:ilvl w:val="0"/>
          <w:numId w:val="2"/>
        </w:numPr>
        <w:spacing w:after="80"/>
      </w:pPr>
      <w:r>
        <w:rPr>
          <w:b/>
          <w:bCs/>
        </w:rPr>
        <w:t xml:space="preserve">Exploitation (kappa=1.5): </w:t>
      </w:r>
      <w:r>
        <w:t xml:space="preserve">F5 and F8, both of which improved in Week 1. F5 jumped from 1088.9 to 2021.6, a near doubling, which gives the GP strong signal. Concentrating queries nearby trades the risk of a local maximum for the reward of climbing a clearly promising gradient.</w:t>
      </w:r>
    </w:p>
    <w:p>
      <w:pPr>
        <w:pStyle w:val="ListParagraph"/>
        <w:numPr>
          <w:ilvl w:val="0"/>
          <w:numId w:val="2"/>
        </w:numPr>
        <w:spacing w:after="80"/>
      </w:pPr>
      <w:r>
        <w:rPr>
          <w:b/>
          <w:bCs/>
        </w:rPr>
        <w:t xml:space="preserve">Balanced (kappa=2.0): </w:t>
      </w:r>
      <w:r>
        <w:t xml:space="preserve">F3, F4 and F7. F4 improved but from a very low baseline, so some uncertainty remains about whether the region is genuinely good or simply less bad. F7 came close but did not beat the best, so a nearby but slightly shifted query was selected.</w:t>
      </w:r>
    </w:p>
    <w:p>
      <w:pPr>
        <w:pStyle w:val="ListParagraph"/>
        <w:numPr>
          <w:ilvl w:val="0"/>
          <w:numId w:val="2"/>
        </w:numPr>
        <w:spacing w:after="80"/>
      </w:pPr>
      <w:r>
        <w:rPr>
          <w:b/>
          <w:bCs/>
        </w:rPr>
        <w:t xml:space="preserve">Exploration (kappa=2.5): </w:t>
      </w:r>
      <w:r>
        <w:t xml:space="preserve">F2 and F6 both regressed, meaning the GP was wrong about those regions. Higher kappa forces the acquisition function to weigh uncertainty more heavily and search elsewhere.</w:t>
      </w:r>
    </w:p>
    <w:p>
      <w:pPr>
        <w:spacing w:after="160"/>
      </w:pPr>
      <w:r>
        <w:t xml:space="preserve"/>
      </w:r>
    </w:p>
    <w:p>
      <w:pPr>
        <w:spacing w:after="160"/>
      </w:pPr>
      <w:r>
        <w:t xml:space="preserve">The key trade-off is between locking in a confirmed improvement versus discovering a better region that has not yet been visited. Functions with strong signals warrant exploitation; functions with misleading signals warrant a reset toward exploration.</w:t>
      </w:r>
    </w:p>
    <w:p>
      <w:pPr>
        <w:pStyle w:val="Heading2"/>
      </w:pPr>
      <w:r>
        <w:t xml:space="preserve">Q3: Influence of External Strategies or Discussions</w:t>
      </w:r>
    </w:p>
    <w:p>
      <w:pPr>
        <w:spacing w:after="160"/>
      </w:pPr>
      <w:r>
        <w:t xml:space="preserve">No specific class discussions or peer strategies directly altered the query choices this week. However, the general principle of decaying kappa over rounds, which is common in the Bayesian optimisation literature and was noted in course materials, did inform the decision to move away from a single fixed kappa. The idea that early rounds should explore and later rounds should exploit is a standard heuristic, and Week 1 results made it practical to begin that transition for the three functions that showed genuine improvement.</w:t>
      </w:r>
    </w:p>
    <w:p>
      <w:pPr>
        <w:pStyle w:val="Heading2"/>
      </w:pPr>
      <w:r>
        <w:t xml:space="preserve">Q4: Linear Regression Assumption Violations</w:t>
      </w:r>
    </w:p>
    <w:p>
      <w:pPr>
        <w:spacing w:after="160"/>
      </w:pPr>
      <w:r>
        <w:t xml:space="preserve">Function 4 is the most instructive case for this question. A linear regression fitted to its 31 data points would likely violate several core assumptions:</w:t>
      </w:r>
    </w:p>
    <w:p>
      <w:pPr>
        <w:pStyle w:val="ListParagraph"/>
        <w:numPr>
          <w:ilvl w:val="0"/>
          <w:numId w:val="2"/>
        </w:numPr>
        <w:spacing w:after="80"/>
      </w:pPr>
      <w:r>
        <w:rPr>
          <w:b/>
          <w:bCs/>
        </w:rPr>
        <w:t xml:space="preserve">Non-linearity: </w:t>
      </w:r>
      <w:r>
        <w:t xml:space="preserve">The output range of -32.6 to -1.3 across 31 points, combined with moderate feature correlations (x1: -0.53, x2: -0.45, x4: -0.49), suggests the response surface is not flat. The function is described as having many local optima, which is structurally incompatible with a linear model.</w:t>
      </w:r>
    </w:p>
    <w:p>
      <w:pPr>
        <w:pStyle w:val="ListParagraph"/>
        <w:numPr>
          <w:ilvl w:val="0"/>
          <w:numId w:val="2"/>
        </w:numPr>
        <w:spacing w:after="80"/>
      </w:pPr>
      <w:r>
        <w:rPr>
          <w:b/>
          <w:bCs/>
        </w:rPr>
        <w:t xml:space="preserve">Homoscedasticity: </w:t>
      </w:r>
      <w:r>
        <w:t xml:space="preserve">The standard deviation of outputs is 7.45 against a mean of -16.7, a coefficient of variation above 40%. Variance is unlikely to be constant across the input space in a function with this much spread.</w:t>
      </w:r>
    </w:p>
    <w:p>
      <w:pPr>
        <w:pStyle w:val="ListParagraph"/>
        <w:numPr>
          <w:ilvl w:val="0"/>
          <w:numId w:val="2"/>
        </w:numPr>
        <w:spacing w:after="80"/>
      </w:pPr>
      <w:r>
        <w:rPr>
          <w:b/>
          <w:bCs/>
        </w:rPr>
        <w:t xml:space="preserve">Independence of errors: </w:t>
      </w:r>
      <w:r>
        <w:t xml:space="preserve">Points were not sampled on a structured grid but via quasi-random search, so spatial autocorrelation in the residuals is plausible.</w:t>
      </w:r>
    </w:p>
    <w:p>
      <w:pPr>
        <w:pStyle w:val="ListParagraph"/>
        <w:numPr>
          <w:ilvl w:val="0"/>
          <w:numId w:val="2"/>
        </w:numPr>
        <w:spacing w:after="80"/>
      </w:pPr>
      <w:r>
        <w:rPr>
          <w:b/>
          <w:bCs/>
        </w:rPr>
        <w:t xml:space="preserve">Normality of residuals: </w:t>
      </w:r>
      <w:r>
        <w:t xml:space="preserve">With only 31 points and a highly skewed range, the residuals from a linear fit would almost certainly fail a normality test.</w:t>
      </w:r>
    </w:p>
    <w:p>
      <w:pPr>
        <w:spacing w:after="160"/>
      </w:pPr>
      <w:r>
        <w:t xml:space="preserve">Function 5 would violate the assumption even more severely, as its output spans three orders of magnitude (0.11 to 2021.6), which no linear model could represent without a transformation.</w:t>
      </w:r>
    </w:p>
    <w:p>
      <w:pPr>
        <w:pStyle w:val="Heading2"/>
      </w:pPr>
      <w:r>
        <w:t xml:space="preserve">Q5: Linear Regions and Logistic Regression Applicability</w:t>
      </w:r>
    </w:p>
    <w:p>
      <w:pPr>
        <w:spacing w:after="160"/>
      </w:pPr>
      <w:r>
        <w:t xml:space="preserve">Function 2 is the most plausible candidate for a roughly linear region. Its x1 feature has a correlation of 0.56 with the output, the strongest single-feature relationship across all functions. In the upper range of x1 (roughly 0.6 to 0.9), the outputs cluster between 0.2 and 0.6, which could appear approximately linear locally.</w:t>
      </w:r>
    </w:p>
    <w:p>
      <w:pPr>
        <w:spacing w:after="160"/>
      </w:pPr>
      <w:r>
        <w:t xml:space="preserve">For a logistic regression framing, one could define a binary threshold, for example outputs above 0.3 as class 1 (promising) and below as class 0. With 11 data points, 6 of which exceed 0.3, a logistic classifier might achieve reasonable accuracy on the training data. However, it would generalise poorly: the function is described as having multiple local optima and noisy outputs, and with only 11 points the decision boundary would be highly unstable. The classifier would likely overfit and fail to identify the true high-output region reliably.</w:t>
      </w:r>
    </w:p>
    <w:p>
      <w:pPr>
        <w:spacing w:after="160"/>
      </w:pPr>
      <w:r>
        <w:t xml:space="preserve">Function 8 presents an interesting contrast. Its outputs (5.6 to 9.8) are relatively compact, and features x1 and x3 both show correlations around -0.65. A binary split at, say, y=8.5 might produce a reasonably clean boundary in the x1-x3 subspace, making logistic regression more plausible here than for most other functions.</w:t>
      </w:r>
    </w:p>
    <w:p>
      <w:pPr>
        <w:pStyle w:val="Heading2"/>
      </w:pPr>
      <w:r>
        <w:t xml:space="preserve">Q6: Interpretability of Feature Effects</w:t>
      </w:r>
    </w:p>
    <w:p>
      <w:pPr>
        <w:spacing w:after="160"/>
      </w:pPr>
      <w:r>
        <w:t xml:space="preserve">Examining feature-output correlations before selecting queries provided useful context, even if it did not override the GP recommendations. Three observations were relevant this week:</w:t>
      </w:r>
    </w:p>
    <w:p>
      <w:pPr>
        <w:pStyle w:val="ListParagraph"/>
        <w:numPr>
          <w:ilvl w:val="0"/>
          <w:numId w:val="2"/>
        </w:numPr>
        <w:spacing w:after="80"/>
      </w:pPr>
      <w:r>
        <w:rPr>
          <w:b/>
          <w:bCs/>
        </w:rPr>
        <w:t xml:space="preserve">Function 5: </w:t>
      </w:r>
      <w:r>
        <w:t xml:space="preserve">Features x3 and x4 both correlate positively with output at around 0.54. The Week 2 query keeps x3 and x4 near 0.99 and 0.99, consistent with what the correlation analysis suggested.</w:t>
      </w:r>
    </w:p>
    <w:p>
      <w:pPr>
        <w:pStyle w:val="ListParagraph"/>
        <w:numPr>
          <w:ilvl w:val="0"/>
          <w:numId w:val="2"/>
        </w:numPr>
        <w:spacing w:after="80"/>
      </w:pPr>
      <w:r>
        <w:rPr>
          <w:b/>
          <w:bCs/>
        </w:rPr>
        <w:t xml:space="preserve">Function 3: </w:t>
      </w:r>
      <w:r>
        <w:t xml:space="preserve">Feature x3 shows the strongest negative correlation (-0.54). The Week 1 query used x3=0.493, and the output was only marginally below the best known. The Week 2 query shifts x2 upward while holding x3 near 0.51, which is a directional move consistent with the feature analysis.</w:t>
      </w:r>
    </w:p>
    <w:p>
      <w:pPr>
        <w:pStyle w:val="ListParagraph"/>
        <w:numPr>
          <w:ilvl w:val="0"/>
          <w:numId w:val="2"/>
        </w:numPr>
        <w:spacing w:after="80"/>
      </w:pPr>
      <w:r>
        <w:rPr>
          <w:b/>
          <w:bCs/>
        </w:rPr>
        <w:t xml:space="preserve">Function 4: </w:t>
      </w:r>
      <w:r>
        <w:t xml:space="preserve">All four features correlate negatively with output. The best observed point uses moderate values around 0.39 to 0.47. The Week 2 query stays in this zone, which aligns with the correlation signals.</w:t>
      </w:r>
    </w:p>
    <w:p>
      <w:pPr>
        <w:spacing w:after="160"/>
      </w:pPr>
      <w:r>
        <w:t xml:space="preserve">That said, correlations are computed on a small and non-representative sample, and they capture only linear relationships. They were treated as a sanity check on the GP rather than a substitute for it. The GP captures interactions and non-linearities that a simple correlation table cannot.</w:t>
      </w:r>
    </w:p>
    <w:p>
      <w:pPr>
        <w:pBdr>
          <w:top w:val="single" w:color="CCCCCC" w:sz="4" w:space="6"/>
        </w:pBdr>
        <w:spacing w:before="300"/>
      </w:pPr>
      <w:r>
        <w:rPr>
          <w:i/>
          <w:iCs/>
          <w:color w:val="777777"/>
          <w:sz w:val="18"/>
          <w:szCs w:val="18"/>
        </w:rPr>
        <w:t xml:space="preserve">Method: Gaussian Process + adaptive UCB | kappa in {1.5, 2.0, 2.5} | 100,000 candidates per function | Matern 5/2 kernel | F1: max-distance grid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2026-03-31T16:49:28.019Z</dcterms:created>
  <dcterms:modified xsi:type="dcterms:W3CDTF">2026-03-31T16:49:28.019Z</dcterms:modified>
</cp:coreProperties>
</file>

<file path=docProps/custom.xml><?xml version="1.0" encoding="utf-8"?>
<Properties xmlns="http://schemas.openxmlformats.org/officeDocument/2006/custom-properties" xmlns:vt="http://schemas.openxmlformats.org/officeDocument/2006/docPropsVTypes"/>
</file>