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E2AC" w14:textId="77777777" w:rsidR="009A3AFB" w:rsidRDefault="00000000">
      <w:pPr>
        <w:pStyle w:val="Heading1"/>
      </w:pPr>
      <w:r>
        <w:t>BBO Capstone: Week 6 Technical Justification (17.2)</w:t>
      </w:r>
    </w:p>
    <w:p w14:paraId="554FE794" w14:textId="77777777" w:rsidR="009A3AFB" w:rsidRDefault="00000000">
      <w:pPr>
        <w:spacing w:after="260"/>
      </w:pPr>
      <w:r>
        <w:rPr>
          <w:i/>
          <w:iCs/>
          <w:color w:val="555555"/>
          <w:sz w:val="22"/>
          <w:szCs w:val="22"/>
        </w:rPr>
        <w:t>Academic grounding, library choices and documentation strategy</w:t>
      </w:r>
    </w:p>
    <w:p w14:paraId="757405C9" w14:textId="77777777" w:rsidR="009A3AFB" w:rsidRDefault="00000000">
      <w:pPr>
        <w:pStyle w:val="Heading2"/>
      </w:pPr>
      <w:r>
        <w:t>Main Technical Justification</w:t>
      </w:r>
    </w:p>
    <w:p w14:paraId="7F0ED4DF" w14:textId="210D0380" w:rsidR="009A3AFB" w:rsidRDefault="00000000">
      <w:pPr>
        <w:spacing w:after="180"/>
      </w:pPr>
      <w:r>
        <w:t xml:space="preserve">The core justification for using Gaussian Process regression with Upper Confidence Bound acquisition is well established in the Bayesian </w:t>
      </w:r>
      <w:r w:rsidR="00B146D8">
        <w:t>optimization</w:t>
      </w:r>
      <w:r>
        <w:t xml:space="preserve"> literature. GPs are the canonical surrogate model for expensive black-box functions because they are non-parametric, naturally quantify uncertainty, and produce calibrated predictions even with small datasets. UCB is preferred over Expected Improvement here because it offers an explicit and tunable exploration-exploitation parameter in kappa, which has allowed me to adapt the strategy function by function and round by round rather than accepting a fixed policy. This adaptive control has been the defining feature of the approach across six rounds.</w:t>
      </w:r>
    </w:p>
    <w:p w14:paraId="77095BBB" w14:textId="77777777" w:rsidR="009A3AFB" w:rsidRDefault="00000000">
      <w:pPr>
        <w:pStyle w:val="Heading2"/>
      </w:pPr>
      <w:r>
        <w:t>Academic Papers and Literature</w:t>
      </w:r>
    </w:p>
    <w:p w14:paraId="3D11045A" w14:textId="77777777" w:rsidR="009A3AFB" w:rsidRDefault="00000000">
      <w:pPr>
        <w:spacing w:after="180"/>
      </w:pPr>
      <w:r>
        <w:t>The primary academic grounding comes from Snoek, Larochelle and Adams (2012), Practical Bayesian Optimization of Machine Learning Algorithms, which established GP-UCB as a principled framework for hyperparameter search and demonstrated its superiority over grid and random search on real ML workloads. Brochu, Cora and de Freitas (2010), A Tutorial on Bayesian Optimization of Expensive Cost Functions, provided the theoretical basis for acquisition function design and the exploration-exploitation trade-off. The adaptive kappa schedule used across this project draws on the decaying exploration principle described in Srinivas et al. (2010), Gaussian Process Optimization in the Bandit Setting, which showed that reducing the UCB confidence bound over time yields sublinear regret under certain assumptions. These three papers collectively justify both the surrogate model choice and the acquisition strategy.</w:t>
      </w:r>
    </w:p>
    <w:p w14:paraId="50E0CE6E" w14:textId="77777777" w:rsidR="009A3AFB" w:rsidRDefault="00000000">
      <w:pPr>
        <w:pStyle w:val="Heading2"/>
      </w:pPr>
      <w:r>
        <w:t>Third-Party Libraries and Framework Choices</w:t>
      </w:r>
    </w:p>
    <w:p w14:paraId="5B5C34B7" w14:textId="77777777" w:rsidR="009A3AFB" w:rsidRDefault="00000000">
      <w:pPr>
        <w:spacing w:after="180"/>
      </w:pPr>
      <w:r>
        <w:t xml:space="preserve">Scikit-learn is the central library, specifically its </w:t>
      </w:r>
      <w:proofErr w:type="spellStart"/>
      <w:r>
        <w:t>GaussianProcessRegressor</w:t>
      </w:r>
      <w:proofErr w:type="spellEnd"/>
      <w:r>
        <w:t xml:space="preserve"> with a Matern 5/2 kernel. The Matern 5/2 kernel is the standard choice for BBO because it assumes functions are twice differentiable, which is a reasonable prior for most real-world processes and produces smoother interpolation than the Matern 3/2 while avoiding the infinite differentiability assumption of the RBF kernel that can </w:t>
      </w:r>
      <w:proofErr w:type="spellStart"/>
      <w:r>
        <w:t>oversmooth</w:t>
      </w:r>
      <w:proofErr w:type="spellEnd"/>
      <w:r>
        <w:t xml:space="preserve"> near optima. NumPy handles all array operations and candidate generation, and SciPy </w:t>
      </w:r>
      <w:proofErr w:type="spellStart"/>
      <w:r>
        <w:t>cdist</w:t>
      </w:r>
      <w:proofErr w:type="spellEnd"/>
      <w:r>
        <w:t xml:space="preserve"> supports the max-distance strategy for Function 1. </w:t>
      </w:r>
      <w:proofErr w:type="spellStart"/>
      <w:r>
        <w:t>GPyTorch</w:t>
      </w:r>
      <w:proofErr w:type="spellEnd"/>
      <w:r>
        <w:t xml:space="preserve"> was evaluated as an alternative to scikit-learn for its GPU support and scalability, but at 15 to 25 data points per function it adds engineering overhead with no performance benefit. </w:t>
      </w:r>
      <w:proofErr w:type="spellStart"/>
      <w:r>
        <w:t>PyTorch</w:t>
      </w:r>
      <w:proofErr w:type="spellEnd"/>
      <w:r>
        <w:t xml:space="preserve"> and TensorFlow were ruled out for the same reason: the sample sizes do not justify the complexity of a neural surrogate.</w:t>
      </w:r>
    </w:p>
    <w:p w14:paraId="7B5F39C0" w14:textId="77777777" w:rsidR="009A3AFB" w:rsidRDefault="00000000">
      <w:pPr>
        <w:pStyle w:val="Heading2"/>
      </w:pPr>
      <w:r>
        <w:t>Documenting Justifications in the GitHub Repository</w:t>
      </w:r>
    </w:p>
    <w:p w14:paraId="0F3782D3" w14:textId="77777777" w:rsidR="009A3AFB" w:rsidRDefault="00000000">
      <w:pPr>
        <w:spacing w:after="180"/>
      </w:pPr>
      <w:r>
        <w:t xml:space="preserve">The GitHub repository already documents core technical decisions through the README and weekly notebooks. I plan to add a dedicated METHODS.md file at the </w:t>
      </w:r>
      <w:r>
        <w:lastRenderedPageBreak/>
        <w:t>root that cites the three key papers, explains the kernel choice, and describes the kappa decay schedule with the rationale for each function-specific value. Each notebook already includes a summary comment block explaining the round number and strategy changes. METHODS.md will link these to the underlying literature so a reviewer can trace any design decision back to its source without reading every notebook. This separation of concerns, strategy execution in the notebooks and theoretical grounding in METHODS.md, mirrors how production ML systems document model cards separately from training code.</w:t>
      </w:r>
    </w:p>
    <w:p w14:paraId="5FA286BB" w14:textId="77777777" w:rsidR="009A3AFB" w:rsidRDefault="00000000">
      <w:pPr>
        <w:pStyle w:val="Heading2"/>
      </w:pPr>
      <w:r>
        <w:t>Additional Sources to Consult Going Forward</w:t>
      </w:r>
    </w:p>
    <w:p w14:paraId="7917A8F8" w14:textId="3DC16B95" w:rsidR="009A3AFB" w:rsidRDefault="00000000">
      <w:pPr>
        <w:spacing w:after="200"/>
      </w:pPr>
      <w:r>
        <w:t xml:space="preserve">Several sources are worth consulting </w:t>
      </w:r>
      <w:proofErr w:type="gramStart"/>
      <w:r>
        <w:t>in</w:t>
      </w:r>
      <w:proofErr w:type="gramEnd"/>
      <w:r>
        <w:t xml:space="preserve"> the remaining rounds. </w:t>
      </w:r>
      <w:proofErr w:type="spellStart"/>
      <w:r>
        <w:t>BoTorch</w:t>
      </w:r>
      <w:proofErr w:type="spellEnd"/>
      <w:r>
        <w:t xml:space="preserve">, the </w:t>
      </w:r>
      <w:proofErr w:type="spellStart"/>
      <w:r>
        <w:t>PyTorch</w:t>
      </w:r>
      <w:proofErr w:type="spellEnd"/>
      <w:r>
        <w:t xml:space="preserve">-based Bayesian </w:t>
      </w:r>
      <w:r w:rsidR="00B146D8">
        <w:t>optimization</w:t>
      </w:r>
      <w:r>
        <w:t xml:space="preserve"> library from Meta, implements advanced acquisition functions including Knowledge Gradient and batch UCB that could improve query efficiency if the project were extended. The </w:t>
      </w:r>
      <w:proofErr w:type="spellStart"/>
      <w:r>
        <w:t>GPyTorch</w:t>
      </w:r>
      <w:proofErr w:type="spellEnd"/>
      <w:r>
        <w:t xml:space="preserve"> documentation and its benchmark comparisons with scikit-learn would inform any scaling decision. For the specific function contexts, reviewing literature on Gaussian process surrogate models in drug discovery and hyperparameter </w:t>
      </w:r>
      <w:r w:rsidR="00B146D8">
        <w:t>optimization</w:t>
      </w:r>
      <w:r>
        <w:t xml:space="preserve"> would help calibrate how much improvement is realistic given the query budget. </w:t>
      </w:r>
      <w:proofErr w:type="spellStart"/>
      <w:r>
        <w:t>AutoML</w:t>
      </w:r>
      <w:proofErr w:type="spellEnd"/>
      <w:r>
        <w:t xml:space="preserve"> benchmarking suites such as </w:t>
      </w:r>
      <w:proofErr w:type="spellStart"/>
      <w:r>
        <w:t>HPOBench</w:t>
      </w:r>
      <w:proofErr w:type="spellEnd"/>
      <w:r>
        <w:t xml:space="preserve"> provide empirical baselines for what GP-UCB achieves on similar problem types, which would allow the capstone results to be </w:t>
      </w:r>
      <w:r w:rsidR="00B146D8">
        <w:t>contextualized</w:t>
      </w:r>
      <w:r>
        <w:t xml:space="preserve"> against published benchmarks rather than just internal round-to-round comparisons.</w:t>
      </w:r>
    </w:p>
    <w:p w14:paraId="1BBA27A9" w14:textId="77777777" w:rsidR="009A3AFB" w:rsidRDefault="00000000">
      <w:pPr>
        <w:pBdr>
          <w:top w:val="single" w:sz="4" w:space="6" w:color="CCCCCC"/>
        </w:pBdr>
        <w:spacing w:before="300"/>
      </w:pPr>
      <w:r>
        <w:rPr>
          <w:i/>
          <w:iCs/>
          <w:color w:val="777777"/>
          <w:sz w:val="18"/>
          <w:szCs w:val="18"/>
        </w:rPr>
        <w:t xml:space="preserve">Key references: Snoek et al. (2012); Brochu et al. (2010); Srinivas et al. (2010) | Libraries: scikit-learn, NumPy, SciPy | Potential extensions: </w:t>
      </w:r>
      <w:proofErr w:type="spellStart"/>
      <w:r>
        <w:rPr>
          <w:i/>
          <w:iCs/>
          <w:color w:val="777777"/>
          <w:sz w:val="18"/>
          <w:szCs w:val="18"/>
        </w:rPr>
        <w:t>BoTorch</w:t>
      </w:r>
      <w:proofErr w:type="spellEnd"/>
      <w:r>
        <w:rPr>
          <w:i/>
          <w:iCs/>
          <w:color w:val="777777"/>
          <w:sz w:val="18"/>
          <w:szCs w:val="18"/>
        </w:rPr>
        <w:t xml:space="preserve">, </w:t>
      </w:r>
      <w:proofErr w:type="spellStart"/>
      <w:r>
        <w:rPr>
          <w:i/>
          <w:iCs/>
          <w:color w:val="777777"/>
          <w:sz w:val="18"/>
          <w:szCs w:val="18"/>
        </w:rPr>
        <w:t>GPyTorch</w:t>
      </w:r>
      <w:proofErr w:type="spellEnd"/>
      <w:r>
        <w:rPr>
          <w:i/>
          <w:iCs/>
          <w:color w:val="777777"/>
          <w:sz w:val="18"/>
          <w:szCs w:val="18"/>
        </w:rPr>
        <w:t xml:space="preserve">, </w:t>
      </w:r>
      <w:proofErr w:type="spellStart"/>
      <w:r>
        <w:rPr>
          <w:i/>
          <w:iCs/>
          <w:color w:val="777777"/>
          <w:sz w:val="18"/>
          <w:szCs w:val="18"/>
        </w:rPr>
        <w:t>HPOBench</w:t>
      </w:r>
      <w:proofErr w:type="spellEnd"/>
    </w:p>
    <w:sectPr w:rsidR="009A3A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86B23"/>
    <w:multiLevelType w:val="hybridMultilevel"/>
    <w:tmpl w:val="D892173E"/>
    <w:lvl w:ilvl="0" w:tplc="FA3EE14E">
      <w:start w:val="1"/>
      <w:numFmt w:val="bullet"/>
      <w:lvlText w:val="●"/>
      <w:lvlJc w:val="left"/>
      <w:pPr>
        <w:ind w:left="720" w:hanging="360"/>
      </w:pPr>
    </w:lvl>
    <w:lvl w:ilvl="1" w:tplc="019C084C">
      <w:start w:val="1"/>
      <w:numFmt w:val="bullet"/>
      <w:lvlText w:val="○"/>
      <w:lvlJc w:val="left"/>
      <w:pPr>
        <w:ind w:left="1440" w:hanging="360"/>
      </w:pPr>
    </w:lvl>
    <w:lvl w:ilvl="2" w:tplc="A85C7EB6">
      <w:start w:val="1"/>
      <w:numFmt w:val="bullet"/>
      <w:lvlText w:val="■"/>
      <w:lvlJc w:val="left"/>
      <w:pPr>
        <w:ind w:left="2160" w:hanging="360"/>
      </w:pPr>
    </w:lvl>
    <w:lvl w:ilvl="3" w:tplc="96D01DAA">
      <w:start w:val="1"/>
      <w:numFmt w:val="bullet"/>
      <w:lvlText w:val="●"/>
      <w:lvlJc w:val="left"/>
      <w:pPr>
        <w:ind w:left="2880" w:hanging="360"/>
      </w:pPr>
    </w:lvl>
    <w:lvl w:ilvl="4" w:tplc="739C8762">
      <w:start w:val="1"/>
      <w:numFmt w:val="bullet"/>
      <w:lvlText w:val="○"/>
      <w:lvlJc w:val="left"/>
      <w:pPr>
        <w:ind w:left="3600" w:hanging="360"/>
      </w:pPr>
    </w:lvl>
    <w:lvl w:ilvl="5" w:tplc="1C345210">
      <w:start w:val="1"/>
      <w:numFmt w:val="bullet"/>
      <w:lvlText w:val="■"/>
      <w:lvlJc w:val="left"/>
      <w:pPr>
        <w:ind w:left="4320" w:hanging="360"/>
      </w:pPr>
    </w:lvl>
    <w:lvl w:ilvl="6" w:tplc="91061978">
      <w:start w:val="1"/>
      <w:numFmt w:val="bullet"/>
      <w:lvlText w:val="●"/>
      <w:lvlJc w:val="left"/>
      <w:pPr>
        <w:ind w:left="5040" w:hanging="360"/>
      </w:pPr>
    </w:lvl>
    <w:lvl w:ilvl="7" w:tplc="77EE5FCA">
      <w:start w:val="1"/>
      <w:numFmt w:val="bullet"/>
      <w:lvlText w:val="●"/>
      <w:lvlJc w:val="left"/>
      <w:pPr>
        <w:ind w:left="5760" w:hanging="360"/>
      </w:pPr>
    </w:lvl>
    <w:lvl w:ilvl="8" w:tplc="235A89BC">
      <w:start w:val="1"/>
      <w:numFmt w:val="bullet"/>
      <w:lvlText w:val="●"/>
      <w:lvlJc w:val="left"/>
      <w:pPr>
        <w:ind w:left="6480" w:hanging="360"/>
      </w:pPr>
    </w:lvl>
  </w:abstractNum>
  <w:num w:numId="1" w16cid:durableId="715400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AFB"/>
    <w:rsid w:val="009A3AFB"/>
    <w:rsid w:val="009C728B"/>
    <w:rsid w:val="00B1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1842E"/>
  <w15:docId w15:val="{39A169D5-8056-4C6B-9CCA-B8B6CB65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2</cp:revision>
  <dcterms:created xsi:type="dcterms:W3CDTF">2026-04-27T18:04:00Z</dcterms:created>
  <dcterms:modified xsi:type="dcterms:W3CDTF">2026-04-27T18:13:00Z</dcterms:modified>
</cp:coreProperties>
</file>