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BBO Capstone: Week 11 Reflection</w:t>
      </w:r>
    </w:p>
    <w:p>
      <w:pPr>
        <w:spacing w:after="260"/>
      </w:pPr>
      <w:r>
        <w:rPr>
          <w:i/>
          <w:iCs/>
          <w:color w:val="555555"/>
          <w:sz w:val="22"/>
          <w:szCs w:val="22"/>
        </w:rPr>
        <w:t xml:space="preserve">Round 11 | Clustering patterns, query refinement and unsupervised structure in the search space</w:t>
      </w:r>
    </w:p>
    <w:p>
      <w:pPr>
        <w:pStyle w:val="Heading2"/>
      </w:pPr>
      <w:r>
        <w:t xml:space="preserve">How Past Patterns Shaped the Latest Choices</w:t>
      </w:r>
    </w:p>
    <w:p>
      <w:pPr>
        <w:spacing w:after="180"/>
      </w:pPr>
      <w:r>
        <w:rPr>
          <w:rFonts w:ascii="Arial" w:cs="Arial" w:eastAsia="Arial" w:hAnsi="Arial"/>
          <w:sz w:val="24"/>
          <w:szCs w:val="24"/>
        </w:rPr>
        <w:t xml:space="preserve">Ten rounds of queries have established clear patterns that directly shaped the Week 11 choices. Functions that produced new bests in Round 10 -- F3 near its all-time best, F4 with a new peak of 0.520 and F5 at 6641 -- all receive kappa=0.5 to concentrate the next query tightly around the confirmed region. Functions that have regressed repeatedly without recovering, F6 and F7, receive kappa=2.5 to push the acquisition function into genuinely new territory. The clearest pattern-based decision is for F8: its best came in Round 9 but Round 10 regressed, so kappa=1.5 was chosen rather than the tight exploitation rate of 0.5, recognising that the GP may have moved too far from the productive region.</w:t>
      </w:r>
    </w:p>
    <w:p>
      <w:pPr>
        <w:pStyle w:val="Heading2"/>
      </w:pPr>
      <w:r>
        <w:t xml:space="preserve">Identified Clusters and Promising Regions</w:t>
      </w:r>
    </w:p>
    <w:p>
      <w:pPr>
        <w:spacing w:after="180"/>
      </w:pPr>
      <w:r>
        <w:rPr>
          <w:rFonts w:ascii="Arial" w:cs="Arial" w:eastAsia="Arial" w:hAnsi="Arial"/>
          <w:sz w:val="24"/>
          <w:szCs w:val="24"/>
        </w:rPr>
        <w:t xml:space="preserve">Several functions show identifiable high-output clusters. For F5, every new best has come from the upper-right corner of the input space, consistently requiring x3 and x4 above 0.93 -- a well-defined cluster the GP has converged on confidently. For F4, the positive cluster is narrow: the R4 result at approximately [0.437, 0.344, 0.415, 0.381] and the R10 new best at [0.369, 0.372, 0.424, 0.381] sit close together, suggesting a genuine local peak. For F1, no cluster exists after 10 rounds of systematic coverage. The observations are as uniformly distributed as the sweep strategy allows, yet every output is indistinguishable from zero.</w:t>
      </w:r>
    </w:p>
    <w:p>
      <w:pPr>
        <w:pStyle w:val="Heading2"/>
      </w:pPr>
      <w:r>
        <w:t xml:space="preserve">Less Effective Strategies and Adjustments</w:t>
      </w:r>
    </w:p>
    <w:p>
      <w:pPr>
        <w:spacing w:after="180"/>
      </w:pPr>
      <w:r>
        <w:rPr>
          <w:rFonts w:ascii="Arial" w:cs="Arial" w:eastAsia="Arial" w:hAnsi="Arial"/>
          <w:sz w:val="24"/>
          <w:szCs w:val="24"/>
        </w:rPr>
        <w:t xml:space="preserve">The least effective strategy has been applying kappa=0.5 immediately after a new best that is followed by a regression. For F2, tight exploitation after the R9 best of 0.647 returned 0.601 rather than an improvement. For F8 the same pattern appeared after the R9 peak. In both cases a kappa of 1.0 or 1.5 would have explored a slightly wider neighbourhood without losing the signal entirely. The adjustment from Round 11 is to treat a regression after a new best as evidence that the peak is narrow and that a moderate neighbourhood search is preferable to tight exploitation until the basin is better mapped.</w:t>
      </w:r>
    </w:p>
    <w:p>
      <w:pPr>
        <w:pStyle w:val="Heading2"/>
      </w:pPr>
      <w:r>
        <w:t xml:space="preserve">Parallels with Clustering Algorithms</w:t>
      </w:r>
    </w:p>
    <w:p>
      <w:pPr>
        <w:spacing w:after="180"/>
      </w:pPr>
      <w:r>
        <w:rPr>
          <w:rFonts w:ascii="Arial" w:cs="Arial" w:eastAsia="Arial" w:hAnsi="Arial"/>
          <w:sz w:val="24"/>
          <w:szCs w:val="24"/>
        </w:rPr>
        <w:t xml:space="preserve">This process closely parallels k-means clustering. The GP acquisition function acts as a soft cluster assignment: high-output regions accumulate more queries and each candidate is scored by its likely membership in a high-value cluster. Kappa controls the cluster boundary softness -- low kappa produces tight high-confidence clusters, high kappa produces broader exploratory assignments equivalent to initialising k-means with a wider spread. Functions 6 and 7 have produced diffuse noisy distributions with no clear centroid, which is exactly what a clustering algorithm would flag as a poorly separable dataset requiring more iterations or a different distance metric.</w:t>
      </w:r>
    </w:p>
    <w:p>
      <w:pPr>
        <w:pStyle w:val="Heading2"/>
      </w:pPr>
      <w:r>
        <w:t xml:space="preserve">Trends and Groupings in the Query Results</w:t>
      </w:r>
    </w:p>
    <w:p>
      <w:pPr>
        <w:spacing w:after="200"/>
      </w:pPr>
      <w:r>
        <w:rPr>
          <w:rFonts w:ascii="Arial" w:cs="Arial" w:eastAsia="Arial" w:hAnsi="Arial"/>
          <w:sz w:val="24"/>
          <w:szCs w:val="24"/>
        </w:rPr>
        <w:t xml:space="preserve">Plotting all query results would reveal distinct groupings. F5 would show a dense cluster of high outputs near the upper-right of the input space. F4 would show two isolated positive spikes in Rounds 4 and 10 surrounded by negative values, visually resembling an outlier cluster. F7 would appear almost entirely flat near zero after the R2 peak, suggesting the high-output basin was found early and has not been relocatable since. These patterns directly inform the next iteration: the two-spike pattern in F4 suggests the productive region is real and worth sustained exploitation, while the flat pattern in F7 suggests the current search is in the wrong part of the space.</w:t>
      </w:r>
    </w:p>
    <w:p>
      <w:pPr>
        <w:pBdr>
          <w:top w:val="single" w:color="CCCCCC" w:sz="4" w:space="6"/>
        </w:pBdr>
        <w:spacing w:before="300"/>
      </w:pPr>
      <w:r>
        <w:rPr>
          <w:i/>
          <w:iCs/>
          <w:color w:val="777777"/>
          <w:sz w:val="18"/>
          <w:szCs w:val="18"/>
        </w:rPr>
        <w:t xml:space="preserve">Method: GP + adaptive UCB | kappa in {0.5, 1.5, 2.0, 2.5} | 100,000 candidates | Matern 5/2 kernel | F1: planned sweep W11 [0.272742, 0.308863]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2026-06-10T15:08:59.397Z</dcterms:created>
  <dcterms:modified xsi:type="dcterms:W3CDTF">2026-06-10T15:08:59.410Z</dcterms:modified>
</cp:coreProperties>
</file>

<file path=docProps/custom.xml><?xml version="1.0" encoding="utf-8"?>
<Properties xmlns="http://schemas.openxmlformats.org/officeDocument/2006/custom-properties" xmlns:vt="http://schemas.openxmlformats.org/officeDocument/2006/docPropsVTypes"/>
</file>