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BBO Capstone: Week 5 Primary Reflection</w:t>
      </w:r>
    </w:p>
    <w:p>
      <w:pPr>
        <w:spacing w:after="260"/>
      </w:pPr>
      <w:r>
        <w:rPr>
          <w:i/>
          <w:iCs/>
          <w:color w:val="555555"/>
          <w:sz w:val="22"/>
          <w:szCs w:val="22"/>
        </w:rPr>
        <w:t xml:space="preserve">Round 5 | Deep learning concepts applied to black-box optimisation strategy</w:t>
      </w:r>
    </w:p>
    <w:p>
      <w:pPr>
        <w:pStyle w:val="Heading2"/>
      </w:pPr>
      <w:r>
        <w:t xml:space="preserve">Hierarchical Feature Learning and Optimisation Strategy</w:t>
      </w:r>
    </w:p>
    <w:p>
      <w:pPr>
        <w:spacing w:after="180"/>
      </w:pPr>
      <w:r>
        <w:rPr>
          <w:rFonts w:ascii="Arial" w:cs="Arial" w:eastAsia="Arial" w:hAnsi="Arial"/>
          <w:sz w:val="24"/>
          <w:szCs w:val="24"/>
        </w:rPr>
        <w:t xml:space="preserve">Hierarchical feature learning has a useful parallel in how the GP surrogate develops over rounds. Early on, the model mapped only broad patterns: which regions produced non-zero or above-average outputs. By Round 4, with 24 to 44 data points per function, the GP models more structured relationships, such as the interaction between x3 and x4 in Function 5 and the sensitivity profile across Function 8's eight dimensions. This shift from coarse mapping to finer local modelling mirrors how a deep network moves from edge detection in early layers to object recognition in later ones. It directly informed the decision to reduce kappa for consistently improving functions, since the surrogate now has enough layered context to guide exploitation.</w:t>
      </w:r>
    </w:p>
    <w:p>
      <w:pPr>
        <w:pStyle w:val="Heading2"/>
      </w:pPr>
      <w:r>
        <w:t xml:space="preserve">AlexNet-Style Breakthroughs vs Incremental Gains</w:t>
      </w:r>
    </w:p>
    <w:p>
      <w:pPr>
        <w:spacing w:after="180"/>
      </w:pPr>
      <w:r>
        <w:rPr>
          <w:rFonts w:ascii="Arial" w:cs="Arial" w:eastAsia="Arial" w:hAnsi="Arial"/>
          <w:sz w:val="24"/>
          <w:szCs w:val="24"/>
        </w:rPr>
        <w:t xml:space="preserve">The AlexNet moment represented a discontinuous performance jump driven by a change in approach rather than marginal tuning. Function 4 produced an equivalent breakthrough in Round 4: after three rounds of negative outputs and two regressions, a single query returned the first positive value of 0.366. This was not the result of a small adjustment but of sustained exploratory pressure finally landing in a genuinely different region. Functions 5 and 8 follow a different pattern, analogous to post-AlexNet improvements where gains are incremental rather than transformative. Recognising which trajectory a function is on determines whether the right response is to hold the current strategy or reset it entirely.</w:t>
      </w:r>
    </w:p>
    <w:p>
      <w:pPr>
        <w:pStyle w:val="Heading2"/>
      </w:pPr>
      <w:r>
        <w:t xml:space="preserve">Depth, Complexity and Exploration-Exploitation Trade-offs</w:t>
      </w:r>
    </w:p>
    <w:p>
      <w:pPr>
        <w:spacing w:after="180"/>
      </w:pPr>
      <w:r>
        <w:rPr>
          <w:rFonts w:ascii="Arial" w:cs="Arial" w:eastAsia="Arial" w:hAnsi="Arial"/>
          <w:sz w:val="24"/>
          <w:szCs w:val="24"/>
        </w:rPr>
        <w:t xml:space="preserve">Adding depth to a neural network increases representational power but introduces instability and a harder optimisation landscape. The same tension appears in BBO. A high kappa value covers more ground but is inefficient once the landscape is understood. Reducing kappa to 0.5 for Functions 4, 5, 6 and 8 this round is analogous to fixing an architecture after validation plateaus and focusing on weight fine-tuning. The accepted trade-off is that tight exploitation risks missing a better global basin if the current region is only a local peak, the same bias-variance tension that runs through every model selection decision.</w:t>
      </w:r>
    </w:p>
    <w:p>
      <w:pPr>
        <w:pStyle w:val="Heading2"/>
      </w:pPr>
      <w:r>
        <w:t xml:space="preserve">Building Blocks: Inputs, Activations, Loss and Gradients</w:t>
      </w:r>
    </w:p>
    <w:p>
      <w:pPr>
        <w:spacing w:after="180"/>
      </w:pPr>
      <w:r>
        <w:rPr>
          <w:rFonts w:ascii="Arial" w:cs="Arial" w:eastAsia="Arial" w:hAnsi="Arial"/>
          <w:sz w:val="24"/>
          <w:szCs w:val="24"/>
        </w:rPr>
        <w:t xml:space="preserve">Of the neural network building blocks covered in this module, gradients and loss functions have been most directly relevant. The GP acquisition function acts as a proxy for where the loss is likely to decrease most. Kappa functions like a learning rate: too high and the model overshoots, too low and it converges prematurely. The concept of weight updates maps onto how GP kernel parameters are re-optimised each round by maximising marginal likelihood, adjusting the model's internal representation of smoothness as new data arrives. Thinking of each query as a gradient step that nudges the surrogate toward a more accurate surface made it easier to accept that a single regression does not invalidate the overall trajectory.</w:t>
      </w:r>
    </w:p>
    <w:p>
      <w:pPr>
        <w:pStyle w:val="Heading2"/>
      </w:pPr>
      <w:r>
        <w:t xml:space="preserve">Framework: Rapid Prototyping vs Production-Ready Design</w:t>
      </w:r>
    </w:p>
    <w:p>
      <w:pPr>
        <w:spacing w:after="180"/>
      </w:pPr>
      <w:r>
        <w:rPr>
          <w:rFonts w:ascii="Arial" w:cs="Arial" w:eastAsia="Arial" w:hAnsi="Arial"/>
          <w:sz w:val="24"/>
          <w:szCs w:val="24"/>
        </w:rPr>
        <w:t xml:space="preserve">The current approach sits closer to rapid prototyping than production-ready design. Kappa values, candidate pool size and the Function 1 grid resolution have all been adjusted round by round, analogous to iterating in PyTorch rather than deploying a fixed TensorFlow serving pipeline. The advantage is genuine responsiveness to unexpected results, including the Function 4 breakthrough and Function 1's persistent silence. A production framing would impose a fixed decay schedule and stopping rule, which would be easier to audit but less adaptive. As the project enters its final rounds, the approach is shifting toward the production end: kappa is increasingly fixed for stable functions and the max-distance rule for Function 1 is systematic rather than ad hoc.</w:t>
      </w:r>
    </w:p>
    <w:p>
      <w:pPr>
        <w:pStyle w:val="Heading2"/>
      </w:pPr>
      <w:r>
        <w:t xml:space="preserve">Real-World Deep Learning Use Cases as Benchmarks</w:t>
      </w:r>
    </w:p>
    <w:p>
      <w:pPr>
        <w:spacing w:after="200"/>
      </w:pPr>
      <w:r>
        <w:rPr>
          <w:rFonts w:ascii="Arial" w:cs="Arial" w:eastAsia="Arial" w:hAnsi="Arial"/>
          <w:sz w:val="24"/>
          <w:szCs w:val="24"/>
        </w:rPr>
        <w:t xml:space="preserve">Giovanni Liotta's work in sports analytics illustrates that real-world deep learning success is rarely defined by a single metric. A model improving injury prediction by 10% has commercial value even far from perfection. This reframes capstone success. Function 5 reaching 5079 from an initial best of 1088 is a fourfold improvement that would be meaningful in drug discovery or process optimisation regardless of whether the global maximum has been found. Function 1's silence is not a failure but an informative result: it characterises the function as one with an extremely narrow support. Benchmarking against what the initial data suggested was achievable, rather than an unknown theoretical ceiling, is the more honest measure of progress.</w:t>
      </w:r>
    </w:p>
    <w:p>
      <w:pPr>
        <w:pBdr>
          <w:top w:val="single" w:color="CCCCCC" w:sz="4" w:space="6"/>
        </w:pBdr>
        <w:spacing w:before="300"/>
      </w:pPr>
      <w:r>
        <w:rPr>
          <w:i/>
          <w:iCs/>
          <w:color w:val="777777"/>
          <w:sz w:val="18"/>
          <w:szCs w:val="18"/>
        </w:rPr>
        <w:t xml:space="preserve">Method: GP + adaptive UCB | kappa in {0.5, 2.5} | 100,000 candidates | Matern 5/2 kernel | F1: max-distance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2026-04-22T21:51:07.847Z</dcterms:created>
  <dcterms:modified xsi:type="dcterms:W3CDTF">2026-04-22T21:51:07.848Z</dcterms:modified>
</cp:coreProperties>
</file>

<file path=docProps/custom.xml><?xml version="1.0" encoding="utf-8"?>
<Properties xmlns="http://schemas.openxmlformats.org/officeDocument/2006/custom-properties" xmlns:vt="http://schemas.openxmlformats.org/officeDocument/2006/docPropsVTypes"/>
</file>