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BBO Capstone: Week 9 Reflection</w:t>
      </w:r>
    </w:p>
    <w:p>
      <w:pPr>
        <w:spacing w:after="260"/>
      </w:pPr>
      <w:r>
        <w:rPr>
          <w:i/>
          <w:iCs/>
          <w:color w:val="555555"/>
          <w:sz w:val="22"/>
          <w:szCs w:val="22"/>
        </w:rPr>
        <w:t xml:space="preserve">Round 9 | Scaling laws, emergent behavior and risk in black-box optimization</w:t>
      </w:r>
    </w:p>
    <w:p>
      <w:pPr>
        <w:pStyle w:val="Heading2"/>
      </w:pPr>
      <w:r>
        <w:t xml:space="preserve">Scaling Laws and Diminishing Returns</w:t>
      </w:r>
    </w:p>
    <w:p>
      <w:pPr>
        <w:spacing w:after="180"/>
      </w:pPr>
      <w:r>
        <w:rPr>
          <w:rFonts w:ascii="Arial" w:cs="Arial" w:eastAsia="Arial" w:hAnsi="Arial"/>
          <w:sz w:val="24"/>
          <w:szCs w:val="24"/>
        </w:rPr>
        <w:t xml:space="preserve">Scaling laws in LLMs describe how model performance improves predictably as a power function of compute, data and parameters. The same logic applies to the GP surrogate: as data accumulates the model becomes more accurate in proportion to the information each new point adds, but that marginal value diminishes as the data density increases in well-explored regions. After eight rounds this is visible across the functions. Function 8 has been within 0.002 of its best result for four consecutive rounds, a classic diminishing returns pattern where additional queries in the same region yield only marginal gains. Function 5 behaved differently: steady growth through early rounds gave way to a sharp jump to 5079 in Round 4, then continued gains to 6446. That non-linear trajectory mirrors the unpredictable scaling observed in LLMs where capability jumps cluster around thresholds rather than arriving smoothly. The practical response is the same in both cases: do not extrapolate linearly from recent performance.</w:t>
      </w:r>
    </w:p>
    <w:p>
      <w:pPr>
        <w:pStyle w:val="Heading2"/>
      </w:pPr>
      <w:r>
        <w:t xml:space="preserve">Emergent Behaviors and How to Prepare for Them</w:t>
      </w:r>
    </w:p>
    <w:p>
      <w:pPr>
        <w:spacing w:after="180"/>
      </w:pPr>
      <w:r>
        <w:rPr>
          <w:rFonts w:ascii="Arial" w:cs="Arial" w:eastAsia="Arial" w:hAnsi="Arial"/>
          <w:sz w:val="24"/>
          <w:szCs w:val="24"/>
        </w:rPr>
        <w:t xml:space="preserve">Emergent behavior in LLMs refers to capabilities that appear suddenly at scale without being predictable at smaller scales. In the BBO context, the closest analog is a function whose output landscape has a narrow high-value basin that the GP cannot model accurately until enough surrounding data has been collected. Function 4 showed exactly this: nine rounds of negative or near-zero outputs, then a jump to 0.366 in Round 4 that has not been repeated since. That single observation represents an emergent signal in the data that the GP cannot reliably reconstruct because it sits isolated from every other point. I am preparing for this by maintaining kappa at 2.5 for F4 and F7 rather than exploiting prematurely around a result that might be an artifact, and by treating any large single-round improvement with skepticism rather than immediately reducing kappa to consolidate around it.</w:t>
      </w:r>
    </w:p>
    <w:p>
      <w:pPr>
        <w:pStyle w:val="Heading2"/>
      </w:pPr>
      <w:r>
        <w:t xml:space="preserve">Trade-offs Between Cost, Robustness and Performance</w:t>
      </w:r>
    </w:p>
    <w:p>
      <w:pPr>
        <w:spacing w:after="180"/>
      </w:pPr>
      <w:r>
        <w:rPr>
          <w:rFonts w:ascii="Arial" w:cs="Arial" w:eastAsia="Arial" w:hAnsi="Arial"/>
          <w:sz w:val="24"/>
          <w:szCs w:val="24"/>
        </w:rPr>
        <w:t xml:space="preserve">The dominant trade-off at this stage is between computational robustness and performance. The GP with Matern 5/2 kernel is a robust choice: it degrades gracefully with bad data, makes calibrated uncertainty estimates and does not overfit the way a neural surrogate would. The cost is that it scales poorly with dataset size due to cubic complexity in the number of observations. At 48 points for Function 8 this is not yet a practical constraint, but it will become one if the project extends further. A more performant alternative like a neural network surrogate would scale better but would sacrifice the calibrated uncertainty that drives the acquisition function. The decision to stay with the GP reflects a judgment that robustness and interpretability outweigh raw performance at this data scale, consistent with how smaller but more reliable models are often preferred in production ML systems over larger models with unpredictable failure modes.</w:t>
      </w:r>
    </w:p>
    <w:p>
      <w:pPr>
        <w:pStyle w:val="Heading2"/>
      </w:pPr>
      <w:r>
        <w:t xml:space="preserve">Balancing Predictable Optimization Against Emergent Risk</w:t>
      </w:r>
    </w:p>
    <w:p>
      <w:pPr>
        <w:spacing w:after="200"/>
      </w:pPr>
      <w:r>
        <w:rPr>
          <w:rFonts w:ascii="Arial" w:cs="Arial" w:eastAsia="Arial" w:hAnsi="Arial"/>
          <w:sz w:val="24"/>
          <w:szCs w:val="24"/>
        </w:rPr>
        <w:t xml:space="preserve">Balancing predictable optimization with emergent risk requires holding two strategies simultaneously. For functions with clear trajectories, namely Functions 5 and 8 where results have been consistent, the approach is fully exploitative: low kappa concentrates queries near the known best region and the GP is trusted to guide the search accurately. For functions where the landscape has been unstable, specifically Functions 2, 4 and 7 where large swings have occurred without pattern, the approach remains exploratory because the GP model is not reliable enough to exploit confidently. This mirrors how production ML teams manage model risk: well-understood components get optimized aggressively while components with unpredictable behavior are monitored conservatively and not deployed at full scale until confidence is established. The one-query-per-week constraint makes this distinction consequential in a way that unlimited compute would not.</w:t>
      </w:r>
    </w:p>
    <w:p>
      <w:pPr>
        <w:pBdr>
          <w:top w:val="single" w:color="CCCCCC" w:sz="4" w:space="6"/>
        </w:pBdr>
        <w:spacing w:before="300"/>
      </w:pPr>
      <w:r>
        <w:rPr>
          <w:i/>
          <w:iCs/>
          <w:color w:val="777777"/>
          <w:sz w:val="18"/>
          <w:szCs w:val="18"/>
        </w:rPr>
        <w:t xml:space="preserve">Method: GP + adaptive UCB | kappa in {0.5, 1.5, 2.0, 2.5} | 100,000 candidates | Matern 5/2 kernel | F1: max-distance sweep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2026-05-27T17:01:29.027Z</dcterms:created>
  <dcterms:modified xsi:type="dcterms:W3CDTF">2026-05-27T17:01:29.037Z</dcterms:modified>
</cp:coreProperties>
</file>

<file path=docProps/custom.xml><?xml version="1.0" encoding="utf-8"?>
<Properties xmlns="http://schemas.openxmlformats.org/officeDocument/2006/custom-properties" xmlns:vt="http://schemas.openxmlformats.org/officeDocument/2006/docPropsVTypes"/>
</file>