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BBO Capstone: Week 10 Reflection (21.1)</w:t>
      </w:r>
    </w:p>
    <w:p>
      <w:pPr>
        <w:spacing w:after="260"/>
      </w:pPr>
      <w:r>
        <w:rPr>
          <w:i/>
          <w:iCs/>
          <w:color w:val="555555"/>
          <w:sz w:val="22"/>
          <w:szCs w:val="22"/>
        </w:rPr>
        <w:t xml:space="preserve">Round 10 | Transparency, interpretability and critical evaluation at the midpoint</w:t>
      </w:r>
    </w:p>
    <w:p>
      <w:pPr>
        <w:pStyle w:val="Heading2"/>
      </w:pPr>
      <w:r>
        <w:t xml:space="preserve">Round 10 Strategy and Pattern Recognition</w:t>
      </w:r>
    </w:p>
    <w:p>
      <w:pPr>
        <w:spacing w:after="180"/>
      </w:pPr>
      <w:r>
        <w:rPr>
          <w:rFonts w:ascii="Arial" w:cs="Arial" w:eastAsia="Arial" w:hAnsi="Arial"/>
          <w:sz w:val="24"/>
          <w:szCs w:val="24"/>
        </w:rPr>
        <w:t xml:space="preserve">Round 10 applies three distinct strategies simultaneously. Functions 2 and 8, which produced new all-time bests in Round 9, receive kappa=0.5 to concentrate queries near the confirmed high-output regions. Function 4, which returned a positive value again, receives kappa=1.0 to exploit near the R4 basin without fully committing. Functions 3, 6 and 7, which all regressed, receive kappa=2.5 to push into genuinely new regions. Function 5 sits at kappa=2.0 after three consecutive declining rounds, suggesting the R7 peak at 6446 may have been a local maximum rather than a stepping stone. Function 1 uses the first of four pre-planned sweep coordinates targeting the central-left region, part of the systematic grid strategy adopted after nine rounds of zero signal.</w:t>
      </w:r>
    </w:p>
    <w:p>
      <w:pPr>
        <w:pStyle w:val="Heading2"/>
      </w:pPr>
      <w:r>
        <w:t xml:space="preserve">Transparency and Reproducibility</w:t>
      </w:r>
    </w:p>
    <w:p>
      <w:pPr>
        <w:spacing w:after="180"/>
      </w:pPr>
      <w:r>
        <w:rPr>
          <w:rFonts w:ascii="Arial" w:cs="Arial" w:eastAsia="Arial" w:hAnsi="Arial"/>
          <w:sz w:val="24"/>
          <w:szCs w:val="24"/>
        </w:rPr>
        <w:t xml:space="preserve">The process is documented for reproduction. Each notebook records the kappa value assigned to every function, the reason for any change, the acquisition function formula, candidate pool size, seed and full submission string. The GitHub repository contains a METHODS.md file citing the three underpinning papers and a README with a round-by-round progress table. What a reviewer would additionally need is the portal output values, stored in the weekly text files committed to the outputs folder. Those artefacts together constitute a complete audit trail from initial data through every query to the current results.</w:t>
      </w:r>
    </w:p>
    <w:p>
      <w:pPr>
        <w:pStyle w:val="Heading2"/>
      </w:pPr>
      <w:r>
        <w:t xml:space="preserve">Key Assumptions</w:t>
      </w:r>
    </w:p>
    <w:p>
      <w:pPr>
        <w:spacing w:after="180"/>
      </w:pPr>
      <w:r>
        <w:rPr>
          <w:rFonts w:ascii="Arial" w:cs="Arial" w:eastAsia="Arial" w:hAnsi="Arial"/>
          <w:sz w:val="24"/>
          <w:szCs w:val="24"/>
        </w:rPr>
        <w:t xml:space="preserve">The central assumption is that all functions are smooth enough to be modelled by a GP with a Matern 5/2 kernel, which assumes twice differentiability. If any function has discontinuities or an isolated spike, the GP will systematically underestimate the true maximum and misrepresent the basin width. Function 1 is the most likely violator: nine rounds of zero output suggests either a very narrow peak or a non-smooth surface where the true maximum sits in a spike the kernel averages away. Smoothness is what makes the model useful but also what makes it blind to certain landscapes.</w:t>
      </w:r>
    </w:p>
    <w:p>
      <w:pPr>
        <w:pStyle w:val="Heading2"/>
      </w:pPr>
      <w:r>
        <w:t xml:space="preserve">Gaps and Sampling Bias</w:t>
      </w:r>
    </w:p>
    <w:p>
      <w:pPr>
        <w:spacing w:after="180"/>
      </w:pPr>
      <w:r>
        <w:rPr>
          <w:rFonts w:ascii="Arial" w:cs="Arial" w:eastAsia="Arial" w:hAnsi="Arial"/>
          <w:sz w:val="24"/>
          <w:szCs w:val="24"/>
        </w:rPr>
        <w:t xml:space="preserve">Query distribution is not uniform, introducing sampling bias. For higher-dimensional functions, 100,000 candidates represent a small fraction of the search space and the GP naturally clusters subsequent queries near prior high-output regions. Functions 4, 7 and 2 all show this: queries converge toward a good result, fail to improve, then scatter outward. The unexplored space for 6D and 8D functions is vast relative to observations, meaning GP uncertainty outside sampled regions is driven by the prior rather than data. Results for higher-dimensional functions should therefore be treated as strong local optima rather than confident estimates of the global maximum.</w:t>
      </w:r>
    </w:p>
    <w:p>
      <w:pPr>
        <w:pStyle w:val="Heading2"/>
      </w:pPr>
      <w:r>
        <w:t xml:space="preserve">Significant Limitation</w:t>
      </w:r>
    </w:p>
    <w:p>
      <w:pPr>
        <w:spacing w:after="200"/>
      </w:pPr>
      <w:r>
        <w:rPr>
          <w:rFonts w:ascii="Arial" w:cs="Arial" w:eastAsia="Arial" w:hAnsi="Arial"/>
          <w:sz w:val="24"/>
          <w:szCs w:val="24"/>
        </w:rPr>
        <w:t xml:space="preserve">The most significant limitation is the one-query-per-week constraint with no parallel evaluation. Every decision must justify itself through a single observation, which means a wrong kappa choice wastes an entire round. Standard Bayesian optimization assumes several queries per iteration to validate acquisition recommendations. With one query per round, a single noisy result can misdirect strategy for several subsequent rounds, as seen with Functions 6 and 7 where individual bad results triggered kappa resets that moved the search away from previously productive regions.</w:t>
      </w:r>
    </w:p>
    <w:p>
      <w:pPr>
        <w:pBdr>
          <w:top w:val="single" w:color="CCCCCC" w:sz="4" w:space="6"/>
        </w:pBdr>
        <w:spacing w:before="300"/>
      </w:pPr>
      <w:r>
        <w:rPr>
          <w:i/>
          <w:iCs/>
          <w:color w:val="777777"/>
          <w:sz w:val="18"/>
          <w:szCs w:val="18"/>
        </w:rPr>
        <w:t xml:space="preserve">Method: GP + adaptive UCB | kappa in {0.5, 1.0, 2.0, 2.5} | 100,000 candidates | Matern 5/2 kernel | F1: planned grid sweep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2026-06-01T21:41:41.530Z</dcterms:created>
  <dcterms:modified xsi:type="dcterms:W3CDTF">2026-06-01T21:41:41.539Z</dcterms:modified>
</cp:coreProperties>
</file>

<file path=docProps/custom.xml><?xml version="1.0" encoding="utf-8"?>
<Properties xmlns="http://schemas.openxmlformats.org/officeDocument/2006/custom-properties" xmlns:vt="http://schemas.openxmlformats.org/officeDocument/2006/docPropsVTypes"/>
</file>