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BBO Capstone: Week 13 Final Reflection</w:t>
      </w:r>
    </w:p>
    <w:p>
      <w:pPr>
        <w:spacing w:after="260"/>
      </w:pPr>
      <w:r>
        <w:rPr>
          <w:i/>
          <w:iCs/>
          <w:color w:val="555555"/>
          <w:sz w:val="22"/>
          <w:szCs w:val="22"/>
        </w:rPr>
        <w:t xml:space="preserve">Round 13 | Reinforcement learning, exploration-exploitation and the end of the capstone</w:t>
      </w:r>
    </w:p>
    <w:p>
      <w:pPr>
        <w:pStyle w:val="Heading2"/>
      </w:pPr>
      <w:r>
        <w:t xml:space="preserve">Exploration-Exploitation Trade-off with Increasing Data</w:t>
      </w:r>
    </w:p>
    <w:p>
      <w:pPr>
        <w:spacing w:after="180"/>
      </w:pPr>
      <w:r>
        <w:rPr>
          <w:rFonts w:ascii="Arial" w:cs="Arial" w:eastAsia="Arial" w:hAnsi="Arial"/>
          <w:sz w:val="24"/>
          <w:szCs w:val="24"/>
        </w:rPr>
        <w:t xml:space="preserve">The exploration-exploitation trade-off became more concrete and more consequential as the dataset grew. In the early rounds, with only ten to fifteen data points per function, the GP uncertainty surface was nearly flat everywhere outside the initial observations, so high kappa was almost always the right choice because there was so little prior knowledge to lose. By Round 13, the trade-off has real stakes: exploiting the confirmed best regions for Functions 2, 3, 5 and 7 is the rational final move because there is no time left to recover from a regression. The risk calculus has inverted completely. The clearest illustration is Function 5: kappa started at 2.576 in Round 1 and has been at 0.5 or 1.0 for the last several rounds, because accumulated data made the high-output basin visible and the remaining query budget made exploitation the dominant consideration.</w:t>
      </w:r>
    </w:p>
    <w:p>
      <w:pPr>
        <w:pStyle w:val="Heading2"/>
      </w:pPr>
      <w:r>
        <w:t xml:space="preserve">Feedback, Q-Values and Reward Expectations</w:t>
      </w:r>
    </w:p>
    <w:p>
      <w:pPr>
        <w:spacing w:after="180"/>
      </w:pPr>
      <w:r>
        <w:rPr>
          <w:rFonts w:ascii="Arial" w:cs="Arial" w:eastAsia="Arial" w:hAnsi="Arial"/>
          <w:sz w:val="24"/>
          <w:szCs w:val="24"/>
        </w:rPr>
        <w:t xml:space="preserve">Feedback in this setting arrives as a single scalar value per week, which is a much noisier signal than a typical supervised learning loss. Functions 6 and 8 both showed this clearly: rounds where output dropped sharply from a prior best were not necessarily evidence that the model was wrong, but that the underlying function has a narrow peak and that the GP uncertainty estimate around it was overconfident. This maps directly to how Q-learning agents update reward expectations after a surprising return. In Q-learning, a single low reward does not override a well-established Q-value because the learning rate dampens the update so that one bad experience is weighted proportionally to its evidence. The adaptive kappa schedule served the same purpose here: rather than treating each regression as definitive, I used Bellman-style logic to ask whether the long-run expected value of the region was still higher than the expected value of unexplored alternatives before raising kappa.</w:t>
      </w:r>
    </w:p>
    <w:p>
      <w:pPr>
        <w:pStyle w:val="Heading2"/>
      </w:pPr>
      <w:r>
        <w:t xml:space="preserve">AlphaGo Zero, Self-Play and Model-Free vs Model-Based Learning</w:t>
      </w:r>
    </w:p>
    <w:p>
      <w:pPr>
        <w:spacing w:after="180"/>
      </w:pPr>
      <w:r>
        <w:rPr>
          <w:rFonts w:ascii="Arial" w:cs="Arial" w:eastAsia="Arial" w:hAnsi="Arial"/>
          <w:sz w:val="24"/>
          <w:szCs w:val="24"/>
        </w:rPr>
        <w:t xml:space="preserve">AlphaGo Zero learned entirely from self-play without human priors, improving iteratively by treating each game as a data point. My process shares that structure but also its limitation: both approaches are constrained to learn from the data the policy generates, which means a bad early decision can shape the search space for many subsequent rounds. Function 1 is the starkest example. Nine rounds of near-zero outputs were generated by a max-distance policy that was rational given the available evidence but could not bootstrap itself out of a regime where every sample confirmed the same null result. That is the classic model-free failure mode: trial and error cannot discover structure that the trials never sample near. The pre-planned sweep introduced from Round 10 was closer to model-based planning, designed from a prior about where the source might plausibly be rather than from the data alone.</w:t>
      </w:r>
    </w:p>
    <w:p>
      <w:pPr>
        <w:pStyle w:val="Heading2"/>
      </w:pPr>
      <w:r>
        <w:t xml:space="preserve">Applying RL Strategies to Real-World Optimization</w:t>
      </w:r>
    </w:p>
    <w:p>
      <w:pPr>
        <w:spacing w:after="200"/>
      </w:pPr>
      <w:r>
        <w:rPr>
          <w:rFonts w:ascii="Arial" w:cs="Arial" w:eastAsia="Arial" w:hAnsi="Arial"/>
          <w:sz w:val="24"/>
          <w:szCs w:val="24"/>
        </w:rPr>
        <w:t xml:space="preserve">Several RL techniques would directly address the limitations this capstone exposed. Thompson sampling, which draws a sample from the GP posterior and acts greedily with respect to that sample, would have introduced more principled stochasticity than the fixed kappa schedule and is theoretically better calibrated for noisy functions. For higher-dimensional functions like F7 and F8, contextual bandits could have maintained separate exploration policies for different input regions rather than collapsing everything into a single kappa value. In a real production setting, a neural network surrogate rather than a GP would scale better to the 50-plus observations accumulated by F8 while still providing the uncertainty quantification that drives intelligent acquisition. Taken together, these approaches point toward the conclusion that RL research has already reached: the most efficient exploration strategies are not fixed schedules but adaptive policies that update their own exploration rate in response to the evidence.</w:t>
      </w:r>
    </w:p>
    <w:p>
      <w:pPr>
        <w:pBdr>
          <w:top w:val="single" w:color="CCCCCC" w:sz="4" w:space="6"/>
        </w:pBdr>
        <w:spacing w:before="300"/>
      </w:pPr>
      <w:r>
        <w:rPr>
          <w:i/>
          <w:iCs/>
          <w:color w:val="777777"/>
          <w:sz w:val="18"/>
          <w:szCs w:val="18"/>
        </w:rPr>
        <w:t xml:space="preserve">Final round complete | 13 rounds | GP + adaptive UCB | F1: 4-point planned sweep complete | Best results: F5=6640.58, F8=9.979, F7=1.972, F2=0.678</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2026-06-23T17:01:29.040Z</dcterms:created>
  <dcterms:modified xsi:type="dcterms:W3CDTF">2026-06-23T17:01:29.052Z</dcterms:modified>
</cp:coreProperties>
</file>

<file path=docProps/custom.xml><?xml version="1.0" encoding="utf-8"?>
<Properties xmlns="http://schemas.openxmlformats.org/officeDocument/2006/custom-properties" xmlns:vt="http://schemas.openxmlformats.org/officeDocument/2006/docPropsVTypes"/>
</file>