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BBO Capstone: Week 6 Primary Reflection (17.1)</w:t>
      </w:r>
    </w:p>
    <w:p>
      <w:pPr>
        <w:spacing w:after="260"/>
      </w:pPr>
      <w:r>
        <w:rPr>
          <w:i/>
          <w:iCs/>
          <w:color w:val="555555"/>
          <w:sz w:val="22"/>
          <w:szCs w:val="22"/>
        </w:rPr>
        <w:t xml:space="preserve">Round 6 | CNN concepts applied to black-box optimisation strategy</w:t>
      </w:r>
    </w:p>
    <w:p>
      <w:pPr>
        <w:pStyle w:val="Heading2"/>
      </w:pPr>
      <w:r>
        <w:t xml:space="preserve">Progressive Feature Extraction and BBO Strategy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CNNs build features progressively, from edges in early layers to recognisable objects in deeper ones. I see a direct parallel in how my GP surrogate has matured over six rounds. Early on the model detected broad patterns: which regions produced outputs noticeably different from the baseline. By Round 5, with 15 to 25 data points per function, it has built a more structured picture. For Function 5 the GP has effectively learned that high x3 and x4 values consistently drive large outputs, analogous to a mid-layer CNN recognising a recurring texture. That layered understanding gave me confidence to reduce kappa to 0.5 and exploit tightly, rather than continuing to sweep the full input space.</w:t>
      </w:r>
    </w:p>
    <w:p>
      <w:pPr>
        <w:pStyle w:val="Heading2"/>
      </w:pPr>
      <w:r>
        <w:t xml:space="preserve">LeNet to AlexNet: Incremental Gains vs Breakthroughs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LeNet demonstrated that learned hierarchies could outperform handcrafted features, but AlexNet showed that scale and depth could produce a discontinuous leap. Function 5 has followed exactly that arc. Rounds 1 to 3 produced modest gains around 2000 to 2700, which felt like LeNet-era incremental progress. Rounds 4 and 5 jumping to 5079 and then 6204 feels more like the AlexNet moment: the GP had accumulated enough data to identify the high-output basin and exploitation compounded the gains rapidly. Function 7 is the contrast: its best result came in Round 2 and every subsequent query has regressed, resembling a model stuck in a local feature representation that fine-tuning cannot escape.</w:t>
      </w:r>
    </w:p>
    <w:p>
      <w:pPr>
        <w:pStyle w:val="Heading2"/>
      </w:pPr>
      <w:r>
        <w:t xml:space="preserve">Depth, Cost and the Exploration-Exploitation Trade-off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Deeper CNNs are more expressive but harder to train, more prone to overfitting and more expensive to run. I faced the same trade-off when deciding whether to maintain high kappa for regressing functions. A higher kappa is a wider search: more expensive and more likely to land in an uninformative region. Function 3 is the clearest example where that bet has not paid off, with its worst result arriving in Round 5 at -0.180 despite five rounds of high-kappa exploration. At some point the cost of wide exploration exceeds the expected benefit, which is exactly when a practitioner would also stop adding depth to a CNN and accept the current architecture.</w:t>
      </w:r>
    </w:p>
    <w:p>
      <w:pPr>
        <w:pStyle w:val="Heading2"/>
      </w:pPr>
      <w:r>
        <w:t xml:space="preserve">Convolutions, Pooling and Loss: Building Blocks for Learning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Of the CNN building blocks, pooling and loss functions have shaped my thinking most. Max-pooling discards spatial precision in favour of retaining the strongest local signal. The GP UCB acquisition function does something structurally similar: it aggregates mean and uncertainty into a single score and picks the maximum rather than modelling every candidate precisely. The loss function parallel is more direct. In CNN training the loss surface is the landscape being navigated; in BBO the unknown function is that landscape and each query is a single noisy measurement of it. Framing each weekly output as a loss evaluation made it easier to accept regressions without abandoning the strategy, just as a single loss spike does not mean a CNN has failed.</w:t>
      </w:r>
    </w:p>
    <w:p>
      <w:pPr>
        <w:pStyle w:val="Heading2"/>
      </w:pPr>
      <w:r>
        <w:t xml:space="preserve">Edge AI Deployment and Benchmarking BBO Success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Andrea Dunbar discussed how edge AI deployment forces hard choices about model size and accuracy because the environment is constrained in ways a research lab is not. The BBO capstone imposes an equivalent constraint: one query per function per week with no ability to iterate quickly. That has changed how I define success. In an unconstrained setting I would benchmark against the theoretical global maximum. With six evaluations per function, a more honest measure is improvement over the initial data. By that standard Functions 5 and 8 have been clear successes, Function 4 achieved a breakthrough that needs consolidating, and Functions 1 and 7 show where the deployment constraint exposed a genuine limitation rather than a failure of effort.</w:t>
      </w:r>
    </w:p>
    <w:p>
      <w:pPr>
        <w:pBdr>
          <w:top w:val="single" w:color="CCCCCC" w:sz="4" w:space="6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Method: GP + adaptive UCB | kappa in {0.5, 2.0, 2.5} | 100,000 candidates | Matern 5/2 kernel | F1: max-distance sweep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2026-04-27T17:49:57.120Z</dcterms:created>
  <dcterms:modified xsi:type="dcterms:W3CDTF">2026-04-27T17:49:57.120Z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