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6D77" w14:textId="77777777" w:rsidR="00017B71" w:rsidRDefault="00000000">
      <w:pPr>
        <w:pStyle w:val="Heading1"/>
      </w:pPr>
      <w:r>
        <w:t>BBO Capstone: Week 8 Reflection</w:t>
      </w:r>
    </w:p>
    <w:p w14:paraId="4CF86D78" w14:textId="77777777" w:rsidR="00017B71" w:rsidRDefault="00000000">
      <w:pPr>
        <w:spacing w:after="260"/>
      </w:pPr>
      <w:r>
        <w:rPr>
          <w:i/>
          <w:iCs/>
          <w:color w:val="555555"/>
          <w:sz w:val="22"/>
          <w:szCs w:val="22"/>
        </w:rPr>
        <w:t>Round 8 | LLM prompting concepts applied to the GP-UCB optimization strategy</w:t>
      </w:r>
    </w:p>
    <w:p w14:paraId="4CF86D79" w14:textId="77777777" w:rsidR="00017B71" w:rsidRDefault="00000000">
      <w:pPr>
        <w:pStyle w:val="Heading2"/>
      </w:pPr>
      <w:r>
        <w:t>Prompt Patterns: Zero-Shot vs Few-Shot</w:t>
      </w:r>
    </w:p>
    <w:p w14:paraId="4CF86D7A" w14:textId="37BADC4F" w:rsidR="00017B71" w:rsidRDefault="00000000">
      <w:pPr>
        <w:spacing w:after="180"/>
      </w:pPr>
      <w:r>
        <w:t xml:space="preserve">I did not use an LLM directly to select query points. </w:t>
      </w:r>
      <w:r w:rsidR="002E60D5">
        <w:t>The</w:t>
      </w:r>
      <w:r>
        <w:t xml:space="preserve"> GP-UCB pipeline already functions as a structured query selector, and introducing an LLM would add stochasticity without benefit at these data sizes. The prompting concepts from this week still map onto the GP in instructive ways. The acquisition function behaves like a zero-shot prompt: given only current data, it generates a recommendation without an explicit reasoning chain. A few-shot analogy would be providing the top-performing points as in-context examples before querying, which is structurally what low-kappa UCB scoring does when it concentrates near the current best.</w:t>
      </w:r>
    </w:p>
    <w:p w14:paraId="4CF86D7B" w14:textId="77777777" w:rsidR="00017B71" w:rsidRDefault="00000000">
      <w:pPr>
        <w:pStyle w:val="Heading2"/>
      </w:pPr>
      <w:r>
        <w:t>Temperature, Decoding Controls and the UCB Parallel</w:t>
      </w:r>
    </w:p>
    <w:p w14:paraId="4CF86D7C" w14:textId="77777777" w:rsidR="00017B71" w:rsidRDefault="00000000">
      <w:pPr>
        <w:spacing w:after="180"/>
      </w:pPr>
      <w:r>
        <w:t>The kappa parameter in UCB is the temperature of the query strategy. High kappa encourages diverse outputs by weighting uncertainty heavily; low kappa produces conservative selections by concentrating on the predicted mean. The shift from kappa=2.576 in Round 1 to kappa=0.5 by Round 8 mirrors a temperature annealing schedule: start warm to explore, cool progressively as confidence grows. The candidate pool of 100,000 maps to max-tokens: reducing it would cut diversity of options evaluated, just as a low token ceiling truncates completions.</w:t>
      </w:r>
    </w:p>
    <w:p w14:paraId="4CF86D7D" w14:textId="77777777" w:rsidR="00017B71" w:rsidRDefault="00000000">
      <w:pPr>
        <w:pStyle w:val="Heading2"/>
      </w:pPr>
      <w:r>
        <w:t>Token Boundaries and Input Format Effects</w:t>
      </w:r>
    </w:p>
    <w:p w14:paraId="4CF86D7E" w14:textId="77777777" w:rsidR="00017B71" w:rsidRDefault="00000000">
      <w:pPr>
        <w:spacing w:after="180"/>
      </w:pPr>
      <w:r>
        <w:t>Token boundary effects do not apply directly since inputs are continuous vectors rather than tokenized strings. An analogous issue exists though: the six-decimal-place portal format imposes a discrete grid on a continuous space. Values like 0.999999 and 1.000000 are numerically nearly identical but the latter is out of bounds, functionally similar to a tokenization edge case where a small representational change alters the output. I handled this by clamping all query values to [0.0, 0.999999] before formatting, equivalent to out-of-vocabulary fallback handling.</w:t>
      </w:r>
    </w:p>
    <w:p w14:paraId="4CF86D7F" w14:textId="77777777" w:rsidR="00017B71" w:rsidRDefault="00000000">
      <w:pPr>
        <w:pStyle w:val="Heading2"/>
      </w:pPr>
      <w:r>
        <w:t>17 Data Points: Prompt Overfitting and Attention Limits</w:t>
      </w:r>
    </w:p>
    <w:p w14:paraId="4CF86D80" w14:textId="3199780C" w:rsidR="00017B71" w:rsidRDefault="00000000">
      <w:pPr>
        <w:spacing w:after="180"/>
      </w:pPr>
      <w:r>
        <w:t>With 17 data points, the GP shows patterns analogous to attention focusing on irrelevant context. For F2, the model consistently recommends regions near the initial best at [0.703, 0.927], but queries there have repeatedly regressed. The GP is over-attending to that early observation the way a long-context LLM might over-weight salient tokens near the start of a prompt. For F3, every observation after Round 2 has pulled the acquisition surface away from the best result, consistent with weighting newer noisy observations as heavily as informative early ones.</w:t>
      </w:r>
    </w:p>
    <w:p w14:paraId="4CF86D81" w14:textId="77777777" w:rsidR="00017B71" w:rsidRDefault="00000000">
      <w:pPr>
        <w:pStyle w:val="Heading2"/>
      </w:pPr>
      <w:r>
        <w:t>Reducing Hallucinations: Priors, Normalization and Confidence Gating</w:t>
      </w:r>
    </w:p>
    <w:p w14:paraId="4CF86D82" w14:textId="77777777" w:rsidR="00017B71" w:rsidRDefault="00000000">
      <w:pPr>
        <w:spacing w:after="180"/>
      </w:pPr>
      <w:r>
        <w:t xml:space="preserve">The main hallucination risk is the GP confidently predicting high outputs in unexplored regions. Three strategies managed this. The Matern 5/2 kernel imposes a smoothness </w:t>
      </w:r>
      <w:r>
        <w:lastRenderedPageBreak/>
        <w:t>prior that prevents wild extrapolation. The normalize_y flag standardizes outputs before fitting, preventing extreme values from dominating kernel optimization. The adaptive kappa schedule acts as a confidence gate: when a function regresses, kappa is raised so the acquisition function requires stronger evidence before committing, equivalent to raising the retrieval threshold in a RAG system.</w:t>
      </w:r>
    </w:p>
    <w:p w14:paraId="4CF86D83" w14:textId="77777777" w:rsidR="00017B71" w:rsidRDefault="00000000">
      <w:pPr>
        <w:pStyle w:val="Heading2"/>
      </w:pPr>
      <w:r>
        <w:t>Scaling Prompting and Decoding for Larger Datasets</w:t>
      </w:r>
    </w:p>
    <w:p w14:paraId="4CF86D84" w14:textId="77777777" w:rsidR="00017B71" w:rsidRDefault="00000000">
      <w:pPr>
        <w:spacing w:after="180"/>
      </w:pPr>
      <w:r>
        <w:t>Two future refinements follow from the LLM analogy. First, fitting the GP to a curated subset of the most informative points rather than the full history mirrors selecting high-quality few-shot examples over including all available context. Second, a dynamic kappa schedule updated per round based on GP posterior variance would mirror adaptive decoding strategies that adjust sampling parameters based on output entropy, producing smarter exploration decisions without manual intervention.</w:t>
      </w:r>
    </w:p>
    <w:p w14:paraId="4CF86D85" w14:textId="77777777" w:rsidR="00017B71" w:rsidRDefault="00000000">
      <w:pPr>
        <w:pStyle w:val="Heading2"/>
      </w:pPr>
      <w:r>
        <w:t>Thinking Like a Practitioner in a Black-Box Setting</w:t>
      </w:r>
    </w:p>
    <w:p w14:paraId="4CF86D86" w14:textId="77777777" w:rsidR="00017B71" w:rsidRDefault="00000000">
      <w:pPr>
        <w:spacing w:after="200"/>
      </w:pPr>
      <w:r>
        <w:t>The LLM framework makes one practitioner habit explicit: each query, like each token, must be justified by the information it is expected to return. A high-kappa query in an unexplored region is expensive but reduces future uncertainty. A low-kappa query near the current best is efficient but risks missing the global maximum. Managing that trade-off under a fixed weekly budget is identical to managing token costs in production, where exploratory chains of thought are slower and more expensive than focused, low-temperature completions.</w:t>
      </w:r>
    </w:p>
    <w:p w14:paraId="4CF86D87" w14:textId="77777777" w:rsidR="00017B71" w:rsidRDefault="00000000">
      <w:pPr>
        <w:pBdr>
          <w:top w:val="single" w:sz="4" w:space="6" w:color="CCCCCC"/>
        </w:pBdr>
        <w:spacing w:before="300"/>
      </w:pPr>
      <w:r>
        <w:rPr>
          <w:i/>
          <w:iCs/>
          <w:color w:val="777777"/>
          <w:sz w:val="18"/>
          <w:szCs w:val="18"/>
        </w:rPr>
        <w:t>Method: GP + adaptive UCB | kappa in {0.5, 1.0, 2.0, 2.5} | 100,000 candidates | Matern 5/2 kernel | F1: max-distance sweep</w:t>
      </w:r>
    </w:p>
    <w:sectPr w:rsidR="00017B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B2D42"/>
    <w:multiLevelType w:val="hybridMultilevel"/>
    <w:tmpl w:val="A7088C0E"/>
    <w:lvl w:ilvl="0" w:tplc="69FC7942">
      <w:start w:val="1"/>
      <w:numFmt w:val="bullet"/>
      <w:lvlText w:val="●"/>
      <w:lvlJc w:val="left"/>
      <w:pPr>
        <w:ind w:left="720" w:hanging="360"/>
      </w:pPr>
    </w:lvl>
    <w:lvl w:ilvl="1" w:tplc="4A783E82">
      <w:start w:val="1"/>
      <w:numFmt w:val="bullet"/>
      <w:lvlText w:val="○"/>
      <w:lvlJc w:val="left"/>
      <w:pPr>
        <w:ind w:left="1440" w:hanging="360"/>
      </w:pPr>
    </w:lvl>
    <w:lvl w:ilvl="2" w:tplc="8E4462AA">
      <w:start w:val="1"/>
      <w:numFmt w:val="bullet"/>
      <w:lvlText w:val="■"/>
      <w:lvlJc w:val="left"/>
      <w:pPr>
        <w:ind w:left="2160" w:hanging="360"/>
      </w:pPr>
    </w:lvl>
    <w:lvl w:ilvl="3" w:tplc="7F38F7C8">
      <w:start w:val="1"/>
      <w:numFmt w:val="bullet"/>
      <w:lvlText w:val="●"/>
      <w:lvlJc w:val="left"/>
      <w:pPr>
        <w:ind w:left="2880" w:hanging="360"/>
      </w:pPr>
    </w:lvl>
    <w:lvl w:ilvl="4" w:tplc="7032C0D2">
      <w:start w:val="1"/>
      <w:numFmt w:val="bullet"/>
      <w:lvlText w:val="○"/>
      <w:lvlJc w:val="left"/>
      <w:pPr>
        <w:ind w:left="3600" w:hanging="360"/>
      </w:pPr>
    </w:lvl>
    <w:lvl w:ilvl="5" w:tplc="D63A248E">
      <w:start w:val="1"/>
      <w:numFmt w:val="bullet"/>
      <w:lvlText w:val="■"/>
      <w:lvlJc w:val="left"/>
      <w:pPr>
        <w:ind w:left="4320" w:hanging="360"/>
      </w:pPr>
    </w:lvl>
    <w:lvl w:ilvl="6" w:tplc="B1CA3E6C">
      <w:start w:val="1"/>
      <w:numFmt w:val="bullet"/>
      <w:lvlText w:val="●"/>
      <w:lvlJc w:val="left"/>
      <w:pPr>
        <w:ind w:left="5040" w:hanging="360"/>
      </w:pPr>
    </w:lvl>
    <w:lvl w:ilvl="7" w:tplc="05CE0D9C">
      <w:start w:val="1"/>
      <w:numFmt w:val="bullet"/>
      <w:lvlText w:val="●"/>
      <w:lvlJc w:val="left"/>
      <w:pPr>
        <w:ind w:left="5760" w:hanging="360"/>
      </w:pPr>
    </w:lvl>
    <w:lvl w:ilvl="8" w:tplc="66A68D6E">
      <w:start w:val="1"/>
      <w:numFmt w:val="bullet"/>
      <w:lvlText w:val="●"/>
      <w:lvlJc w:val="left"/>
      <w:pPr>
        <w:ind w:left="6480" w:hanging="360"/>
      </w:pPr>
    </w:lvl>
  </w:abstractNum>
  <w:num w:numId="1" w16cid:durableId="917635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B71"/>
    <w:rsid w:val="00017B71"/>
    <w:rsid w:val="000871A2"/>
    <w:rsid w:val="00255BF4"/>
    <w:rsid w:val="002E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86D77"/>
  <w15:docId w15:val="{D389B105-319C-47D4-BC8B-5D21390F6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Sterling Drake</cp:lastModifiedBy>
  <cp:revision>3</cp:revision>
  <dcterms:created xsi:type="dcterms:W3CDTF">2026-05-18T18:26:00Z</dcterms:created>
  <dcterms:modified xsi:type="dcterms:W3CDTF">2026-05-18T19:59:00Z</dcterms:modified>
</cp:coreProperties>
</file>