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0A14" w14:textId="77777777" w:rsidR="00DC338E" w:rsidRDefault="00000000">
      <w:pPr>
        <w:pStyle w:val="Heading1"/>
      </w:pPr>
      <w:r>
        <w:t>BBO Capstone: Strategy Analysis and Peer Reflection</w:t>
      </w:r>
    </w:p>
    <w:p w14:paraId="584B0A15" w14:textId="77777777" w:rsidR="00DC338E" w:rsidRDefault="00000000">
      <w:pPr>
        <w:spacing w:after="260"/>
      </w:pPr>
      <w:r>
        <w:rPr>
          <w:i/>
          <w:iCs/>
          <w:color w:val="555555"/>
          <w:sz w:val="22"/>
          <w:szCs w:val="22"/>
        </w:rPr>
        <w:t>Effective strategies, defining success, and lessons from the cohort</w:t>
      </w:r>
    </w:p>
    <w:p w14:paraId="584B0A16" w14:textId="77777777" w:rsidR="00DC338E" w:rsidRDefault="00000000">
      <w:pPr>
        <w:pStyle w:val="Heading2"/>
      </w:pPr>
      <w:r>
        <w:t>Strongest Strategies and Why They Worked</w:t>
      </w:r>
    </w:p>
    <w:p w14:paraId="584B0A17" w14:textId="2DFD6D05" w:rsidR="00DC338E" w:rsidRDefault="00000000">
      <w:pPr>
        <w:spacing w:after="180"/>
      </w:pPr>
      <w:r>
        <w:t xml:space="preserve">The strategy that produced the strongest results was adaptive, function-specific kappa tuning within the UCB acquisition function. Moving from a uniform kappa of 2.576 in Round 1 to a differentiated scale across functions was the most impactful single decision of the entire project. The reason it worked is straightforward: different functions had genuinely different </w:t>
      </w:r>
      <w:r w:rsidR="000A3978">
        <w:t>landscapes and</w:t>
      </w:r>
      <w:r>
        <w:t xml:space="preserve"> treating them identically beyond the first few rounds would have been a category error. Function 5 reached a 510% improvement over its initial best precisely because I was willing to drop kappa to 0.5 and commit to tight exploitation once the high-output basin became clear. Function 7, by contrast, needed sustained high kappa because its landscape produced unpredictable swings that made premature exploitation counterproductive.</w:t>
      </w:r>
    </w:p>
    <w:p w14:paraId="584B0A18" w14:textId="7128BDAD" w:rsidR="00DC338E" w:rsidRDefault="00000000">
      <w:pPr>
        <w:spacing w:after="180"/>
      </w:pPr>
      <w:r>
        <w:t xml:space="preserve">The GP surrogate itself was the second pillar. Using a Matern 5/2 kernel gave the model the right inductive bias: smooth enough to </w:t>
      </w:r>
      <w:r w:rsidR="000A3978">
        <w:t>generalize</w:t>
      </w:r>
      <w:r>
        <w:t xml:space="preserve"> between nearby points, but not so smooth that it missed the sharp local peaks that several functions appeared to have. The kernel's calibrated uncertainty estimates are what made the UCB scores meaningful rather than arbitrary. Without reliable uncertainty quantification, kappa tuning would have been guesswork rather than informed adjustment.</w:t>
      </w:r>
    </w:p>
    <w:p w14:paraId="584B0A19" w14:textId="77777777" w:rsidR="00DC338E" w:rsidRDefault="00000000">
      <w:pPr>
        <w:pStyle w:val="Heading2"/>
      </w:pPr>
      <w:r>
        <w:t>Defining a Successful Strategy</w:t>
      </w:r>
    </w:p>
    <w:p w14:paraId="584B0A1A" w14:textId="77777777" w:rsidR="00DC338E" w:rsidRDefault="00000000">
      <w:pPr>
        <w:spacing w:after="180"/>
      </w:pPr>
      <w:r>
        <w:t>Outcomes matter, but outcomes alone are an incomplete measure of strategy quality. A strategy that found a strong result by luck in Round 1 and simply exploited that single observation for twelve rounds would score well but would demonstrate nothing transferable. The qualities I would use to define a successful strategy are adaptability, interpretability, and efficiency under constraint.</w:t>
      </w:r>
    </w:p>
    <w:p w14:paraId="584B0A1B" w14:textId="77777777" w:rsidR="00DC338E" w:rsidRDefault="00000000">
      <w:pPr>
        <w:spacing w:after="180"/>
      </w:pPr>
      <w:r>
        <w:t>Adaptability means the strategy changes when the evidence changes. My approach failed this test for Function 6, where I maintained a region-focused search for too long after the landscape had shown it would not improve. A more adaptive strategy would have included a hard reset rule, perhaps forcing broad exploration after three consecutive rounds without improvement regardless of how good the prior best was.</w:t>
      </w:r>
    </w:p>
    <w:p w14:paraId="584B0A1C" w14:textId="77777777" w:rsidR="00DC338E" w:rsidRDefault="00000000">
      <w:pPr>
        <w:spacing w:after="180"/>
      </w:pPr>
      <w:r>
        <w:t>Interpretability means being able to articulate why a given query was chosen. Every submission in this project had a documented kappa value and a stated rationale. That discipline mattered not just for academic reflection but because it created a feedback loop: if a query failed and I could not explain why it was chosen, I could not learn from the failure.</w:t>
      </w:r>
    </w:p>
    <w:p w14:paraId="584B0A1D" w14:textId="77777777" w:rsidR="00DC338E" w:rsidRDefault="00000000">
      <w:pPr>
        <w:spacing w:after="180"/>
      </w:pPr>
      <w:r>
        <w:t xml:space="preserve">Efficiency under constraint is the quality most specific to this setting. With one query per function per week, every decision was irreversible. That constraint pushed me toward a more principled decision process than I would have used with unlimited compute, and </w:t>
      </w:r>
      <w:proofErr w:type="gramStart"/>
      <w:r>
        <w:lastRenderedPageBreak/>
        <w:t>the</w:t>
      </w:r>
      <w:proofErr w:type="gramEnd"/>
      <w:r>
        <w:t xml:space="preserve"> discipline it enforced is directly applicable to any real-world setting where evaluations are genuinely expensive.</w:t>
      </w:r>
    </w:p>
    <w:p w14:paraId="584B0A1E" w14:textId="77777777" w:rsidR="00DC338E" w:rsidRDefault="00000000">
      <w:pPr>
        <w:pStyle w:val="Heading2"/>
      </w:pPr>
      <w:r>
        <w:t>Professional Application Beyond the Capstone</w:t>
      </w:r>
    </w:p>
    <w:p w14:paraId="584B0A1F" w14:textId="77777777" w:rsidR="00DC338E" w:rsidRDefault="00000000">
      <w:pPr>
        <w:spacing w:after="180"/>
      </w:pPr>
      <w:r>
        <w:t xml:space="preserve">The clearest professional application is in automated machine learning and neural architecture search. Both involve optimizing an expensive black-box objective using a limited number of evaluations. The specific lesson from this project is that query efficiency depends heavily on how aggressively you exploit early promising regions versus how much you continue to explore. In a production </w:t>
      </w:r>
      <w:proofErr w:type="spellStart"/>
      <w:r>
        <w:t>AutoML</w:t>
      </w:r>
      <w:proofErr w:type="spellEnd"/>
      <w:r>
        <w:t xml:space="preserve"> system, rushing to exploit a strong early configuration can cause the search to converge prematurely on a local optimum. The per-function kappa schedule I developed here maps directly onto adaptive learning rate policies in neural architecture search, where search intensity is reduced as confidence in a region increases.</w:t>
      </w:r>
    </w:p>
    <w:p w14:paraId="584B0A20" w14:textId="2B7BDD8C" w:rsidR="00DC338E" w:rsidRDefault="00000000">
      <w:pPr>
        <w:spacing w:after="180"/>
      </w:pPr>
      <w:r>
        <w:t xml:space="preserve">The Function 1 experience is also directly applicable. When many rounds of data produce no useful signal, the GP has nothing to learn </w:t>
      </w:r>
      <w:proofErr w:type="gramStart"/>
      <w:r>
        <w:t>from</w:t>
      </w:r>
      <w:proofErr w:type="gramEnd"/>
      <w:r>
        <w:t xml:space="preserve"> and its recommendations are no better than random. </w:t>
      </w:r>
      <w:r w:rsidR="000A3978">
        <w:t>Recognizing</w:t>
      </w:r>
      <w:r>
        <w:t xml:space="preserve"> that failure mode early and switching to a principled fallback is the same logic that leads practitioners to abandon a poorly specified model and reformulate the problem rather than continuing to tune a model that is structurally unable to capture the signal.</w:t>
      </w:r>
    </w:p>
    <w:p w14:paraId="584B0A21" w14:textId="77777777" w:rsidR="00DC338E" w:rsidRDefault="00000000">
      <w:pPr>
        <w:pStyle w:val="Heading2"/>
      </w:pPr>
      <w:r>
        <w:t>Peer Strategies: Observations and Overlap</w:t>
      </w:r>
    </w:p>
    <w:p w14:paraId="584B0A22" w14:textId="77777777" w:rsidR="00DC338E" w:rsidRDefault="00000000">
      <w:pPr>
        <w:spacing w:after="180"/>
      </w:pPr>
      <w:r>
        <w:t xml:space="preserve">Without access to the leaderboard at the time of writing, I am reflecting on the approaches described in peer discussions and what the data suggests about effective alternatives. Several participants appeared to use grid search or random search rather than a GP surrogate, particularly in the early rounds. For lower-dimensional functions, grid search is entirely defensible: with F1 and F2 </w:t>
      </w:r>
      <w:proofErr w:type="gramStart"/>
      <w:r>
        <w:t>at</w:t>
      </w:r>
      <w:proofErr w:type="gramEnd"/>
      <w:r>
        <w:t xml:space="preserve"> 2D, a dense grid evaluates many candidate points per cycle, providing strong spatial coverage. The reason GP-UCB tends to outperform random and grid search over multiple rounds is not that it evaluates more candidates but that it concentrates evaluations in regions where the model estimates they will be informative, compounding over time rather than treating each query independently.</w:t>
      </w:r>
    </w:p>
    <w:p w14:paraId="584B0A23" w14:textId="77777777" w:rsidR="00DC338E" w:rsidRDefault="00000000">
      <w:pPr>
        <w:spacing w:after="180"/>
      </w:pPr>
      <w:r>
        <w:t>The overlap between my approach and grid-based approaches is real but narrower than it appears. Both methods ultimately select a query from a large pool of candidates. The difference is in how that selection is made: GP-UCB uses a model of the function to weight candidates, while grid search treats all unsampled points as equally promising. For noisy or multimodal functions like F4 and F7, the GP weighting consistently directed me toward regions with high uncertainty rather than near-duplicate samples of an already-visited peak, which I believe is why those functions showed late improvement.</w:t>
      </w:r>
    </w:p>
    <w:p w14:paraId="584B0A24" w14:textId="77777777" w:rsidR="00DC338E" w:rsidRDefault="00000000">
      <w:pPr>
        <w:pStyle w:val="Heading2"/>
      </w:pPr>
      <w:r>
        <w:t>Perspectives That Broaden the View of Success</w:t>
      </w:r>
    </w:p>
    <w:p w14:paraId="584B0A25" w14:textId="0BEC558A" w:rsidR="00DC338E" w:rsidRDefault="00000000">
      <w:pPr>
        <w:spacing w:after="180"/>
      </w:pPr>
      <w:r>
        <w:t xml:space="preserve">The most useful perspective shift from thinking about peer strategies is </w:t>
      </w:r>
      <w:r w:rsidR="000A3978">
        <w:t>recognizing</w:t>
      </w:r>
      <w:r>
        <w:t xml:space="preserve"> that the one-query-per-week format fundamentally changes what counts as a good strategy. In a setting where you could submit 1,000 queries at once, random search would be competitive with Bayesian optimization for almost any function. The sequential, single-</w:t>
      </w:r>
      <w:r>
        <w:lastRenderedPageBreak/>
        <w:t xml:space="preserve">query constraint is what creates the comparative advantage for a surrogate model, because the GP's uncertainty estimate allows each query to be informative about the entire landscape rather than just the immediate </w:t>
      </w:r>
      <w:r w:rsidR="000A3978">
        <w:t>neighborhood</w:t>
      </w:r>
      <w:r>
        <w:t>.</w:t>
      </w:r>
    </w:p>
    <w:p w14:paraId="584B0A26" w14:textId="77777777" w:rsidR="00DC338E" w:rsidRDefault="00000000">
      <w:pPr>
        <w:spacing w:after="180"/>
      </w:pPr>
      <w:r>
        <w:t>A suggestion I would offer to anyone using a simpler search strategy is to add a lightweight tracking mechanism for which regions have been sampled, even without a surrogate model. One failure mode I noticed in my own approach was that without the GP's explicit uncertainty surface, it would have been easy to re-query near an already-sampled region simply because it had produced a good result. Keeping a running record of query locations and ensuring new queries maintain a minimum distance from prior observations would be a low-cost improvement to any approach.</w:t>
      </w:r>
    </w:p>
    <w:p w14:paraId="584B0A27" w14:textId="26DF5B35" w:rsidR="00DC338E" w:rsidRDefault="00000000">
      <w:pPr>
        <w:spacing w:after="200"/>
      </w:pPr>
      <w:r>
        <w:t xml:space="preserve">Thinking about peer strategies also sharpened my view of what success means in this context. A participant whose Function 1 behaved differently, either because they sampled a different region or used a fundamentally different detection strategy, would have valuable information I do not. The </w:t>
      </w:r>
      <w:r w:rsidR="000A3978">
        <w:t>decentralized</w:t>
      </w:r>
      <w:r>
        <w:t xml:space="preserve"> nature of the search, with each participant making different choices, means the cohort as a whole produces much richer coverage of the function landscapes than any individual strategy could achieve alone.</w:t>
      </w:r>
    </w:p>
    <w:p w14:paraId="584B0A28" w14:textId="77777777" w:rsidR="00DC338E" w:rsidRDefault="00000000">
      <w:pPr>
        <w:pBdr>
          <w:top w:val="single" w:sz="4" w:space="6" w:color="CCCCCC"/>
        </w:pBdr>
        <w:spacing w:before="300"/>
      </w:pPr>
      <w:r>
        <w:rPr>
          <w:i/>
          <w:iCs/>
          <w:color w:val="777777"/>
          <w:sz w:val="18"/>
          <w:szCs w:val="18"/>
        </w:rPr>
        <w:t>13 rounds | GP-UCB with adaptive kappa | github.com/</w:t>
      </w:r>
      <w:proofErr w:type="spellStart"/>
      <w:r>
        <w:rPr>
          <w:i/>
          <w:iCs/>
          <w:color w:val="777777"/>
          <w:sz w:val="18"/>
          <w:szCs w:val="18"/>
        </w:rPr>
        <w:t>sterlingdrakedrake</w:t>
      </w:r>
      <w:proofErr w:type="spellEnd"/>
      <w:r>
        <w:rPr>
          <w:i/>
          <w:iCs/>
          <w:color w:val="777777"/>
          <w:sz w:val="18"/>
          <w:szCs w:val="18"/>
        </w:rPr>
        <w:t>-blip/Capstone-Project-2026</w:t>
      </w:r>
    </w:p>
    <w:sectPr w:rsidR="00DC33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D7C23"/>
    <w:multiLevelType w:val="hybridMultilevel"/>
    <w:tmpl w:val="DEC6CAD0"/>
    <w:lvl w:ilvl="0" w:tplc="3732F89E">
      <w:start w:val="1"/>
      <w:numFmt w:val="bullet"/>
      <w:lvlText w:val="●"/>
      <w:lvlJc w:val="left"/>
      <w:pPr>
        <w:ind w:left="720" w:hanging="360"/>
      </w:pPr>
    </w:lvl>
    <w:lvl w:ilvl="1" w:tplc="5718BAEE">
      <w:start w:val="1"/>
      <w:numFmt w:val="bullet"/>
      <w:lvlText w:val="○"/>
      <w:lvlJc w:val="left"/>
      <w:pPr>
        <w:ind w:left="1440" w:hanging="360"/>
      </w:pPr>
    </w:lvl>
    <w:lvl w:ilvl="2" w:tplc="D01A2FE6">
      <w:start w:val="1"/>
      <w:numFmt w:val="bullet"/>
      <w:lvlText w:val="■"/>
      <w:lvlJc w:val="left"/>
      <w:pPr>
        <w:ind w:left="2160" w:hanging="360"/>
      </w:pPr>
    </w:lvl>
    <w:lvl w:ilvl="3" w:tplc="E0C44626">
      <w:start w:val="1"/>
      <w:numFmt w:val="bullet"/>
      <w:lvlText w:val="●"/>
      <w:lvlJc w:val="left"/>
      <w:pPr>
        <w:ind w:left="2880" w:hanging="360"/>
      </w:pPr>
    </w:lvl>
    <w:lvl w:ilvl="4" w:tplc="957632C2">
      <w:start w:val="1"/>
      <w:numFmt w:val="bullet"/>
      <w:lvlText w:val="○"/>
      <w:lvlJc w:val="left"/>
      <w:pPr>
        <w:ind w:left="3600" w:hanging="360"/>
      </w:pPr>
    </w:lvl>
    <w:lvl w:ilvl="5" w:tplc="C98481B4">
      <w:start w:val="1"/>
      <w:numFmt w:val="bullet"/>
      <w:lvlText w:val="■"/>
      <w:lvlJc w:val="left"/>
      <w:pPr>
        <w:ind w:left="4320" w:hanging="360"/>
      </w:pPr>
    </w:lvl>
    <w:lvl w:ilvl="6" w:tplc="63CA923E">
      <w:start w:val="1"/>
      <w:numFmt w:val="bullet"/>
      <w:lvlText w:val="●"/>
      <w:lvlJc w:val="left"/>
      <w:pPr>
        <w:ind w:left="5040" w:hanging="360"/>
      </w:pPr>
    </w:lvl>
    <w:lvl w:ilvl="7" w:tplc="BAB40D14">
      <w:start w:val="1"/>
      <w:numFmt w:val="bullet"/>
      <w:lvlText w:val="●"/>
      <w:lvlJc w:val="left"/>
      <w:pPr>
        <w:ind w:left="5760" w:hanging="360"/>
      </w:pPr>
    </w:lvl>
    <w:lvl w:ilvl="8" w:tplc="32704B74">
      <w:start w:val="1"/>
      <w:numFmt w:val="bullet"/>
      <w:lvlText w:val="●"/>
      <w:lvlJc w:val="left"/>
      <w:pPr>
        <w:ind w:left="6480" w:hanging="360"/>
      </w:pPr>
    </w:lvl>
  </w:abstractNum>
  <w:num w:numId="1" w16cid:durableId="1615408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8E"/>
    <w:rsid w:val="000A3978"/>
    <w:rsid w:val="00DC338E"/>
    <w:rsid w:val="00FE1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B0A14"/>
  <w15:docId w15:val="{77B05780-FE70-4686-9771-BDAFF793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1116</Words>
  <Characters>6366</Characters>
  <Application>Microsoft Office Word</Application>
  <DocSecurity>0</DocSecurity>
  <Lines>53</Lines>
  <Paragraphs>14</Paragraphs>
  <ScaleCrop>false</ScaleCrop>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2</cp:revision>
  <dcterms:created xsi:type="dcterms:W3CDTF">2026-06-26T18:25:00Z</dcterms:created>
  <dcterms:modified xsi:type="dcterms:W3CDTF">2026-06-29T17:42:00Z</dcterms:modified>
</cp:coreProperties>
</file>